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F21" w:rsidRPr="00615350" w:rsidRDefault="00A60F21" w:rsidP="00900448">
      <w:pPr>
        <w:spacing w:after="160"/>
        <w:jc w:val="center"/>
        <w:rPr>
          <w:rFonts w:ascii="Calibri" w:eastAsia="Calibri" w:hAnsi="Calibri" w:cs="Times New Roman"/>
          <w:noProof/>
          <w:snapToGrid w:val="0"/>
          <w:lang w:val="sr-Latn-RS" w:eastAsia="x-none"/>
        </w:rPr>
      </w:pPr>
      <w:bookmarkStart w:id="0" w:name="_Toc202272386"/>
      <w:r w:rsidRPr="00615350">
        <w:rPr>
          <w:rFonts w:ascii="Calibri" w:eastAsia="Calibri" w:hAnsi="Calibri" w:cs="Times New Roman"/>
          <w:noProof/>
          <w:snapToGrid w:val="0"/>
        </w:rPr>
        <w:drawing>
          <wp:inline distT="0" distB="0" distL="0" distR="0" wp14:anchorId="343F6B05" wp14:editId="7FF96313">
            <wp:extent cx="790575" cy="1028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1028700"/>
                    </a:xfrm>
                    <a:prstGeom prst="rect">
                      <a:avLst/>
                    </a:prstGeom>
                    <a:noFill/>
                    <a:ln>
                      <a:noFill/>
                    </a:ln>
                  </pic:spPr>
                </pic:pic>
              </a:graphicData>
            </a:graphic>
          </wp:inline>
        </w:drawing>
      </w:r>
      <w:bookmarkEnd w:id="0"/>
    </w:p>
    <w:p w:rsidR="00A60F21" w:rsidRPr="00615350" w:rsidRDefault="00A60F21" w:rsidP="00900448">
      <w:pPr>
        <w:autoSpaceDE w:val="0"/>
        <w:autoSpaceDN w:val="0"/>
        <w:adjustRightInd w:val="0"/>
        <w:spacing w:after="0"/>
        <w:jc w:val="center"/>
        <w:rPr>
          <w:rFonts w:ascii="Times New Roman" w:eastAsia="ArialMT" w:hAnsi="Times New Roman" w:cs="Times New Roman"/>
          <w:noProof/>
          <w:sz w:val="24"/>
          <w:szCs w:val="24"/>
          <w:lang w:val="sr-Latn-RS"/>
        </w:rPr>
      </w:pPr>
    </w:p>
    <w:p w:rsidR="00A60F21" w:rsidRPr="00615350" w:rsidRDefault="00A60F21" w:rsidP="00900448">
      <w:pPr>
        <w:autoSpaceDE w:val="0"/>
        <w:autoSpaceDN w:val="0"/>
        <w:adjustRightInd w:val="0"/>
        <w:spacing w:after="0"/>
        <w:jc w:val="center"/>
        <w:rPr>
          <w:rFonts w:ascii="Times New Roman" w:eastAsia="ArialMT" w:hAnsi="Times New Roman" w:cs="Times New Roman"/>
          <w:noProof/>
          <w:sz w:val="24"/>
          <w:szCs w:val="24"/>
          <w:lang w:val="sr-Latn-RS"/>
        </w:rPr>
      </w:pPr>
    </w:p>
    <w:p w:rsidR="00A60F21" w:rsidRPr="00615350" w:rsidRDefault="00A60F21" w:rsidP="00900448">
      <w:pPr>
        <w:autoSpaceDE w:val="0"/>
        <w:autoSpaceDN w:val="0"/>
        <w:adjustRightInd w:val="0"/>
        <w:spacing w:after="0"/>
        <w:jc w:val="center"/>
        <w:rPr>
          <w:rFonts w:ascii="Times New Roman" w:eastAsia="ArialMT" w:hAnsi="Times New Roman" w:cs="Times New Roman"/>
          <w:noProof/>
          <w:sz w:val="32"/>
          <w:szCs w:val="24"/>
          <w:lang w:val="sr-Latn-RS"/>
        </w:rPr>
      </w:pPr>
    </w:p>
    <w:p w:rsidR="00A60F21" w:rsidRPr="00615350" w:rsidRDefault="00A60F21" w:rsidP="00900448">
      <w:pPr>
        <w:autoSpaceDE w:val="0"/>
        <w:autoSpaceDN w:val="0"/>
        <w:adjustRightInd w:val="0"/>
        <w:spacing w:after="0"/>
        <w:jc w:val="center"/>
        <w:rPr>
          <w:rFonts w:ascii="Times New Roman" w:eastAsia="ArialMT" w:hAnsi="Times New Roman" w:cs="Times New Roman"/>
          <w:b/>
          <w:noProof/>
          <w:sz w:val="36"/>
          <w:szCs w:val="24"/>
          <w:lang w:val="sr-Latn-RS"/>
        </w:rPr>
      </w:pPr>
      <w:r w:rsidRPr="00615350">
        <w:rPr>
          <w:rFonts w:ascii="Times New Roman" w:eastAsia="ArialMT" w:hAnsi="Times New Roman" w:cs="Times New Roman"/>
          <w:b/>
          <w:noProof/>
          <w:sz w:val="36"/>
          <w:szCs w:val="24"/>
          <w:lang w:val="sr-Latn-RS"/>
        </w:rPr>
        <w:t>OPŠTINA BERANE</w:t>
      </w:r>
    </w:p>
    <w:p w:rsidR="00A60F21" w:rsidRPr="00615350" w:rsidRDefault="00A60F21" w:rsidP="00900448">
      <w:pPr>
        <w:autoSpaceDE w:val="0"/>
        <w:autoSpaceDN w:val="0"/>
        <w:adjustRightInd w:val="0"/>
        <w:spacing w:after="0"/>
        <w:jc w:val="center"/>
        <w:rPr>
          <w:rFonts w:ascii="Times New Roman" w:eastAsia="ArialMT" w:hAnsi="Times New Roman" w:cs="Times New Roman"/>
          <w:b/>
          <w:noProof/>
          <w:sz w:val="36"/>
          <w:szCs w:val="24"/>
          <w:lang w:val="sr-Latn-RS"/>
        </w:rPr>
      </w:pPr>
    </w:p>
    <w:p w:rsidR="00A60F21" w:rsidRPr="00615350" w:rsidRDefault="00A60F21" w:rsidP="00900448">
      <w:pPr>
        <w:autoSpaceDE w:val="0"/>
        <w:autoSpaceDN w:val="0"/>
        <w:adjustRightInd w:val="0"/>
        <w:spacing w:after="0"/>
        <w:jc w:val="center"/>
        <w:rPr>
          <w:rFonts w:ascii="Times New Roman" w:eastAsia="Calibri" w:hAnsi="Times New Roman" w:cs="Times New Roman"/>
          <w:b/>
          <w:i/>
          <w:noProof/>
          <w:sz w:val="36"/>
          <w:szCs w:val="24"/>
          <w:lang w:val="sr-Latn-RS"/>
        </w:rPr>
      </w:pPr>
      <w:r w:rsidRPr="00615350">
        <w:rPr>
          <w:rFonts w:ascii="Times New Roman" w:eastAsia="Calibri" w:hAnsi="Times New Roman" w:cs="Times New Roman"/>
          <w:b/>
          <w:i/>
          <w:noProof/>
          <w:sz w:val="36"/>
          <w:szCs w:val="24"/>
          <w:lang w:val="sr-Latn-RS"/>
        </w:rPr>
        <w:t>Lokalni plan upravljanja komunalnim i neopasnim građevinskim otpadom</w:t>
      </w:r>
    </w:p>
    <w:p w:rsidR="00A60F21" w:rsidRPr="00615350" w:rsidRDefault="00A60F21" w:rsidP="00900448">
      <w:pPr>
        <w:autoSpaceDE w:val="0"/>
        <w:autoSpaceDN w:val="0"/>
        <w:adjustRightInd w:val="0"/>
        <w:spacing w:after="0"/>
        <w:jc w:val="center"/>
        <w:rPr>
          <w:rFonts w:ascii="Times New Roman" w:eastAsia="Calibri" w:hAnsi="Times New Roman" w:cs="Times New Roman"/>
          <w:b/>
          <w:i/>
          <w:noProof/>
          <w:sz w:val="36"/>
          <w:szCs w:val="24"/>
          <w:lang w:val="sr-Latn-RS"/>
        </w:rPr>
      </w:pPr>
    </w:p>
    <w:p w:rsidR="00A60F21" w:rsidRPr="00615350" w:rsidRDefault="00A60F21" w:rsidP="00900448">
      <w:pPr>
        <w:autoSpaceDE w:val="0"/>
        <w:autoSpaceDN w:val="0"/>
        <w:adjustRightInd w:val="0"/>
        <w:spacing w:after="0"/>
        <w:jc w:val="center"/>
        <w:rPr>
          <w:rFonts w:ascii="Times New Roman" w:eastAsia="Calibri" w:hAnsi="Times New Roman" w:cs="Times New Roman"/>
          <w:b/>
          <w:i/>
          <w:noProof/>
          <w:sz w:val="36"/>
          <w:szCs w:val="24"/>
          <w:lang w:val="sr-Latn-RS"/>
        </w:rPr>
      </w:pPr>
      <w:r w:rsidRPr="00615350">
        <w:rPr>
          <w:rFonts w:ascii="Times New Roman" w:eastAsia="Calibri" w:hAnsi="Times New Roman" w:cs="Times New Roman"/>
          <w:b/>
          <w:i/>
          <w:noProof/>
          <w:sz w:val="36"/>
          <w:szCs w:val="24"/>
          <w:lang w:val="sr-Latn-RS"/>
        </w:rPr>
        <w:t>2026 – 2029</w:t>
      </w:r>
    </w:p>
    <w:p w:rsidR="00A60F21" w:rsidRPr="00615350" w:rsidRDefault="00A60F21" w:rsidP="00900448">
      <w:pPr>
        <w:autoSpaceDE w:val="0"/>
        <w:autoSpaceDN w:val="0"/>
        <w:adjustRightInd w:val="0"/>
        <w:spacing w:after="0"/>
        <w:jc w:val="both"/>
        <w:rPr>
          <w:rFonts w:ascii="Times New Roman" w:eastAsia="ArialMT" w:hAnsi="Times New Roman" w:cs="Times New Roman"/>
          <w:i/>
          <w:noProof/>
          <w:sz w:val="24"/>
          <w:szCs w:val="24"/>
          <w:lang w:val="sr-Latn-RS"/>
        </w:rPr>
      </w:pPr>
    </w:p>
    <w:p w:rsidR="00A60F21" w:rsidRPr="00615350" w:rsidRDefault="00A60F21" w:rsidP="00900448">
      <w:pPr>
        <w:autoSpaceDE w:val="0"/>
        <w:autoSpaceDN w:val="0"/>
        <w:adjustRightInd w:val="0"/>
        <w:spacing w:after="0"/>
        <w:jc w:val="both"/>
        <w:rPr>
          <w:rFonts w:ascii="Times New Roman" w:eastAsia="Calibri" w:hAnsi="Times New Roman" w:cs="Times New Roman"/>
          <w:noProof/>
          <w:sz w:val="24"/>
          <w:szCs w:val="24"/>
          <w:lang w:val="sr-Latn-RS"/>
        </w:rPr>
      </w:pPr>
    </w:p>
    <w:p w:rsidR="00A60F21" w:rsidRPr="00615350" w:rsidRDefault="00A60F21" w:rsidP="00900448">
      <w:pPr>
        <w:autoSpaceDE w:val="0"/>
        <w:autoSpaceDN w:val="0"/>
        <w:adjustRightInd w:val="0"/>
        <w:spacing w:after="0"/>
        <w:jc w:val="center"/>
        <w:rPr>
          <w:rFonts w:ascii="Times New Roman" w:eastAsia="Calibri" w:hAnsi="Times New Roman" w:cs="Times New Roman"/>
          <w:noProof/>
          <w:sz w:val="24"/>
          <w:szCs w:val="24"/>
          <w:lang w:val="sr-Latn-RS"/>
        </w:rPr>
      </w:pPr>
      <w:r w:rsidRPr="00615350">
        <w:rPr>
          <w:rFonts w:ascii="Times New Roman" w:eastAsia="Calibri" w:hAnsi="Times New Roman" w:cs="Times New Roman"/>
          <w:noProof/>
          <w:sz w:val="24"/>
          <w:szCs w:val="24"/>
        </w:rPr>
        <w:drawing>
          <wp:inline distT="0" distB="0" distL="0" distR="0" wp14:anchorId="1D5ABBF4" wp14:editId="3CE9306B">
            <wp:extent cx="4790661" cy="3188486"/>
            <wp:effectExtent l="0" t="0" r="0" b="0"/>
            <wp:docPr id="2" name="Picture 2" descr="Општина Беране — Википедиј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штина Беране — Википедиј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2566" cy="3189754"/>
                    </a:xfrm>
                    <a:prstGeom prst="rect">
                      <a:avLst/>
                    </a:prstGeom>
                    <a:noFill/>
                    <a:ln>
                      <a:noFill/>
                    </a:ln>
                  </pic:spPr>
                </pic:pic>
              </a:graphicData>
            </a:graphic>
          </wp:inline>
        </w:drawing>
      </w:r>
    </w:p>
    <w:p w:rsidR="00A60F21" w:rsidRPr="00615350" w:rsidRDefault="00A60F21" w:rsidP="00900448">
      <w:pPr>
        <w:autoSpaceDE w:val="0"/>
        <w:autoSpaceDN w:val="0"/>
        <w:adjustRightInd w:val="0"/>
        <w:spacing w:after="0"/>
        <w:ind w:firstLine="720"/>
        <w:jc w:val="both"/>
        <w:rPr>
          <w:rFonts w:ascii="Times New Roman" w:eastAsia="Calibri" w:hAnsi="Times New Roman" w:cs="Times New Roman"/>
          <w:noProof/>
          <w:sz w:val="24"/>
          <w:szCs w:val="24"/>
          <w:lang w:val="sr-Latn-RS"/>
        </w:rPr>
      </w:pPr>
    </w:p>
    <w:p w:rsidR="00A60F21" w:rsidRPr="00615350" w:rsidRDefault="00A60F21" w:rsidP="00900448">
      <w:pPr>
        <w:autoSpaceDE w:val="0"/>
        <w:autoSpaceDN w:val="0"/>
        <w:adjustRightInd w:val="0"/>
        <w:spacing w:after="0"/>
        <w:jc w:val="both"/>
        <w:rPr>
          <w:rFonts w:ascii="Times New Roman" w:eastAsia="Calibri" w:hAnsi="Times New Roman" w:cs="Times New Roman"/>
          <w:b/>
          <w:noProof/>
          <w:sz w:val="24"/>
          <w:szCs w:val="24"/>
          <w:lang w:val="sr-Latn-RS"/>
        </w:rPr>
      </w:pPr>
    </w:p>
    <w:p w:rsidR="00B3650C" w:rsidRPr="00615350" w:rsidRDefault="00B3650C" w:rsidP="00900448">
      <w:pPr>
        <w:autoSpaceDE w:val="0"/>
        <w:autoSpaceDN w:val="0"/>
        <w:adjustRightInd w:val="0"/>
        <w:spacing w:after="0"/>
        <w:jc w:val="both"/>
        <w:rPr>
          <w:rFonts w:ascii="Times New Roman" w:eastAsia="Calibri" w:hAnsi="Times New Roman" w:cs="Times New Roman"/>
          <w:b/>
          <w:noProof/>
          <w:sz w:val="24"/>
          <w:szCs w:val="24"/>
          <w:lang w:val="sr-Latn-RS"/>
        </w:rPr>
      </w:pPr>
    </w:p>
    <w:p w:rsidR="00A60F21" w:rsidRPr="00615350" w:rsidRDefault="00A60F21" w:rsidP="00900448">
      <w:pPr>
        <w:autoSpaceDE w:val="0"/>
        <w:autoSpaceDN w:val="0"/>
        <w:adjustRightInd w:val="0"/>
        <w:spacing w:after="0"/>
        <w:jc w:val="center"/>
        <w:rPr>
          <w:rFonts w:ascii="Times New Roman" w:eastAsia="ArialMT" w:hAnsi="Times New Roman" w:cs="Times New Roman"/>
          <w:b/>
          <w:noProof/>
          <w:sz w:val="24"/>
          <w:szCs w:val="24"/>
          <w:lang w:val="sr-Latn-RS"/>
        </w:rPr>
      </w:pPr>
      <w:r w:rsidRPr="00615350">
        <w:rPr>
          <w:rFonts w:ascii="Times New Roman" w:eastAsia="Calibri" w:hAnsi="Times New Roman" w:cs="Times New Roman"/>
          <w:b/>
          <w:noProof/>
          <w:sz w:val="24"/>
          <w:szCs w:val="24"/>
          <w:lang w:val="sr-Latn-RS"/>
        </w:rPr>
        <w:t xml:space="preserve">Berane, </w:t>
      </w:r>
      <w:r w:rsidR="005D794D">
        <w:rPr>
          <w:rFonts w:ascii="Times New Roman" w:eastAsia="Calibri" w:hAnsi="Times New Roman" w:cs="Times New Roman"/>
          <w:b/>
          <w:noProof/>
          <w:sz w:val="24"/>
          <w:szCs w:val="24"/>
          <w:lang w:val="sr-Latn-RS"/>
        </w:rPr>
        <w:t>septembar</w:t>
      </w:r>
      <w:r w:rsidRPr="00615350">
        <w:rPr>
          <w:rFonts w:ascii="Times New Roman" w:eastAsia="Calibri" w:hAnsi="Times New Roman" w:cs="Times New Roman"/>
          <w:b/>
          <w:noProof/>
          <w:sz w:val="24"/>
          <w:szCs w:val="24"/>
          <w:lang w:val="sr-Latn-RS"/>
        </w:rPr>
        <w:t xml:space="preserve"> 2026</w:t>
      </w:r>
      <w:r w:rsidRPr="00615350">
        <w:rPr>
          <w:rFonts w:ascii="Times New Roman" w:eastAsia="ArialMT" w:hAnsi="Times New Roman" w:cs="Times New Roman"/>
          <w:noProof/>
          <w:sz w:val="24"/>
          <w:szCs w:val="24"/>
          <w:lang w:val="sr-Latn-RS"/>
        </w:rPr>
        <w:br w:type="page"/>
      </w:r>
    </w:p>
    <w:sdt>
      <w:sdtPr>
        <w:rPr>
          <w:rFonts w:ascii="Times New Roman" w:eastAsiaTheme="minorHAnsi" w:hAnsi="Times New Roman" w:cs="Times New Roman"/>
          <w:b w:val="0"/>
          <w:bCs w:val="0"/>
          <w:color w:val="auto"/>
          <w:sz w:val="24"/>
          <w:szCs w:val="24"/>
          <w:lang w:eastAsia="en-US"/>
        </w:rPr>
        <w:id w:val="-750738164"/>
        <w:docPartObj>
          <w:docPartGallery w:val="Table of Contents"/>
          <w:docPartUnique/>
        </w:docPartObj>
      </w:sdtPr>
      <w:sdtEndPr>
        <w:rPr>
          <w:b/>
          <w:noProof/>
        </w:rPr>
      </w:sdtEndPr>
      <w:sdtContent>
        <w:p w:rsidR="00B02ED0" w:rsidRPr="00615350" w:rsidRDefault="00444FBE">
          <w:pPr>
            <w:pStyle w:val="TOCHeading"/>
            <w:rPr>
              <w:rFonts w:ascii="Times New Roman" w:hAnsi="Times New Roman" w:cs="Times New Roman"/>
              <w:b w:val="0"/>
              <w:color w:val="auto"/>
              <w:sz w:val="24"/>
              <w:szCs w:val="24"/>
            </w:rPr>
          </w:pPr>
          <w:r w:rsidRPr="00615350">
            <w:rPr>
              <w:rFonts w:ascii="Times New Roman" w:hAnsi="Times New Roman" w:cs="Times New Roman"/>
              <w:b w:val="0"/>
              <w:color w:val="auto"/>
              <w:sz w:val="24"/>
              <w:szCs w:val="24"/>
            </w:rPr>
            <w:t>Sadržaj</w:t>
          </w:r>
        </w:p>
        <w:p w:rsidR="00923DA8" w:rsidRDefault="00B02ED0">
          <w:pPr>
            <w:pStyle w:val="TOC1"/>
            <w:tabs>
              <w:tab w:val="right" w:leader="dot" w:pos="9017"/>
            </w:tabs>
            <w:rPr>
              <w:rFonts w:eastAsiaTheme="minorEastAsia"/>
              <w:noProof/>
            </w:rPr>
          </w:pPr>
          <w:r w:rsidRPr="005D794D">
            <w:rPr>
              <w:rFonts w:ascii="Times New Roman" w:hAnsi="Times New Roman" w:cs="Times New Roman"/>
              <w:sz w:val="24"/>
              <w:szCs w:val="24"/>
            </w:rPr>
            <w:fldChar w:fldCharType="begin"/>
          </w:r>
          <w:r w:rsidRPr="005D794D">
            <w:rPr>
              <w:rFonts w:ascii="Times New Roman" w:hAnsi="Times New Roman" w:cs="Times New Roman"/>
              <w:sz w:val="24"/>
              <w:szCs w:val="24"/>
            </w:rPr>
            <w:instrText xml:space="preserve"> TOC \o "1-3" \h \z \u </w:instrText>
          </w:r>
          <w:r w:rsidRPr="005D794D">
            <w:rPr>
              <w:rFonts w:ascii="Times New Roman" w:hAnsi="Times New Roman" w:cs="Times New Roman"/>
              <w:sz w:val="24"/>
              <w:szCs w:val="24"/>
            </w:rPr>
            <w:fldChar w:fldCharType="separate"/>
          </w:r>
          <w:hyperlink w:anchor="_Toc240282260" w:history="1">
            <w:r w:rsidR="00923DA8" w:rsidRPr="001565BE">
              <w:rPr>
                <w:rStyle w:val="Hyperlink"/>
                <w:rFonts w:eastAsia="Times New Roman"/>
                <w:noProof/>
                <w:lang w:val="sr-Latn-RS"/>
              </w:rPr>
              <w:t>1 Uvod</w:t>
            </w:r>
            <w:r w:rsidR="00923DA8">
              <w:rPr>
                <w:noProof/>
                <w:webHidden/>
              </w:rPr>
              <w:tab/>
            </w:r>
            <w:r w:rsidR="00923DA8">
              <w:rPr>
                <w:noProof/>
                <w:webHidden/>
              </w:rPr>
              <w:fldChar w:fldCharType="begin"/>
            </w:r>
            <w:r w:rsidR="00923DA8">
              <w:rPr>
                <w:noProof/>
                <w:webHidden/>
              </w:rPr>
              <w:instrText xml:space="preserve"> PAGEREF _Toc240282260 \h </w:instrText>
            </w:r>
            <w:r w:rsidR="00923DA8">
              <w:rPr>
                <w:noProof/>
                <w:webHidden/>
              </w:rPr>
            </w:r>
            <w:r w:rsidR="00923DA8">
              <w:rPr>
                <w:noProof/>
                <w:webHidden/>
              </w:rPr>
              <w:fldChar w:fldCharType="separate"/>
            </w:r>
            <w:r w:rsidR="00923DA8">
              <w:rPr>
                <w:noProof/>
                <w:webHidden/>
              </w:rPr>
              <w:t>6</w:t>
            </w:r>
            <w:r w:rsidR="00923DA8">
              <w:rPr>
                <w:noProof/>
                <w:webHidden/>
              </w:rPr>
              <w:fldChar w:fldCharType="end"/>
            </w:r>
          </w:hyperlink>
        </w:p>
        <w:p w:rsidR="00923DA8" w:rsidRDefault="00923DA8">
          <w:pPr>
            <w:pStyle w:val="TOC2"/>
            <w:tabs>
              <w:tab w:val="left" w:pos="880"/>
              <w:tab w:val="right" w:leader="dot" w:pos="9017"/>
            </w:tabs>
            <w:rPr>
              <w:rFonts w:eastAsiaTheme="minorEastAsia"/>
              <w:noProof/>
            </w:rPr>
          </w:pPr>
          <w:hyperlink w:anchor="_Toc240282261" w:history="1">
            <w:r w:rsidRPr="001565BE">
              <w:rPr>
                <w:rStyle w:val="Hyperlink"/>
                <w:rFonts w:eastAsia="Times New Roman"/>
                <w:noProof/>
                <w:lang w:val="sr-Latn-RS"/>
              </w:rPr>
              <w:t>1.1.</w:t>
            </w:r>
            <w:r>
              <w:rPr>
                <w:rFonts w:eastAsiaTheme="minorEastAsia"/>
                <w:noProof/>
              </w:rPr>
              <w:tab/>
            </w:r>
            <w:r w:rsidRPr="001565BE">
              <w:rPr>
                <w:rStyle w:val="Hyperlink"/>
                <w:rFonts w:eastAsia="Times New Roman"/>
                <w:noProof/>
                <w:lang w:val="sr-Latn-RS"/>
              </w:rPr>
              <w:t>Razlozi i pravni osnov za izradu Plana</w:t>
            </w:r>
            <w:r>
              <w:rPr>
                <w:noProof/>
                <w:webHidden/>
              </w:rPr>
              <w:tab/>
            </w:r>
            <w:r>
              <w:rPr>
                <w:noProof/>
                <w:webHidden/>
              </w:rPr>
              <w:fldChar w:fldCharType="begin"/>
            </w:r>
            <w:r>
              <w:rPr>
                <w:noProof/>
                <w:webHidden/>
              </w:rPr>
              <w:instrText xml:space="preserve"> PAGEREF _Toc240282261 \h </w:instrText>
            </w:r>
            <w:r>
              <w:rPr>
                <w:noProof/>
                <w:webHidden/>
              </w:rPr>
            </w:r>
            <w:r>
              <w:rPr>
                <w:noProof/>
                <w:webHidden/>
              </w:rPr>
              <w:fldChar w:fldCharType="separate"/>
            </w:r>
            <w:r>
              <w:rPr>
                <w:noProof/>
                <w:webHidden/>
              </w:rPr>
              <w:t>6</w:t>
            </w:r>
            <w:r>
              <w:rPr>
                <w:noProof/>
                <w:webHidden/>
              </w:rPr>
              <w:fldChar w:fldCharType="end"/>
            </w:r>
          </w:hyperlink>
        </w:p>
        <w:p w:rsidR="00923DA8" w:rsidRDefault="00923DA8">
          <w:pPr>
            <w:pStyle w:val="TOC2"/>
            <w:tabs>
              <w:tab w:val="left" w:pos="880"/>
              <w:tab w:val="right" w:leader="dot" w:pos="9017"/>
            </w:tabs>
            <w:rPr>
              <w:rFonts w:eastAsiaTheme="minorEastAsia"/>
              <w:noProof/>
            </w:rPr>
          </w:pPr>
          <w:hyperlink w:anchor="_Toc240282262" w:history="1">
            <w:r w:rsidRPr="001565BE">
              <w:rPr>
                <w:rStyle w:val="Hyperlink"/>
                <w:rFonts w:eastAsia="Times New Roman"/>
                <w:noProof/>
                <w:lang w:val="sr-Latn-RS"/>
              </w:rPr>
              <w:t>1.2.</w:t>
            </w:r>
            <w:r>
              <w:rPr>
                <w:rFonts w:eastAsiaTheme="minorEastAsia"/>
                <w:noProof/>
              </w:rPr>
              <w:tab/>
            </w:r>
            <w:r w:rsidRPr="001565BE">
              <w:rPr>
                <w:rStyle w:val="Hyperlink"/>
                <w:rFonts w:eastAsia="Times New Roman"/>
                <w:noProof/>
                <w:lang w:val="sr-Latn-RS"/>
              </w:rPr>
              <w:t>Predmet, cilj i obuhvat Plana</w:t>
            </w:r>
            <w:r>
              <w:rPr>
                <w:noProof/>
                <w:webHidden/>
              </w:rPr>
              <w:tab/>
            </w:r>
            <w:r>
              <w:rPr>
                <w:noProof/>
                <w:webHidden/>
              </w:rPr>
              <w:fldChar w:fldCharType="begin"/>
            </w:r>
            <w:r>
              <w:rPr>
                <w:noProof/>
                <w:webHidden/>
              </w:rPr>
              <w:instrText xml:space="preserve"> PAGEREF _Toc240282262 \h </w:instrText>
            </w:r>
            <w:r>
              <w:rPr>
                <w:noProof/>
                <w:webHidden/>
              </w:rPr>
            </w:r>
            <w:r>
              <w:rPr>
                <w:noProof/>
                <w:webHidden/>
              </w:rPr>
              <w:fldChar w:fldCharType="separate"/>
            </w:r>
            <w:r>
              <w:rPr>
                <w:noProof/>
                <w:webHidden/>
              </w:rPr>
              <w:t>7</w:t>
            </w:r>
            <w:r>
              <w:rPr>
                <w:noProof/>
                <w:webHidden/>
              </w:rPr>
              <w:fldChar w:fldCharType="end"/>
            </w:r>
          </w:hyperlink>
        </w:p>
        <w:p w:rsidR="00923DA8" w:rsidRDefault="00923DA8">
          <w:pPr>
            <w:pStyle w:val="TOC2"/>
            <w:tabs>
              <w:tab w:val="right" w:leader="dot" w:pos="9017"/>
            </w:tabs>
            <w:rPr>
              <w:rFonts w:eastAsiaTheme="minorEastAsia"/>
              <w:noProof/>
            </w:rPr>
          </w:pPr>
          <w:hyperlink w:anchor="_Toc240282263" w:history="1">
            <w:r w:rsidRPr="001565BE">
              <w:rPr>
                <w:rStyle w:val="Hyperlink"/>
                <w:rFonts w:eastAsia="Times New Roman"/>
                <w:noProof/>
                <w:lang w:val="sr-Latn-RS"/>
              </w:rPr>
              <w:t>1.3. Planski period</w:t>
            </w:r>
            <w:r>
              <w:rPr>
                <w:noProof/>
                <w:webHidden/>
              </w:rPr>
              <w:tab/>
            </w:r>
            <w:r>
              <w:rPr>
                <w:noProof/>
                <w:webHidden/>
              </w:rPr>
              <w:fldChar w:fldCharType="begin"/>
            </w:r>
            <w:r>
              <w:rPr>
                <w:noProof/>
                <w:webHidden/>
              </w:rPr>
              <w:instrText xml:space="preserve"> PAGEREF _Toc240282263 \h </w:instrText>
            </w:r>
            <w:r>
              <w:rPr>
                <w:noProof/>
                <w:webHidden/>
              </w:rPr>
            </w:r>
            <w:r>
              <w:rPr>
                <w:noProof/>
                <w:webHidden/>
              </w:rPr>
              <w:fldChar w:fldCharType="separate"/>
            </w:r>
            <w:r>
              <w:rPr>
                <w:noProof/>
                <w:webHidden/>
              </w:rPr>
              <w:t>8</w:t>
            </w:r>
            <w:r>
              <w:rPr>
                <w:noProof/>
                <w:webHidden/>
              </w:rPr>
              <w:fldChar w:fldCharType="end"/>
            </w:r>
          </w:hyperlink>
        </w:p>
        <w:p w:rsidR="00923DA8" w:rsidRDefault="00923DA8">
          <w:pPr>
            <w:pStyle w:val="TOC2"/>
            <w:tabs>
              <w:tab w:val="right" w:leader="dot" w:pos="9017"/>
            </w:tabs>
            <w:rPr>
              <w:rFonts w:eastAsiaTheme="minorEastAsia"/>
              <w:noProof/>
            </w:rPr>
          </w:pPr>
          <w:hyperlink w:anchor="_Toc240282264" w:history="1">
            <w:r w:rsidRPr="001565BE">
              <w:rPr>
                <w:rStyle w:val="Hyperlink"/>
                <w:rFonts w:eastAsia="Times New Roman"/>
                <w:noProof/>
                <w:lang w:val="sr-Latn-RS"/>
              </w:rPr>
              <w:t>1.4. Metodologija izrade i izvori podataka</w:t>
            </w:r>
            <w:r>
              <w:rPr>
                <w:noProof/>
                <w:webHidden/>
              </w:rPr>
              <w:tab/>
            </w:r>
            <w:r>
              <w:rPr>
                <w:noProof/>
                <w:webHidden/>
              </w:rPr>
              <w:fldChar w:fldCharType="begin"/>
            </w:r>
            <w:r>
              <w:rPr>
                <w:noProof/>
                <w:webHidden/>
              </w:rPr>
              <w:instrText xml:space="preserve"> PAGEREF _Toc240282264 \h </w:instrText>
            </w:r>
            <w:r>
              <w:rPr>
                <w:noProof/>
                <w:webHidden/>
              </w:rPr>
            </w:r>
            <w:r>
              <w:rPr>
                <w:noProof/>
                <w:webHidden/>
              </w:rPr>
              <w:fldChar w:fldCharType="separate"/>
            </w:r>
            <w:r>
              <w:rPr>
                <w:noProof/>
                <w:webHidden/>
              </w:rPr>
              <w:t>9</w:t>
            </w:r>
            <w:r>
              <w:rPr>
                <w:noProof/>
                <w:webHidden/>
              </w:rPr>
              <w:fldChar w:fldCharType="end"/>
            </w:r>
          </w:hyperlink>
        </w:p>
        <w:p w:rsidR="00923DA8" w:rsidRDefault="00923DA8">
          <w:pPr>
            <w:pStyle w:val="TOC1"/>
            <w:tabs>
              <w:tab w:val="right" w:leader="dot" w:pos="9017"/>
            </w:tabs>
            <w:rPr>
              <w:rFonts w:eastAsiaTheme="minorEastAsia"/>
              <w:noProof/>
            </w:rPr>
          </w:pPr>
          <w:hyperlink w:anchor="_Toc240282265" w:history="1">
            <w:r w:rsidRPr="001565BE">
              <w:rPr>
                <w:rStyle w:val="Hyperlink"/>
                <w:rFonts w:eastAsia="Times New Roman"/>
                <w:noProof/>
                <w:lang w:val="sr-Latn-RS"/>
              </w:rPr>
              <w:t>2 PRAVNI, STRATEŠKI I INSTITUCIONALNI OKVIR</w:t>
            </w:r>
            <w:r>
              <w:rPr>
                <w:noProof/>
                <w:webHidden/>
              </w:rPr>
              <w:tab/>
            </w:r>
            <w:r>
              <w:rPr>
                <w:noProof/>
                <w:webHidden/>
              </w:rPr>
              <w:fldChar w:fldCharType="begin"/>
            </w:r>
            <w:r>
              <w:rPr>
                <w:noProof/>
                <w:webHidden/>
              </w:rPr>
              <w:instrText xml:space="preserve"> PAGEREF _Toc240282265 \h </w:instrText>
            </w:r>
            <w:r>
              <w:rPr>
                <w:noProof/>
                <w:webHidden/>
              </w:rPr>
            </w:r>
            <w:r>
              <w:rPr>
                <w:noProof/>
                <w:webHidden/>
              </w:rPr>
              <w:fldChar w:fldCharType="separate"/>
            </w:r>
            <w:r>
              <w:rPr>
                <w:noProof/>
                <w:webHidden/>
              </w:rPr>
              <w:t>11</w:t>
            </w:r>
            <w:r>
              <w:rPr>
                <w:noProof/>
                <w:webHidden/>
              </w:rPr>
              <w:fldChar w:fldCharType="end"/>
            </w:r>
          </w:hyperlink>
        </w:p>
        <w:p w:rsidR="00923DA8" w:rsidRDefault="00923DA8">
          <w:pPr>
            <w:pStyle w:val="TOC2"/>
            <w:tabs>
              <w:tab w:val="right" w:leader="dot" w:pos="9017"/>
            </w:tabs>
            <w:rPr>
              <w:rFonts w:eastAsiaTheme="minorEastAsia"/>
              <w:noProof/>
            </w:rPr>
          </w:pPr>
          <w:hyperlink w:anchor="_Toc240282266" w:history="1">
            <w:r w:rsidRPr="001565BE">
              <w:rPr>
                <w:rStyle w:val="Hyperlink"/>
                <w:rFonts w:eastAsia="Times New Roman"/>
                <w:noProof/>
                <w:lang w:val="sr-Latn-RS"/>
              </w:rPr>
              <w:t>2.1 Pravni okvir</w:t>
            </w:r>
            <w:r>
              <w:rPr>
                <w:noProof/>
                <w:webHidden/>
              </w:rPr>
              <w:tab/>
            </w:r>
            <w:r>
              <w:rPr>
                <w:noProof/>
                <w:webHidden/>
              </w:rPr>
              <w:fldChar w:fldCharType="begin"/>
            </w:r>
            <w:r>
              <w:rPr>
                <w:noProof/>
                <w:webHidden/>
              </w:rPr>
              <w:instrText xml:space="preserve"> PAGEREF _Toc240282266 \h </w:instrText>
            </w:r>
            <w:r>
              <w:rPr>
                <w:noProof/>
                <w:webHidden/>
              </w:rPr>
            </w:r>
            <w:r>
              <w:rPr>
                <w:noProof/>
                <w:webHidden/>
              </w:rPr>
              <w:fldChar w:fldCharType="separate"/>
            </w:r>
            <w:r>
              <w:rPr>
                <w:noProof/>
                <w:webHidden/>
              </w:rPr>
              <w:t>11</w:t>
            </w:r>
            <w:r>
              <w:rPr>
                <w:noProof/>
                <w:webHidden/>
              </w:rPr>
              <w:fldChar w:fldCharType="end"/>
            </w:r>
          </w:hyperlink>
        </w:p>
        <w:p w:rsidR="00923DA8" w:rsidRDefault="00923DA8">
          <w:pPr>
            <w:pStyle w:val="TOC2"/>
            <w:tabs>
              <w:tab w:val="right" w:leader="dot" w:pos="9017"/>
            </w:tabs>
            <w:rPr>
              <w:rFonts w:eastAsiaTheme="minorEastAsia"/>
              <w:noProof/>
            </w:rPr>
          </w:pPr>
          <w:hyperlink w:anchor="_Toc240282267" w:history="1">
            <w:r w:rsidRPr="001565BE">
              <w:rPr>
                <w:rStyle w:val="Hyperlink"/>
                <w:rFonts w:eastAsia="Times New Roman"/>
                <w:noProof/>
                <w:lang w:val="sr-Latn-RS"/>
              </w:rPr>
              <w:t>2.2. Strateški i planski okvir</w:t>
            </w:r>
            <w:r>
              <w:rPr>
                <w:noProof/>
                <w:webHidden/>
              </w:rPr>
              <w:tab/>
            </w:r>
            <w:r>
              <w:rPr>
                <w:noProof/>
                <w:webHidden/>
              </w:rPr>
              <w:fldChar w:fldCharType="begin"/>
            </w:r>
            <w:r>
              <w:rPr>
                <w:noProof/>
                <w:webHidden/>
              </w:rPr>
              <w:instrText xml:space="preserve"> PAGEREF _Toc240282267 \h </w:instrText>
            </w:r>
            <w:r>
              <w:rPr>
                <w:noProof/>
                <w:webHidden/>
              </w:rPr>
            </w:r>
            <w:r>
              <w:rPr>
                <w:noProof/>
                <w:webHidden/>
              </w:rPr>
              <w:fldChar w:fldCharType="separate"/>
            </w:r>
            <w:r>
              <w:rPr>
                <w:noProof/>
                <w:webHidden/>
              </w:rPr>
              <w:t>14</w:t>
            </w:r>
            <w:r>
              <w:rPr>
                <w:noProof/>
                <w:webHidden/>
              </w:rPr>
              <w:fldChar w:fldCharType="end"/>
            </w:r>
          </w:hyperlink>
        </w:p>
        <w:p w:rsidR="00923DA8" w:rsidRDefault="00923DA8">
          <w:pPr>
            <w:pStyle w:val="TOC3"/>
            <w:tabs>
              <w:tab w:val="right" w:leader="dot" w:pos="9017"/>
            </w:tabs>
            <w:rPr>
              <w:rFonts w:eastAsiaTheme="minorEastAsia"/>
              <w:noProof/>
            </w:rPr>
          </w:pPr>
          <w:hyperlink w:anchor="_Toc240282268" w:history="1">
            <w:r w:rsidRPr="001565BE">
              <w:rPr>
                <w:rStyle w:val="Hyperlink"/>
                <w:rFonts w:eastAsia="Times New Roman"/>
                <w:noProof/>
                <w:lang w:val="sr-Latn-RS"/>
              </w:rPr>
              <w:t>2.2.1. Državni plan upravljanja otpadom za period 2025–2029. godine</w:t>
            </w:r>
            <w:r>
              <w:rPr>
                <w:noProof/>
                <w:webHidden/>
              </w:rPr>
              <w:tab/>
            </w:r>
            <w:r>
              <w:rPr>
                <w:noProof/>
                <w:webHidden/>
              </w:rPr>
              <w:fldChar w:fldCharType="begin"/>
            </w:r>
            <w:r>
              <w:rPr>
                <w:noProof/>
                <w:webHidden/>
              </w:rPr>
              <w:instrText xml:space="preserve"> PAGEREF _Toc240282268 \h </w:instrText>
            </w:r>
            <w:r>
              <w:rPr>
                <w:noProof/>
                <w:webHidden/>
              </w:rPr>
            </w:r>
            <w:r>
              <w:rPr>
                <w:noProof/>
                <w:webHidden/>
              </w:rPr>
              <w:fldChar w:fldCharType="separate"/>
            </w:r>
            <w:r>
              <w:rPr>
                <w:noProof/>
                <w:webHidden/>
              </w:rPr>
              <w:t>14</w:t>
            </w:r>
            <w:r>
              <w:rPr>
                <w:noProof/>
                <w:webHidden/>
              </w:rPr>
              <w:fldChar w:fldCharType="end"/>
            </w:r>
          </w:hyperlink>
        </w:p>
        <w:p w:rsidR="00923DA8" w:rsidRDefault="00923DA8">
          <w:pPr>
            <w:pStyle w:val="TOC3"/>
            <w:tabs>
              <w:tab w:val="right" w:leader="dot" w:pos="9017"/>
            </w:tabs>
            <w:rPr>
              <w:rFonts w:eastAsiaTheme="minorEastAsia"/>
              <w:noProof/>
            </w:rPr>
          </w:pPr>
          <w:hyperlink w:anchor="_Toc240282269" w:history="1">
            <w:r w:rsidRPr="001565BE">
              <w:rPr>
                <w:rStyle w:val="Hyperlink"/>
                <w:rFonts w:eastAsia="Times New Roman"/>
                <w:noProof/>
                <w:lang w:val="sr-Latn-RS"/>
              </w:rPr>
              <w:t>2.2.2. Strategija upravljanja otpadom do 2030. godine</w:t>
            </w:r>
            <w:r>
              <w:rPr>
                <w:noProof/>
                <w:webHidden/>
              </w:rPr>
              <w:tab/>
            </w:r>
            <w:r>
              <w:rPr>
                <w:noProof/>
                <w:webHidden/>
              </w:rPr>
              <w:fldChar w:fldCharType="begin"/>
            </w:r>
            <w:r>
              <w:rPr>
                <w:noProof/>
                <w:webHidden/>
              </w:rPr>
              <w:instrText xml:space="preserve"> PAGEREF _Toc240282269 \h </w:instrText>
            </w:r>
            <w:r>
              <w:rPr>
                <w:noProof/>
                <w:webHidden/>
              </w:rPr>
            </w:r>
            <w:r>
              <w:rPr>
                <w:noProof/>
                <w:webHidden/>
              </w:rPr>
              <w:fldChar w:fldCharType="separate"/>
            </w:r>
            <w:r>
              <w:rPr>
                <w:noProof/>
                <w:webHidden/>
              </w:rPr>
              <w:t>17</w:t>
            </w:r>
            <w:r>
              <w:rPr>
                <w:noProof/>
                <w:webHidden/>
              </w:rPr>
              <w:fldChar w:fldCharType="end"/>
            </w:r>
          </w:hyperlink>
        </w:p>
        <w:p w:rsidR="00923DA8" w:rsidRDefault="00923DA8">
          <w:pPr>
            <w:pStyle w:val="TOC2"/>
            <w:tabs>
              <w:tab w:val="right" w:leader="dot" w:pos="9017"/>
            </w:tabs>
            <w:rPr>
              <w:rFonts w:eastAsiaTheme="minorEastAsia"/>
              <w:noProof/>
            </w:rPr>
          </w:pPr>
          <w:hyperlink w:anchor="_Toc240282270" w:history="1">
            <w:r w:rsidRPr="001565BE">
              <w:rPr>
                <w:rStyle w:val="Hyperlink"/>
                <w:rFonts w:eastAsia="Times New Roman"/>
                <w:noProof/>
                <w:lang w:val="sr-Latn-RS"/>
              </w:rPr>
              <w:t>2.3. Lokalni normativni okvir</w:t>
            </w:r>
            <w:r>
              <w:rPr>
                <w:noProof/>
                <w:webHidden/>
              </w:rPr>
              <w:tab/>
            </w:r>
            <w:r>
              <w:rPr>
                <w:noProof/>
                <w:webHidden/>
              </w:rPr>
              <w:fldChar w:fldCharType="begin"/>
            </w:r>
            <w:r>
              <w:rPr>
                <w:noProof/>
                <w:webHidden/>
              </w:rPr>
              <w:instrText xml:space="preserve"> PAGEREF _Toc240282270 \h </w:instrText>
            </w:r>
            <w:r>
              <w:rPr>
                <w:noProof/>
                <w:webHidden/>
              </w:rPr>
            </w:r>
            <w:r>
              <w:rPr>
                <w:noProof/>
                <w:webHidden/>
              </w:rPr>
              <w:fldChar w:fldCharType="separate"/>
            </w:r>
            <w:r>
              <w:rPr>
                <w:noProof/>
                <w:webHidden/>
              </w:rPr>
              <w:t>18</w:t>
            </w:r>
            <w:r>
              <w:rPr>
                <w:noProof/>
                <w:webHidden/>
              </w:rPr>
              <w:fldChar w:fldCharType="end"/>
            </w:r>
          </w:hyperlink>
        </w:p>
        <w:p w:rsidR="00923DA8" w:rsidRDefault="00923DA8">
          <w:pPr>
            <w:pStyle w:val="TOC2"/>
            <w:tabs>
              <w:tab w:val="right" w:leader="dot" w:pos="9017"/>
            </w:tabs>
            <w:rPr>
              <w:rFonts w:eastAsiaTheme="minorEastAsia"/>
              <w:noProof/>
            </w:rPr>
          </w:pPr>
          <w:hyperlink w:anchor="_Toc240282271" w:history="1">
            <w:r w:rsidRPr="001565BE">
              <w:rPr>
                <w:rStyle w:val="Hyperlink"/>
                <w:rFonts w:eastAsia="Times New Roman"/>
                <w:noProof/>
                <w:lang w:val="sr-Latn-RS"/>
              </w:rPr>
              <w:t>2.4. Analiza realizacije prethodnog Lokalnog plana upravljanja otpadom</w:t>
            </w:r>
            <w:r>
              <w:rPr>
                <w:noProof/>
                <w:webHidden/>
              </w:rPr>
              <w:tab/>
            </w:r>
            <w:r>
              <w:rPr>
                <w:noProof/>
                <w:webHidden/>
              </w:rPr>
              <w:fldChar w:fldCharType="begin"/>
            </w:r>
            <w:r>
              <w:rPr>
                <w:noProof/>
                <w:webHidden/>
              </w:rPr>
              <w:instrText xml:space="preserve"> PAGEREF _Toc240282271 \h </w:instrText>
            </w:r>
            <w:r>
              <w:rPr>
                <w:noProof/>
                <w:webHidden/>
              </w:rPr>
            </w:r>
            <w:r>
              <w:rPr>
                <w:noProof/>
                <w:webHidden/>
              </w:rPr>
              <w:fldChar w:fldCharType="separate"/>
            </w:r>
            <w:r>
              <w:rPr>
                <w:noProof/>
                <w:webHidden/>
              </w:rPr>
              <w:t>20</w:t>
            </w:r>
            <w:r>
              <w:rPr>
                <w:noProof/>
                <w:webHidden/>
              </w:rPr>
              <w:fldChar w:fldCharType="end"/>
            </w:r>
          </w:hyperlink>
        </w:p>
        <w:p w:rsidR="00923DA8" w:rsidRDefault="00923DA8">
          <w:pPr>
            <w:pStyle w:val="TOC1"/>
            <w:tabs>
              <w:tab w:val="right" w:leader="dot" w:pos="9017"/>
            </w:tabs>
            <w:rPr>
              <w:rFonts w:eastAsiaTheme="minorEastAsia"/>
              <w:noProof/>
            </w:rPr>
          </w:pPr>
          <w:hyperlink w:anchor="_Toc240282272" w:history="1">
            <w:r w:rsidRPr="001565BE">
              <w:rPr>
                <w:rStyle w:val="Hyperlink"/>
                <w:rFonts w:eastAsia="Times New Roman"/>
                <w:noProof/>
                <w:lang w:val="sr-Latn-RS"/>
              </w:rPr>
              <w:t>3. POSTOJEĆE STANJE UPRAVLJANJA OTPADOM NA TERITORIJI OPŠTINE BERANE</w:t>
            </w:r>
            <w:r>
              <w:rPr>
                <w:noProof/>
                <w:webHidden/>
              </w:rPr>
              <w:tab/>
            </w:r>
            <w:r>
              <w:rPr>
                <w:noProof/>
                <w:webHidden/>
              </w:rPr>
              <w:fldChar w:fldCharType="begin"/>
            </w:r>
            <w:r>
              <w:rPr>
                <w:noProof/>
                <w:webHidden/>
              </w:rPr>
              <w:instrText xml:space="preserve"> PAGEREF _Toc240282272 \h </w:instrText>
            </w:r>
            <w:r>
              <w:rPr>
                <w:noProof/>
                <w:webHidden/>
              </w:rPr>
            </w:r>
            <w:r>
              <w:rPr>
                <w:noProof/>
                <w:webHidden/>
              </w:rPr>
              <w:fldChar w:fldCharType="separate"/>
            </w:r>
            <w:r>
              <w:rPr>
                <w:noProof/>
                <w:webHidden/>
              </w:rPr>
              <w:t>22</w:t>
            </w:r>
            <w:r>
              <w:rPr>
                <w:noProof/>
                <w:webHidden/>
              </w:rPr>
              <w:fldChar w:fldCharType="end"/>
            </w:r>
          </w:hyperlink>
        </w:p>
        <w:p w:rsidR="00923DA8" w:rsidRDefault="00923DA8">
          <w:pPr>
            <w:pStyle w:val="TOC2"/>
            <w:tabs>
              <w:tab w:val="right" w:leader="dot" w:pos="9017"/>
            </w:tabs>
            <w:rPr>
              <w:rFonts w:eastAsiaTheme="minorEastAsia"/>
              <w:noProof/>
            </w:rPr>
          </w:pPr>
          <w:hyperlink w:anchor="_Toc240282273" w:history="1">
            <w:r w:rsidRPr="001565BE">
              <w:rPr>
                <w:rStyle w:val="Hyperlink"/>
                <w:rFonts w:eastAsia="Times New Roman"/>
                <w:noProof/>
                <w:lang w:val="sr-Latn-RS"/>
              </w:rPr>
              <w:t>3.1. Osnovne karakteristike Opštine Berane</w:t>
            </w:r>
            <w:r>
              <w:rPr>
                <w:noProof/>
                <w:webHidden/>
              </w:rPr>
              <w:tab/>
            </w:r>
            <w:r>
              <w:rPr>
                <w:noProof/>
                <w:webHidden/>
              </w:rPr>
              <w:fldChar w:fldCharType="begin"/>
            </w:r>
            <w:r>
              <w:rPr>
                <w:noProof/>
                <w:webHidden/>
              </w:rPr>
              <w:instrText xml:space="preserve"> PAGEREF _Toc240282273 \h </w:instrText>
            </w:r>
            <w:r>
              <w:rPr>
                <w:noProof/>
                <w:webHidden/>
              </w:rPr>
            </w:r>
            <w:r>
              <w:rPr>
                <w:noProof/>
                <w:webHidden/>
              </w:rPr>
              <w:fldChar w:fldCharType="separate"/>
            </w:r>
            <w:r>
              <w:rPr>
                <w:noProof/>
                <w:webHidden/>
              </w:rPr>
              <w:t>22</w:t>
            </w:r>
            <w:r>
              <w:rPr>
                <w:noProof/>
                <w:webHidden/>
              </w:rPr>
              <w:fldChar w:fldCharType="end"/>
            </w:r>
          </w:hyperlink>
        </w:p>
        <w:p w:rsidR="00923DA8" w:rsidRDefault="00923DA8">
          <w:pPr>
            <w:pStyle w:val="TOC2"/>
            <w:tabs>
              <w:tab w:val="right" w:leader="dot" w:pos="9017"/>
            </w:tabs>
            <w:rPr>
              <w:rFonts w:eastAsiaTheme="minorEastAsia"/>
              <w:noProof/>
            </w:rPr>
          </w:pPr>
          <w:hyperlink w:anchor="_Toc240282274" w:history="1">
            <w:r w:rsidRPr="001565BE">
              <w:rPr>
                <w:rStyle w:val="Hyperlink"/>
                <w:rFonts w:ascii="Times New Roman" w:eastAsia="Times New Roman" w:hAnsi="Times New Roman" w:cs="Times New Roman"/>
                <w:noProof/>
                <w:lang w:val="sr-Latn-RS"/>
              </w:rPr>
              <w:t>3.2. Organizacija sistema upravljanja komunalnim otpadom</w:t>
            </w:r>
            <w:r>
              <w:rPr>
                <w:noProof/>
                <w:webHidden/>
              </w:rPr>
              <w:tab/>
            </w:r>
            <w:r>
              <w:rPr>
                <w:noProof/>
                <w:webHidden/>
              </w:rPr>
              <w:fldChar w:fldCharType="begin"/>
            </w:r>
            <w:r>
              <w:rPr>
                <w:noProof/>
                <w:webHidden/>
              </w:rPr>
              <w:instrText xml:space="preserve"> PAGEREF _Toc240282274 \h </w:instrText>
            </w:r>
            <w:r>
              <w:rPr>
                <w:noProof/>
                <w:webHidden/>
              </w:rPr>
            </w:r>
            <w:r>
              <w:rPr>
                <w:noProof/>
                <w:webHidden/>
              </w:rPr>
              <w:fldChar w:fldCharType="separate"/>
            </w:r>
            <w:r>
              <w:rPr>
                <w:noProof/>
                <w:webHidden/>
              </w:rPr>
              <w:t>23</w:t>
            </w:r>
            <w:r>
              <w:rPr>
                <w:noProof/>
                <w:webHidden/>
              </w:rPr>
              <w:fldChar w:fldCharType="end"/>
            </w:r>
          </w:hyperlink>
        </w:p>
        <w:p w:rsidR="00923DA8" w:rsidRDefault="00923DA8">
          <w:pPr>
            <w:pStyle w:val="TOC2"/>
            <w:tabs>
              <w:tab w:val="right" w:leader="dot" w:pos="9017"/>
            </w:tabs>
            <w:rPr>
              <w:rFonts w:eastAsiaTheme="minorEastAsia"/>
              <w:noProof/>
            </w:rPr>
          </w:pPr>
          <w:hyperlink w:anchor="_Toc240282275" w:history="1">
            <w:r w:rsidRPr="001565BE">
              <w:rPr>
                <w:rStyle w:val="Hyperlink"/>
                <w:rFonts w:ascii="Times New Roman" w:hAnsi="Times New Roman" w:cs="Times New Roman"/>
                <w:noProof/>
              </w:rPr>
              <w:t>3.3. Količine komunalnog otpada</w:t>
            </w:r>
            <w:r>
              <w:rPr>
                <w:noProof/>
                <w:webHidden/>
              </w:rPr>
              <w:tab/>
            </w:r>
            <w:r>
              <w:rPr>
                <w:noProof/>
                <w:webHidden/>
              </w:rPr>
              <w:fldChar w:fldCharType="begin"/>
            </w:r>
            <w:r>
              <w:rPr>
                <w:noProof/>
                <w:webHidden/>
              </w:rPr>
              <w:instrText xml:space="preserve"> PAGEREF _Toc240282275 \h </w:instrText>
            </w:r>
            <w:r>
              <w:rPr>
                <w:noProof/>
                <w:webHidden/>
              </w:rPr>
            </w:r>
            <w:r>
              <w:rPr>
                <w:noProof/>
                <w:webHidden/>
              </w:rPr>
              <w:fldChar w:fldCharType="separate"/>
            </w:r>
            <w:r>
              <w:rPr>
                <w:noProof/>
                <w:webHidden/>
              </w:rPr>
              <w:t>24</w:t>
            </w:r>
            <w:r>
              <w:rPr>
                <w:noProof/>
                <w:webHidden/>
              </w:rPr>
              <w:fldChar w:fldCharType="end"/>
            </w:r>
          </w:hyperlink>
        </w:p>
        <w:p w:rsidR="00923DA8" w:rsidRDefault="00923DA8">
          <w:pPr>
            <w:pStyle w:val="TOC2"/>
            <w:tabs>
              <w:tab w:val="right" w:leader="dot" w:pos="9017"/>
            </w:tabs>
            <w:rPr>
              <w:rFonts w:eastAsiaTheme="minorEastAsia"/>
              <w:noProof/>
            </w:rPr>
          </w:pPr>
          <w:hyperlink w:anchor="_Toc240282276" w:history="1">
            <w:r w:rsidRPr="001565BE">
              <w:rPr>
                <w:rStyle w:val="Hyperlink"/>
                <w:rFonts w:ascii="Times New Roman" w:eastAsia="Times New Roman" w:hAnsi="Times New Roman" w:cs="Times New Roman"/>
                <w:noProof/>
                <w:lang w:val="sr-Latn-RS"/>
              </w:rPr>
              <w:t>3.4. Morfološki sastav komunalnog otpada</w:t>
            </w:r>
            <w:r>
              <w:rPr>
                <w:noProof/>
                <w:webHidden/>
              </w:rPr>
              <w:tab/>
            </w:r>
            <w:r>
              <w:rPr>
                <w:noProof/>
                <w:webHidden/>
              </w:rPr>
              <w:fldChar w:fldCharType="begin"/>
            </w:r>
            <w:r>
              <w:rPr>
                <w:noProof/>
                <w:webHidden/>
              </w:rPr>
              <w:instrText xml:space="preserve"> PAGEREF _Toc240282276 \h </w:instrText>
            </w:r>
            <w:r>
              <w:rPr>
                <w:noProof/>
                <w:webHidden/>
              </w:rPr>
            </w:r>
            <w:r>
              <w:rPr>
                <w:noProof/>
                <w:webHidden/>
              </w:rPr>
              <w:fldChar w:fldCharType="separate"/>
            </w:r>
            <w:r>
              <w:rPr>
                <w:noProof/>
                <w:webHidden/>
              </w:rPr>
              <w:t>26</w:t>
            </w:r>
            <w:r>
              <w:rPr>
                <w:noProof/>
                <w:webHidden/>
              </w:rPr>
              <w:fldChar w:fldCharType="end"/>
            </w:r>
          </w:hyperlink>
        </w:p>
        <w:p w:rsidR="00923DA8" w:rsidRDefault="00923DA8">
          <w:pPr>
            <w:pStyle w:val="TOC2"/>
            <w:tabs>
              <w:tab w:val="right" w:leader="dot" w:pos="9017"/>
            </w:tabs>
            <w:rPr>
              <w:rFonts w:eastAsiaTheme="minorEastAsia"/>
              <w:noProof/>
            </w:rPr>
          </w:pPr>
          <w:hyperlink w:anchor="_Toc240282277" w:history="1">
            <w:r w:rsidRPr="001565BE">
              <w:rPr>
                <w:rStyle w:val="Hyperlink"/>
                <w:rFonts w:ascii="Times New Roman" w:eastAsia="Times New Roman" w:hAnsi="Times New Roman" w:cs="Times New Roman"/>
                <w:noProof/>
                <w:lang w:val="sr-Latn-RS"/>
              </w:rPr>
              <w:t>3.5. Sakupljanje i transport komunalnog otpada</w:t>
            </w:r>
            <w:r>
              <w:rPr>
                <w:noProof/>
                <w:webHidden/>
              </w:rPr>
              <w:tab/>
            </w:r>
            <w:r>
              <w:rPr>
                <w:noProof/>
                <w:webHidden/>
              </w:rPr>
              <w:fldChar w:fldCharType="begin"/>
            </w:r>
            <w:r>
              <w:rPr>
                <w:noProof/>
                <w:webHidden/>
              </w:rPr>
              <w:instrText xml:space="preserve"> PAGEREF _Toc240282277 \h </w:instrText>
            </w:r>
            <w:r>
              <w:rPr>
                <w:noProof/>
                <w:webHidden/>
              </w:rPr>
            </w:r>
            <w:r>
              <w:rPr>
                <w:noProof/>
                <w:webHidden/>
              </w:rPr>
              <w:fldChar w:fldCharType="separate"/>
            </w:r>
            <w:r>
              <w:rPr>
                <w:noProof/>
                <w:webHidden/>
              </w:rPr>
              <w:t>27</w:t>
            </w:r>
            <w:r>
              <w:rPr>
                <w:noProof/>
                <w:webHidden/>
              </w:rPr>
              <w:fldChar w:fldCharType="end"/>
            </w:r>
          </w:hyperlink>
        </w:p>
        <w:p w:rsidR="00923DA8" w:rsidRDefault="00923DA8">
          <w:pPr>
            <w:pStyle w:val="TOC2"/>
            <w:tabs>
              <w:tab w:val="right" w:leader="dot" w:pos="9017"/>
            </w:tabs>
            <w:rPr>
              <w:rFonts w:eastAsiaTheme="minorEastAsia"/>
              <w:noProof/>
            </w:rPr>
          </w:pPr>
          <w:hyperlink w:anchor="_Toc240282278" w:history="1">
            <w:r w:rsidRPr="001565BE">
              <w:rPr>
                <w:rStyle w:val="Hyperlink"/>
                <w:rFonts w:ascii="Times New Roman" w:eastAsia="Times New Roman" w:hAnsi="Times New Roman" w:cs="Times New Roman"/>
                <w:noProof/>
              </w:rPr>
              <w:t>3.6. Odvojeno sakupljanje i reciklaža komunalnog otpada</w:t>
            </w:r>
            <w:r>
              <w:rPr>
                <w:noProof/>
                <w:webHidden/>
              </w:rPr>
              <w:tab/>
            </w:r>
            <w:r>
              <w:rPr>
                <w:noProof/>
                <w:webHidden/>
              </w:rPr>
              <w:fldChar w:fldCharType="begin"/>
            </w:r>
            <w:r>
              <w:rPr>
                <w:noProof/>
                <w:webHidden/>
              </w:rPr>
              <w:instrText xml:space="preserve"> PAGEREF _Toc240282278 \h </w:instrText>
            </w:r>
            <w:r>
              <w:rPr>
                <w:noProof/>
                <w:webHidden/>
              </w:rPr>
            </w:r>
            <w:r>
              <w:rPr>
                <w:noProof/>
                <w:webHidden/>
              </w:rPr>
              <w:fldChar w:fldCharType="separate"/>
            </w:r>
            <w:r>
              <w:rPr>
                <w:noProof/>
                <w:webHidden/>
              </w:rPr>
              <w:t>29</w:t>
            </w:r>
            <w:r>
              <w:rPr>
                <w:noProof/>
                <w:webHidden/>
              </w:rPr>
              <w:fldChar w:fldCharType="end"/>
            </w:r>
          </w:hyperlink>
        </w:p>
        <w:p w:rsidR="00923DA8" w:rsidRDefault="00923DA8">
          <w:pPr>
            <w:pStyle w:val="TOC2"/>
            <w:tabs>
              <w:tab w:val="right" w:leader="dot" w:pos="9017"/>
            </w:tabs>
            <w:rPr>
              <w:rFonts w:eastAsiaTheme="minorEastAsia"/>
              <w:noProof/>
            </w:rPr>
          </w:pPr>
          <w:hyperlink w:anchor="_Toc240282279" w:history="1">
            <w:r w:rsidRPr="001565BE">
              <w:rPr>
                <w:rStyle w:val="Hyperlink"/>
                <w:rFonts w:ascii="Times New Roman" w:eastAsia="Times New Roman" w:hAnsi="Times New Roman" w:cs="Times New Roman"/>
                <w:noProof/>
              </w:rPr>
              <w:t>3.7. Postojeća infrastruktura za privremeno skladištenje i tretman komunalnog otpada</w:t>
            </w:r>
            <w:r>
              <w:rPr>
                <w:noProof/>
                <w:webHidden/>
              </w:rPr>
              <w:tab/>
            </w:r>
            <w:r>
              <w:rPr>
                <w:noProof/>
                <w:webHidden/>
              </w:rPr>
              <w:fldChar w:fldCharType="begin"/>
            </w:r>
            <w:r>
              <w:rPr>
                <w:noProof/>
                <w:webHidden/>
              </w:rPr>
              <w:instrText xml:space="preserve"> PAGEREF _Toc240282279 \h </w:instrText>
            </w:r>
            <w:r>
              <w:rPr>
                <w:noProof/>
                <w:webHidden/>
              </w:rPr>
            </w:r>
            <w:r>
              <w:rPr>
                <w:noProof/>
                <w:webHidden/>
              </w:rPr>
              <w:fldChar w:fldCharType="separate"/>
            </w:r>
            <w:r>
              <w:rPr>
                <w:noProof/>
                <w:webHidden/>
              </w:rPr>
              <w:t>31</w:t>
            </w:r>
            <w:r>
              <w:rPr>
                <w:noProof/>
                <w:webHidden/>
              </w:rPr>
              <w:fldChar w:fldCharType="end"/>
            </w:r>
          </w:hyperlink>
        </w:p>
        <w:p w:rsidR="00923DA8" w:rsidRDefault="00923DA8">
          <w:pPr>
            <w:pStyle w:val="TOC2"/>
            <w:tabs>
              <w:tab w:val="right" w:leader="dot" w:pos="9017"/>
            </w:tabs>
            <w:rPr>
              <w:rFonts w:eastAsiaTheme="minorEastAsia"/>
              <w:noProof/>
            </w:rPr>
          </w:pPr>
          <w:hyperlink w:anchor="_Toc240282280" w:history="1">
            <w:r w:rsidRPr="001565BE">
              <w:rPr>
                <w:rStyle w:val="Hyperlink"/>
                <w:rFonts w:ascii="Times New Roman" w:eastAsia="Times New Roman" w:hAnsi="Times New Roman" w:cs="Times New Roman"/>
                <w:noProof/>
              </w:rPr>
              <w:t>3.8. Neuređena odlagališta otpada</w:t>
            </w:r>
            <w:r>
              <w:rPr>
                <w:noProof/>
                <w:webHidden/>
              </w:rPr>
              <w:tab/>
            </w:r>
            <w:r>
              <w:rPr>
                <w:noProof/>
                <w:webHidden/>
              </w:rPr>
              <w:fldChar w:fldCharType="begin"/>
            </w:r>
            <w:r>
              <w:rPr>
                <w:noProof/>
                <w:webHidden/>
              </w:rPr>
              <w:instrText xml:space="preserve"> PAGEREF _Toc240282280 \h </w:instrText>
            </w:r>
            <w:r>
              <w:rPr>
                <w:noProof/>
                <w:webHidden/>
              </w:rPr>
            </w:r>
            <w:r>
              <w:rPr>
                <w:noProof/>
                <w:webHidden/>
              </w:rPr>
              <w:fldChar w:fldCharType="separate"/>
            </w:r>
            <w:r>
              <w:rPr>
                <w:noProof/>
                <w:webHidden/>
              </w:rPr>
              <w:t>32</w:t>
            </w:r>
            <w:r>
              <w:rPr>
                <w:noProof/>
                <w:webHidden/>
              </w:rPr>
              <w:fldChar w:fldCharType="end"/>
            </w:r>
          </w:hyperlink>
        </w:p>
        <w:p w:rsidR="00923DA8" w:rsidRDefault="00923DA8">
          <w:pPr>
            <w:pStyle w:val="TOC2"/>
            <w:tabs>
              <w:tab w:val="right" w:leader="dot" w:pos="9017"/>
            </w:tabs>
            <w:rPr>
              <w:rFonts w:eastAsiaTheme="minorEastAsia"/>
              <w:noProof/>
            </w:rPr>
          </w:pPr>
          <w:hyperlink w:anchor="_Toc240282281" w:history="1">
            <w:r w:rsidRPr="001565BE">
              <w:rPr>
                <w:rStyle w:val="Hyperlink"/>
                <w:rFonts w:ascii="Times New Roman" w:eastAsia="Times New Roman" w:hAnsi="Times New Roman" w:cs="Times New Roman"/>
                <w:noProof/>
              </w:rPr>
              <w:t>3.9. Neopasni građevinski otpad</w:t>
            </w:r>
            <w:r>
              <w:rPr>
                <w:noProof/>
                <w:webHidden/>
              </w:rPr>
              <w:tab/>
            </w:r>
            <w:r>
              <w:rPr>
                <w:noProof/>
                <w:webHidden/>
              </w:rPr>
              <w:fldChar w:fldCharType="begin"/>
            </w:r>
            <w:r>
              <w:rPr>
                <w:noProof/>
                <w:webHidden/>
              </w:rPr>
              <w:instrText xml:space="preserve"> PAGEREF _Toc240282281 \h </w:instrText>
            </w:r>
            <w:r>
              <w:rPr>
                <w:noProof/>
                <w:webHidden/>
              </w:rPr>
            </w:r>
            <w:r>
              <w:rPr>
                <w:noProof/>
                <w:webHidden/>
              </w:rPr>
              <w:fldChar w:fldCharType="separate"/>
            </w:r>
            <w:r>
              <w:rPr>
                <w:noProof/>
                <w:webHidden/>
              </w:rPr>
              <w:t>33</w:t>
            </w:r>
            <w:r>
              <w:rPr>
                <w:noProof/>
                <w:webHidden/>
              </w:rPr>
              <w:fldChar w:fldCharType="end"/>
            </w:r>
          </w:hyperlink>
        </w:p>
        <w:p w:rsidR="00923DA8" w:rsidRDefault="00923DA8">
          <w:pPr>
            <w:pStyle w:val="TOC2"/>
            <w:tabs>
              <w:tab w:val="right" w:leader="dot" w:pos="9017"/>
            </w:tabs>
            <w:rPr>
              <w:rFonts w:eastAsiaTheme="minorEastAsia"/>
              <w:noProof/>
            </w:rPr>
          </w:pPr>
          <w:hyperlink w:anchor="_Toc240282282" w:history="1">
            <w:r w:rsidRPr="001565BE">
              <w:rPr>
                <w:rStyle w:val="Hyperlink"/>
                <w:rFonts w:ascii="Times New Roman" w:eastAsia="Times New Roman" w:hAnsi="Times New Roman" w:cs="Times New Roman"/>
                <w:noProof/>
              </w:rPr>
              <w:t>3.10. Biootpad</w:t>
            </w:r>
            <w:r>
              <w:rPr>
                <w:noProof/>
                <w:webHidden/>
              </w:rPr>
              <w:tab/>
            </w:r>
            <w:r>
              <w:rPr>
                <w:noProof/>
                <w:webHidden/>
              </w:rPr>
              <w:fldChar w:fldCharType="begin"/>
            </w:r>
            <w:r>
              <w:rPr>
                <w:noProof/>
                <w:webHidden/>
              </w:rPr>
              <w:instrText xml:space="preserve"> PAGEREF _Toc240282282 \h </w:instrText>
            </w:r>
            <w:r>
              <w:rPr>
                <w:noProof/>
                <w:webHidden/>
              </w:rPr>
            </w:r>
            <w:r>
              <w:rPr>
                <w:noProof/>
                <w:webHidden/>
              </w:rPr>
              <w:fldChar w:fldCharType="separate"/>
            </w:r>
            <w:r>
              <w:rPr>
                <w:noProof/>
                <w:webHidden/>
              </w:rPr>
              <w:t>35</w:t>
            </w:r>
            <w:r>
              <w:rPr>
                <w:noProof/>
                <w:webHidden/>
              </w:rPr>
              <w:fldChar w:fldCharType="end"/>
            </w:r>
          </w:hyperlink>
        </w:p>
        <w:p w:rsidR="00923DA8" w:rsidRDefault="00923DA8">
          <w:pPr>
            <w:pStyle w:val="TOC2"/>
            <w:tabs>
              <w:tab w:val="right" w:leader="dot" w:pos="9017"/>
            </w:tabs>
            <w:rPr>
              <w:rFonts w:eastAsiaTheme="minorEastAsia"/>
              <w:noProof/>
            </w:rPr>
          </w:pPr>
          <w:hyperlink w:anchor="_Toc240282283" w:history="1">
            <w:r w:rsidRPr="001565BE">
              <w:rPr>
                <w:rStyle w:val="Hyperlink"/>
                <w:rFonts w:ascii="Times New Roman" w:eastAsia="Times New Roman" w:hAnsi="Times New Roman" w:cs="Times New Roman"/>
                <w:noProof/>
              </w:rPr>
              <w:t>3.11. Kanalizacioni mulj</w:t>
            </w:r>
            <w:r>
              <w:rPr>
                <w:noProof/>
                <w:webHidden/>
              </w:rPr>
              <w:tab/>
            </w:r>
            <w:r>
              <w:rPr>
                <w:noProof/>
                <w:webHidden/>
              </w:rPr>
              <w:fldChar w:fldCharType="begin"/>
            </w:r>
            <w:r>
              <w:rPr>
                <w:noProof/>
                <w:webHidden/>
              </w:rPr>
              <w:instrText xml:space="preserve"> PAGEREF _Toc240282283 \h </w:instrText>
            </w:r>
            <w:r>
              <w:rPr>
                <w:noProof/>
                <w:webHidden/>
              </w:rPr>
            </w:r>
            <w:r>
              <w:rPr>
                <w:noProof/>
                <w:webHidden/>
              </w:rPr>
              <w:fldChar w:fldCharType="separate"/>
            </w:r>
            <w:r>
              <w:rPr>
                <w:noProof/>
                <w:webHidden/>
              </w:rPr>
              <w:t>36</w:t>
            </w:r>
            <w:r>
              <w:rPr>
                <w:noProof/>
                <w:webHidden/>
              </w:rPr>
              <w:fldChar w:fldCharType="end"/>
            </w:r>
          </w:hyperlink>
        </w:p>
        <w:p w:rsidR="00923DA8" w:rsidRDefault="00923DA8">
          <w:pPr>
            <w:pStyle w:val="TOC2"/>
            <w:tabs>
              <w:tab w:val="right" w:leader="dot" w:pos="9017"/>
            </w:tabs>
            <w:rPr>
              <w:rFonts w:eastAsiaTheme="minorEastAsia"/>
              <w:noProof/>
            </w:rPr>
          </w:pPr>
          <w:hyperlink w:anchor="_Toc240282284" w:history="1">
            <w:r w:rsidRPr="001565BE">
              <w:rPr>
                <w:rStyle w:val="Hyperlink"/>
                <w:rFonts w:ascii="Times New Roman" w:eastAsia="Times New Roman" w:hAnsi="Times New Roman" w:cs="Times New Roman"/>
                <w:noProof/>
              </w:rPr>
              <w:t>3.12. Posebni tokovi otpada relevantni za lokalni sistem</w:t>
            </w:r>
            <w:r>
              <w:rPr>
                <w:noProof/>
                <w:webHidden/>
              </w:rPr>
              <w:tab/>
            </w:r>
            <w:r>
              <w:rPr>
                <w:noProof/>
                <w:webHidden/>
              </w:rPr>
              <w:fldChar w:fldCharType="begin"/>
            </w:r>
            <w:r>
              <w:rPr>
                <w:noProof/>
                <w:webHidden/>
              </w:rPr>
              <w:instrText xml:space="preserve"> PAGEREF _Toc240282284 \h </w:instrText>
            </w:r>
            <w:r>
              <w:rPr>
                <w:noProof/>
                <w:webHidden/>
              </w:rPr>
            </w:r>
            <w:r>
              <w:rPr>
                <w:noProof/>
                <w:webHidden/>
              </w:rPr>
              <w:fldChar w:fldCharType="separate"/>
            </w:r>
            <w:r>
              <w:rPr>
                <w:noProof/>
                <w:webHidden/>
              </w:rPr>
              <w:t>38</w:t>
            </w:r>
            <w:r>
              <w:rPr>
                <w:noProof/>
                <w:webHidden/>
              </w:rPr>
              <w:fldChar w:fldCharType="end"/>
            </w:r>
          </w:hyperlink>
        </w:p>
        <w:p w:rsidR="00923DA8" w:rsidRDefault="00923DA8">
          <w:pPr>
            <w:pStyle w:val="TOC2"/>
            <w:tabs>
              <w:tab w:val="right" w:leader="dot" w:pos="9017"/>
            </w:tabs>
            <w:rPr>
              <w:rFonts w:eastAsiaTheme="minorEastAsia"/>
              <w:noProof/>
            </w:rPr>
          </w:pPr>
          <w:hyperlink w:anchor="_Toc240282285" w:history="1">
            <w:r w:rsidRPr="001565BE">
              <w:rPr>
                <w:rStyle w:val="Hyperlink"/>
                <w:rFonts w:eastAsia="Times New Roman"/>
                <w:noProof/>
              </w:rPr>
              <w:t>3.13. Postojeća i pripremljena infrastruktura i projekti</w:t>
            </w:r>
            <w:r>
              <w:rPr>
                <w:noProof/>
                <w:webHidden/>
              </w:rPr>
              <w:tab/>
            </w:r>
            <w:r>
              <w:rPr>
                <w:noProof/>
                <w:webHidden/>
              </w:rPr>
              <w:fldChar w:fldCharType="begin"/>
            </w:r>
            <w:r>
              <w:rPr>
                <w:noProof/>
                <w:webHidden/>
              </w:rPr>
              <w:instrText xml:space="preserve"> PAGEREF _Toc240282285 \h </w:instrText>
            </w:r>
            <w:r>
              <w:rPr>
                <w:noProof/>
                <w:webHidden/>
              </w:rPr>
            </w:r>
            <w:r>
              <w:rPr>
                <w:noProof/>
                <w:webHidden/>
              </w:rPr>
              <w:fldChar w:fldCharType="separate"/>
            </w:r>
            <w:r>
              <w:rPr>
                <w:noProof/>
                <w:webHidden/>
              </w:rPr>
              <w:t>39</w:t>
            </w:r>
            <w:r>
              <w:rPr>
                <w:noProof/>
                <w:webHidden/>
              </w:rPr>
              <w:fldChar w:fldCharType="end"/>
            </w:r>
          </w:hyperlink>
        </w:p>
        <w:p w:rsidR="00923DA8" w:rsidRDefault="00923DA8">
          <w:pPr>
            <w:pStyle w:val="TOC2"/>
            <w:tabs>
              <w:tab w:val="right" w:leader="dot" w:pos="9017"/>
            </w:tabs>
            <w:rPr>
              <w:rFonts w:eastAsiaTheme="minorEastAsia"/>
              <w:noProof/>
            </w:rPr>
          </w:pPr>
          <w:hyperlink w:anchor="_Toc240282286" w:history="1">
            <w:r w:rsidRPr="001565BE">
              <w:rPr>
                <w:rStyle w:val="Hyperlink"/>
                <w:rFonts w:eastAsia="Times New Roman"/>
                <w:noProof/>
              </w:rPr>
              <w:t>3.14. Institucionalni, tehnički i finansijski kapaciteti sistema</w:t>
            </w:r>
            <w:r>
              <w:rPr>
                <w:noProof/>
                <w:webHidden/>
              </w:rPr>
              <w:tab/>
            </w:r>
            <w:r>
              <w:rPr>
                <w:noProof/>
                <w:webHidden/>
              </w:rPr>
              <w:fldChar w:fldCharType="begin"/>
            </w:r>
            <w:r>
              <w:rPr>
                <w:noProof/>
                <w:webHidden/>
              </w:rPr>
              <w:instrText xml:space="preserve"> PAGEREF _Toc240282286 \h </w:instrText>
            </w:r>
            <w:r>
              <w:rPr>
                <w:noProof/>
                <w:webHidden/>
              </w:rPr>
            </w:r>
            <w:r>
              <w:rPr>
                <w:noProof/>
                <w:webHidden/>
              </w:rPr>
              <w:fldChar w:fldCharType="separate"/>
            </w:r>
            <w:r>
              <w:rPr>
                <w:noProof/>
                <w:webHidden/>
              </w:rPr>
              <w:t>41</w:t>
            </w:r>
            <w:r>
              <w:rPr>
                <w:noProof/>
                <w:webHidden/>
              </w:rPr>
              <w:fldChar w:fldCharType="end"/>
            </w:r>
          </w:hyperlink>
        </w:p>
        <w:p w:rsidR="00923DA8" w:rsidRDefault="00923DA8">
          <w:pPr>
            <w:pStyle w:val="TOC1"/>
            <w:tabs>
              <w:tab w:val="right" w:leader="dot" w:pos="9017"/>
            </w:tabs>
            <w:rPr>
              <w:rFonts w:eastAsiaTheme="minorEastAsia"/>
              <w:noProof/>
            </w:rPr>
          </w:pPr>
          <w:hyperlink w:anchor="_Toc240282287" w:history="1">
            <w:r w:rsidRPr="001565BE">
              <w:rPr>
                <w:rStyle w:val="Hyperlink"/>
                <w:rFonts w:eastAsia="Times New Roman"/>
                <w:noProof/>
              </w:rPr>
              <w:t>4. PROJEKCIJE KOLIČINA OTPADA ZA PERIOD 2026–2029.</w:t>
            </w:r>
            <w:r>
              <w:rPr>
                <w:noProof/>
                <w:webHidden/>
              </w:rPr>
              <w:tab/>
            </w:r>
            <w:r>
              <w:rPr>
                <w:noProof/>
                <w:webHidden/>
              </w:rPr>
              <w:fldChar w:fldCharType="begin"/>
            </w:r>
            <w:r>
              <w:rPr>
                <w:noProof/>
                <w:webHidden/>
              </w:rPr>
              <w:instrText xml:space="preserve"> PAGEREF _Toc240282287 \h </w:instrText>
            </w:r>
            <w:r>
              <w:rPr>
                <w:noProof/>
                <w:webHidden/>
              </w:rPr>
            </w:r>
            <w:r>
              <w:rPr>
                <w:noProof/>
                <w:webHidden/>
              </w:rPr>
              <w:fldChar w:fldCharType="separate"/>
            </w:r>
            <w:r>
              <w:rPr>
                <w:noProof/>
                <w:webHidden/>
              </w:rPr>
              <w:t>42</w:t>
            </w:r>
            <w:r>
              <w:rPr>
                <w:noProof/>
                <w:webHidden/>
              </w:rPr>
              <w:fldChar w:fldCharType="end"/>
            </w:r>
          </w:hyperlink>
        </w:p>
        <w:p w:rsidR="00923DA8" w:rsidRDefault="00923DA8">
          <w:pPr>
            <w:pStyle w:val="TOC2"/>
            <w:tabs>
              <w:tab w:val="right" w:leader="dot" w:pos="9017"/>
            </w:tabs>
            <w:rPr>
              <w:rFonts w:eastAsiaTheme="minorEastAsia"/>
              <w:noProof/>
            </w:rPr>
          </w:pPr>
          <w:hyperlink w:anchor="_Toc240282288" w:history="1">
            <w:r w:rsidRPr="001565BE">
              <w:rPr>
                <w:rStyle w:val="Hyperlink"/>
                <w:rFonts w:eastAsia="Times New Roman"/>
                <w:noProof/>
              </w:rPr>
              <w:t>4.1. Polazne pretpostavke za izradu projekcija</w:t>
            </w:r>
            <w:r>
              <w:rPr>
                <w:noProof/>
                <w:webHidden/>
              </w:rPr>
              <w:tab/>
            </w:r>
            <w:r>
              <w:rPr>
                <w:noProof/>
                <w:webHidden/>
              </w:rPr>
              <w:fldChar w:fldCharType="begin"/>
            </w:r>
            <w:r>
              <w:rPr>
                <w:noProof/>
                <w:webHidden/>
              </w:rPr>
              <w:instrText xml:space="preserve"> PAGEREF _Toc240282288 \h </w:instrText>
            </w:r>
            <w:r>
              <w:rPr>
                <w:noProof/>
                <w:webHidden/>
              </w:rPr>
            </w:r>
            <w:r>
              <w:rPr>
                <w:noProof/>
                <w:webHidden/>
              </w:rPr>
              <w:fldChar w:fldCharType="separate"/>
            </w:r>
            <w:r>
              <w:rPr>
                <w:noProof/>
                <w:webHidden/>
              </w:rPr>
              <w:t>42</w:t>
            </w:r>
            <w:r>
              <w:rPr>
                <w:noProof/>
                <w:webHidden/>
              </w:rPr>
              <w:fldChar w:fldCharType="end"/>
            </w:r>
          </w:hyperlink>
        </w:p>
        <w:p w:rsidR="00923DA8" w:rsidRDefault="00923DA8">
          <w:pPr>
            <w:pStyle w:val="TOC2"/>
            <w:tabs>
              <w:tab w:val="right" w:leader="dot" w:pos="9017"/>
            </w:tabs>
            <w:rPr>
              <w:rFonts w:eastAsiaTheme="minorEastAsia"/>
              <w:noProof/>
            </w:rPr>
          </w:pPr>
          <w:hyperlink w:anchor="_Toc240282289" w:history="1">
            <w:r w:rsidRPr="001565BE">
              <w:rPr>
                <w:rStyle w:val="Hyperlink"/>
                <w:rFonts w:eastAsia="Times New Roman"/>
                <w:noProof/>
              </w:rPr>
              <w:t>4.2. Projekcija količina komunalnog otpada</w:t>
            </w:r>
            <w:r>
              <w:rPr>
                <w:noProof/>
                <w:webHidden/>
              </w:rPr>
              <w:tab/>
            </w:r>
            <w:r>
              <w:rPr>
                <w:noProof/>
                <w:webHidden/>
              </w:rPr>
              <w:fldChar w:fldCharType="begin"/>
            </w:r>
            <w:r>
              <w:rPr>
                <w:noProof/>
                <w:webHidden/>
              </w:rPr>
              <w:instrText xml:space="preserve"> PAGEREF _Toc240282289 \h </w:instrText>
            </w:r>
            <w:r>
              <w:rPr>
                <w:noProof/>
                <w:webHidden/>
              </w:rPr>
            </w:r>
            <w:r>
              <w:rPr>
                <w:noProof/>
                <w:webHidden/>
              </w:rPr>
              <w:fldChar w:fldCharType="separate"/>
            </w:r>
            <w:r>
              <w:rPr>
                <w:noProof/>
                <w:webHidden/>
              </w:rPr>
              <w:t>45</w:t>
            </w:r>
            <w:r>
              <w:rPr>
                <w:noProof/>
                <w:webHidden/>
              </w:rPr>
              <w:fldChar w:fldCharType="end"/>
            </w:r>
          </w:hyperlink>
        </w:p>
        <w:p w:rsidR="00923DA8" w:rsidRDefault="00923DA8">
          <w:pPr>
            <w:pStyle w:val="TOC2"/>
            <w:tabs>
              <w:tab w:val="right" w:leader="dot" w:pos="9017"/>
            </w:tabs>
            <w:rPr>
              <w:rFonts w:eastAsiaTheme="minorEastAsia"/>
              <w:noProof/>
            </w:rPr>
          </w:pPr>
          <w:hyperlink w:anchor="_Toc240282290" w:history="1">
            <w:r w:rsidRPr="001565BE">
              <w:rPr>
                <w:rStyle w:val="Hyperlink"/>
                <w:rFonts w:eastAsia="Times New Roman"/>
                <w:noProof/>
              </w:rPr>
              <w:t>4.3. Projekcija količina i sastava odvojeno sakupljenih frakcija</w:t>
            </w:r>
            <w:r>
              <w:rPr>
                <w:noProof/>
                <w:webHidden/>
              </w:rPr>
              <w:tab/>
            </w:r>
            <w:r>
              <w:rPr>
                <w:noProof/>
                <w:webHidden/>
              </w:rPr>
              <w:fldChar w:fldCharType="begin"/>
            </w:r>
            <w:r>
              <w:rPr>
                <w:noProof/>
                <w:webHidden/>
              </w:rPr>
              <w:instrText xml:space="preserve"> PAGEREF _Toc240282290 \h </w:instrText>
            </w:r>
            <w:r>
              <w:rPr>
                <w:noProof/>
                <w:webHidden/>
              </w:rPr>
            </w:r>
            <w:r>
              <w:rPr>
                <w:noProof/>
                <w:webHidden/>
              </w:rPr>
              <w:fldChar w:fldCharType="separate"/>
            </w:r>
            <w:r>
              <w:rPr>
                <w:noProof/>
                <w:webHidden/>
              </w:rPr>
              <w:t>47</w:t>
            </w:r>
            <w:r>
              <w:rPr>
                <w:noProof/>
                <w:webHidden/>
              </w:rPr>
              <w:fldChar w:fldCharType="end"/>
            </w:r>
          </w:hyperlink>
        </w:p>
        <w:p w:rsidR="00923DA8" w:rsidRDefault="00923DA8">
          <w:pPr>
            <w:pStyle w:val="TOC2"/>
            <w:tabs>
              <w:tab w:val="right" w:leader="dot" w:pos="9017"/>
            </w:tabs>
            <w:rPr>
              <w:rFonts w:eastAsiaTheme="minorEastAsia"/>
              <w:noProof/>
            </w:rPr>
          </w:pPr>
          <w:hyperlink w:anchor="_Toc240282291" w:history="1">
            <w:r w:rsidRPr="001565BE">
              <w:rPr>
                <w:rStyle w:val="Hyperlink"/>
                <w:rFonts w:eastAsia="Times New Roman"/>
                <w:noProof/>
              </w:rPr>
              <w:t>4.4. Projekcija biootpada i neopasnog građevinskog otpada</w:t>
            </w:r>
            <w:r>
              <w:rPr>
                <w:noProof/>
                <w:webHidden/>
              </w:rPr>
              <w:tab/>
            </w:r>
            <w:r>
              <w:rPr>
                <w:noProof/>
                <w:webHidden/>
              </w:rPr>
              <w:fldChar w:fldCharType="begin"/>
            </w:r>
            <w:r>
              <w:rPr>
                <w:noProof/>
                <w:webHidden/>
              </w:rPr>
              <w:instrText xml:space="preserve"> PAGEREF _Toc240282291 \h </w:instrText>
            </w:r>
            <w:r>
              <w:rPr>
                <w:noProof/>
                <w:webHidden/>
              </w:rPr>
            </w:r>
            <w:r>
              <w:rPr>
                <w:noProof/>
                <w:webHidden/>
              </w:rPr>
              <w:fldChar w:fldCharType="separate"/>
            </w:r>
            <w:r>
              <w:rPr>
                <w:noProof/>
                <w:webHidden/>
              </w:rPr>
              <w:t>50</w:t>
            </w:r>
            <w:r>
              <w:rPr>
                <w:noProof/>
                <w:webHidden/>
              </w:rPr>
              <w:fldChar w:fldCharType="end"/>
            </w:r>
          </w:hyperlink>
        </w:p>
        <w:p w:rsidR="00923DA8" w:rsidRDefault="00923DA8">
          <w:pPr>
            <w:pStyle w:val="TOC2"/>
            <w:tabs>
              <w:tab w:val="right" w:leader="dot" w:pos="9017"/>
            </w:tabs>
            <w:rPr>
              <w:rFonts w:eastAsiaTheme="minorEastAsia"/>
              <w:noProof/>
            </w:rPr>
          </w:pPr>
          <w:hyperlink w:anchor="_Toc240282292" w:history="1">
            <w:r w:rsidRPr="001565BE">
              <w:rPr>
                <w:rStyle w:val="Hyperlink"/>
                <w:rFonts w:eastAsia="Times New Roman"/>
                <w:noProof/>
              </w:rPr>
              <w:t>Zaključak projekcija</w:t>
            </w:r>
            <w:r>
              <w:rPr>
                <w:noProof/>
                <w:webHidden/>
              </w:rPr>
              <w:tab/>
            </w:r>
            <w:r>
              <w:rPr>
                <w:noProof/>
                <w:webHidden/>
              </w:rPr>
              <w:fldChar w:fldCharType="begin"/>
            </w:r>
            <w:r>
              <w:rPr>
                <w:noProof/>
                <w:webHidden/>
              </w:rPr>
              <w:instrText xml:space="preserve"> PAGEREF _Toc240282292 \h </w:instrText>
            </w:r>
            <w:r>
              <w:rPr>
                <w:noProof/>
                <w:webHidden/>
              </w:rPr>
            </w:r>
            <w:r>
              <w:rPr>
                <w:noProof/>
                <w:webHidden/>
              </w:rPr>
              <w:fldChar w:fldCharType="separate"/>
            </w:r>
            <w:r>
              <w:rPr>
                <w:noProof/>
                <w:webHidden/>
              </w:rPr>
              <w:t>54</w:t>
            </w:r>
            <w:r>
              <w:rPr>
                <w:noProof/>
                <w:webHidden/>
              </w:rPr>
              <w:fldChar w:fldCharType="end"/>
            </w:r>
          </w:hyperlink>
        </w:p>
        <w:p w:rsidR="00923DA8" w:rsidRDefault="00923DA8">
          <w:pPr>
            <w:pStyle w:val="TOC1"/>
            <w:tabs>
              <w:tab w:val="right" w:leader="dot" w:pos="9017"/>
            </w:tabs>
            <w:rPr>
              <w:rFonts w:eastAsiaTheme="minorEastAsia"/>
              <w:noProof/>
            </w:rPr>
          </w:pPr>
          <w:hyperlink w:anchor="_Toc240282293" w:history="1">
            <w:r w:rsidRPr="001565BE">
              <w:rPr>
                <w:rStyle w:val="Hyperlink"/>
                <w:noProof/>
              </w:rPr>
              <w:t>5  CILJEVI LOKALNOG PLANA</w:t>
            </w:r>
            <w:r>
              <w:rPr>
                <w:noProof/>
                <w:webHidden/>
              </w:rPr>
              <w:tab/>
            </w:r>
            <w:r>
              <w:rPr>
                <w:noProof/>
                <w:webHidden/>
              </w:rPr>
              <w:fldChar w:fldCharType="begin"/>
            </w:r>
            <w:r>
              <w:rPr>
                <w:noProof/>
                <w:webHidden/>
              </w:rPr>
              <w:instrText xml:space="preserve"> PAGEREF _Toc240282293 \h </w:instrText>
            </w:r>
            <w:r>
              <w:rPr>
                <w:noProof/>
                <w:webHidden/>
              </w:rPr>
            </w:r>
            <w:r>
              <w:rPr>
                <w:noProof/>
                <w:webHidden/>
              </w:rPr>
              <w:fldChar w:fldCharType="separate"/>
            </w:r>
            <w:r>
              <w:rPr>
                <w:noProof/>
                <w:webHidden/>
              </w:rPr>
              <w:t>54</w:t>
            </w:r>
            <w:r>
              <w:rPr>
                <w:noProof/>
                <w:webHidden/>
              </w:rPr>
              <w:fldChar w:fldCharType="end"/>
            </w:r>
          </w:hyperlink>
        </w:p>
        <w:p w:rsidR="00923DA8" w:rsidRDefault="00923DA8">
          <w:pPr>
            <w:pStyle w:val="TOC2"/>
            <w:tabs>
              <w:tab w:val="right" w:leader="dot" w:pos="9017"/>
            </w:tabs>
            <w:rPr>
              <w:rFonts w:eastAsiaTheme="minorEastAsia"/>
              <w:noProof/>
            </w:rPr>
          </w:pPr>
          <w:hyperlink w:anchor="_Toc240282294" w:history="1">
            <w:r w:rsidRPr="001565BE">
              <w:rPr>
                <w:rStyle w:val="Hyperlink"/>
                <w:rFonts w:eastAsia="Times New Roman"/>
                <w:noProof/>
              </w:rPr>
              <w:t>5.1. Opšti cilj</w:t>
            </w:r>
            <w:r>
              <w:rPr>
                <w:noProof/>
                <w:webHidden/>
              </w:rPr>
              <w:tab/>
            </w:r>
            <w:r>
              <w:rPr>
                <w:noProof/>
                <w:webHidden/>
              </w:rPr>
              <w:fldChar w:fldCharType="begin"/>
            </w:r>
            <w:r>
              <w:rPr>
                <w:noProof/>
                <w:webHidden/>
              </w:rPr>
              <w:instrText xml:space="preserve"> PAGEREF _Toc240282294 \h </w:instrText>
            </w:r>
            <w:r>
              <w:rPr>
                <w:noProof/>
                <w:webHidden/>
              </w:rPr>
            </w:r>
            <w:r>
              <w:rPr>
                <w:noProof/>
                <w:webHidden/>
              </w:rPr>
              <w:fldChar w:fldCharType="separate"/>
            </w:r>
            <w:r>
              <w:rPr>
                <w:noProof/>
                <w:webHidden/>
              </w:rPr>
              <w:t>54</w:t>
            </w:r>
            <w:r>
              <w:rPr>
                <w:noProof/>
                <w:webHidden/>
              </w:rPr>
              <w:fldChar w:fldCharType="end"/>
            </w:r>
          </w:hyperlink>
        </w:p>
        <w:p w:rsidR="00923DA8" w:rsidRDefault="00923DA8">
          <w:pPr>
            <w:pStyle w:val="TOC2"/>
            <w:tabs>
              <w:tab w:val="right" w:leader="dot" w:pos="9017"/>
            </w:tabs>
            <w:rPr>
              <w:rFonts w:eastAsiaTheme="minorEastAsia"/>
              <w:noProof/>
            </w:rPr>
          </w:pPr>
          <w:hyperlink w:anchor="_Toc240282295" w:history="1">
            <w:r w:rsidRPr="001565BE">
              <w:rPr>
                <w:rStyle w:val="Hyperlink"/>
                <w:rFonts w:eastAsia="Times New Roman"/>
                <w:noProof/>
              </w:rPr>
              <w:t>5.2. Posebni ciljevi i ciljne vrijednosti</w:t>
            </w:r>
            <w:r>
              <w:rPr>
                <w:noProof/>
                <w:webHidden/>
              </w:rPr>
              <w:tab/>
            </w:r>
            <w:r>
              <w:rPr>
                <w:noProof/>
                <w:webHidden/>
              </w:rPr>
              <w:fldChar w:fldCharType="begin"/>
            </w:r>
            <w:r>
              <w:rPr>
                <w:noProof/>
                <w:webHidden/>
              </w:rPr>
              <w:instrText xml:space="preserve"> PAGEREF _Toc240282295 \h </w:instrText>
            </w:r>
            <w:r>
              <w:rPr>
                <w:noProof/>
                <w:webHidden/>
              </w:rPr>
            </w:r>
            <w:r>
              <w:rPr>
                <w:noProof/>
                <w:webHidden/>
              </w:rPr>
              <w:fldChar w:fldCharType="separate"/>
            </w:r>
            <w:r>
              <w:rPr>
                <w:noProof/>
                <w:webHidden/>
              </w:rPr>
              <w:t>56</w:t>
            </w:r>
            <w:r>
              <w:rPr>
                <w:noProof/>
                <w:webHidden/>
              </w:rPr>
              <w:fldChar w:fldCharType="end"/>
            </w:r>
          </w:hyperlink>
        </w:p>
        <w:p w:rsidR="00923DA8" w:rsidRDefault="00923DA8">
          <w:pPr>
            <w:pStyle w:val="TOC3"/>
            <w:tabs>
              <w:tab w:val="right" w:leader="dot" w:pos="9017"/>
            </w:tabs>
            <w:rPr>
              <w:rFonts w:eastAsiaTheme="minorEastAsia"/>
              <w:noProof/>
            </w:rPr>
          </w:pPr>
          <w:hyperlink w:anchor="_Toc240282296" w:history="1">
            <w:r w:rsidRPr="001565BE">
              <w:rPr>
                <w:rStyle w:val="Hyperlink"/>
                <w:rFonts w:ascii="Times New Roman" w:eastAsia="Times New Roman" w:hAnsi="Times New Roman" w:cs="Times New Roman"/>
                <w:b/>
                <w:bCs/>
                <w:noProof/>
              </w:rPr>
              <w:t>Posebni cilj 1 – Povećanje obuhvata organizovanim sakupljanjem komunalnog otpada</w:t>
            </w:r>
            <w:r>
              <w:rPr>
                <w:noProof/>
                <w:webHidden/>
              </w:rPr>
              <w:tab/>
            </w:r>
            <w:r>
              <w:rPr>
                <w:noProof/>
                <w:webHidden/>
              </w:rPr>
              <w:fldChar w:fldCharType="begin"/>
            </w:r>
            <w:r>
              <w:rPr>
                <w:noProof/>
                <w:webHidden/>
              </w:rPr>
              <w:instrText xml:space="preserve"> PAGEREF _Toc240282296 \h </w:instrText>
            </w:r>
            <w:r>
              <w:rPr>
                <w:noProof/>
                <w:webHidden/>
              </w:rPr>
            </w:r>
            <w:r>
              <w:rPr>
                <w:noProof/>
                <w:webHidden/>
              </w:rPr>
              <w:fldChar w:fldCharType="separate"/>
            </w:r>
            <w:r>
              <w:rPr>
                <w:noProof/>
                <w:webHidden/>
              </w:rPr>
              <w:t>56</w:t>
            </w:r>
            <w:r>
              <w:rPr>
                <w:noProof/>
                <w:webHidden/>
              </w:rPr>
              <w:fldChar w:fldCharType="end"/>
            </w:r>
          </w:hyperlink>
        </w:p>
        <w:p w:rsidR="00923DA8" w:rsidRDefault="00923DA8">
          <w:pPr>
            <w:pStyle w:val="TOC3"/>
            <w:tabs>
              <w:tab w:val="right" w:leader="dot" w:pos="9017"/>
            </w:tabs>
            <w:rPr>
              <w:rFonts w:eastAsiaTheme="minorEastAsia"/>
              <w:noProof/>
            </w:rPr>
          </w:pPr>
          <w:hyperlink w:anchor="_Toc240282297" w:history="1">
            <w:r w:rsidRPr="001565BE">
              <w:rPr>
                <w:rStyle w:val="Hyperlink"/>
                <w:rFonts w:ascii="Times New Roman" w:eastAsia="Times New Roman" w:hAnsi="Times New Roman" w:cs="Times New Roman"/>
                <w:b/>
                <w:bCs/>
                <w:noProof/>
              </w:rPr>
              <w:t>Posebni cilj 2 – Razvoj odvojenog sakupljanja i povećanje pripreme za ponovnu upotrebu i reciklažu</w:t>
            </w:r>
            <w:r>
              <w:rPr>
                <w:noProof/>
                <w:webHidden/>
              </w:rPr>
              <w:tab/>
            </w:r>
            <w:r>
              <w:rPr>
                <w:noProof/>
                <w:webHidden/>
              </w:rPr>
              <w:fldChar w:fldCharType="begin"/>
            </w:r>
            <w:r>
              <w:rPr>
                <w:noProof/>
                <w:webHidden/>
              </w:rPr>
              <w:instrText xml:space="preserve"> PAGEREF _Toc240282297 \h </w:instrText>
            </w:r>
            <w:r>
              <w:rPr>
                <w:noProof/>
                <w:webHidden/>
              </w:rPr>
            </w:r>
            <w:r>
              <w:rPr>
                <w:noProof/>
                <w:webHidden/>
              </w:rPr>
              <w:fldChar w:fldCharType="separate"/>
            </w:r>
            <w:r>
              <w:rPr>
                <w:noProof/>
                <w:webHidden/>
              </w:rPr>
              <w:t>56</w:t>
            </w:r>
            <w:r>
              <w:rPr>
                <w:noProof/>
                <w:webHidden/>
              </w:rPr>
              <w:fldChar w:fldCharType="end"/>
            </w:r>
          </w:hyperlink>
        </w:p>
        <w:p w:rsidR="00923DA8" w:rsidRDefault="00923DA8">
          <w:pPr>
            <w:pStyle w:val="TOC3"/>
            <w:tabs>
              <w:tab w:val="right" w:leader="dot" w:pos="9017"/>
            </w:tabs>
            <w:rPr>
              <w:rFonts w:eastAsiaTheme="minorEastAsia"/>
              <w:noProof/>
            </w:rPr>
          </w:pPr>
          <w:hyperlink w:anchor="_Toc240282298" w:history="1">
            <w:r w:rsidRPr="001565BE">
              <w:rPr>
                <w:rStyle w:val="Hyperlink"/>
                <w:rFonts w:ascii="Times New Roman" w:eastAsia="Times New Roman" w:hAnsi="Times New Roman" w:cs="Times New Roman"/>
                <w:b/>
                <w:bCs/>
                <w:noProof/>
              </w:rPr>
              <w:t>Posebni cilj 3 – Uspostavljanje odvojenog upravljanja biootpadom</w:t>
            </w:r>
            <w:r>
              <w:rPr>
                <w:noProof/>
                <w:webHidden/>
              </w:rPr>
              <w:tab/>
            </w:r>
            <w:r>
              <w:rPr>
                <w:noProof/>
                <w:webHidden/>
              </w:rPr>
              <w:fldChar w:fldCharType="begin"/>
            </w:r>
            <w:r>
              <w:rPr>
                <w:noProof/>
                <w:webHidden/>
              </w:rPr>
              <w:instrText xml:space="preserve"> PAGEREF _Toc240282298 \h </w:instrText>
            </w:r>
            <w:r>
              <w:rPr>
                <w:noProof/>
                <w:webHidden/>
              </w:rPr>
            </w:r>
            <w:r>
              <w:rPr>
                <w:noProof/>
                <w:webHidden/>
              </w:rPr>
              <w:fldChar w:fldCharType="separate"/>
            </w:r>
            <w:r>
              <w:rPr>
                <w:noProof/>
                <w:webHidden/>
              </w:rPr>
              <w:t>57</w:t>
            </w:r>
            <w:r>
              <w:rPr>
                <w:noProof/>
                <w:webHidden/>
              </w:rPr>
              <w:fldChar w:fldCharType="end"/>
            </w:r>
          </w:hyperlink>
        </w:p>
        <w:p w:rsidR="00923DA8" w:rsidRDefault="00923DA8">
          <w:pPr>
            <w:pStyle w:val="TOC3"/>
            <w:tabs>
              <w:tab w:val="right" w:leader="dot" w:pos="9017"/>
            </w:tabs>
            <w:rPr>
              <w:rFonts w:eastAsiaTheme="minorEastAsia"/>
              <w:noProof/>
            </w:rPr>
          </w:pPr>
          <w:hyperlink w:anchor="_Toc240282299" w:history="1">
            <w:r w:rsidRPr="001565BE">
              <w:rPr>
                <w:rStyle w:val="Hyperlink"/>
                <w:rFonts w:ascii="Times New Roman" w:eastAsia="Times New Roman" w:hAnsi="Times New Roman" w:cs="Times New Roman"/>
                <w:b/>
                <w:bCs/>
                <w:noProof/>
              </w:rPr>
              <w:t>Posebni cilj 4 – Unapređenje upravljanja posebnim tokovima otpada iz domaćinstava</w:t>
            </w:r>
            <w:r>
              <w:rPr>
                <w:noProof/>
                <w:webHidden/>
              </w:rPr>
              <w:tab/>
            </w:r>
            <w:r>
              <w:rPr>
                <w:noProof/>
                <w:webHidden/>
              </w:rPr>
              <w:fldChar w:fldCharType="begin"/>
            </w:r>
            <w:r>
              <w:rPr>
                <w:noProof/>
                <w:webHidden/>
              </w:rPr>
              <w:instrText xml:space="preserve"> PAGEREF _Toc240282299 \h </w:instrText>
            </w:r>
            <w:r>
              <w:rPr>
                <w:noProof/>
                <w:webHidden/>
              </w:rPr>
            </w:r>
            <w:r>
              <w:rPr>
                <w:noProof/>
                <w:webHidden/>
              </w:rPr>
              <w:fldChar w:fldCharType="separate"/>
            </w:r>
            <w:r>
              <w:rPr>
                <w:noProof/>
                <w:webHidden/>
              </w:rPr>
              <w:t>58</w:t>
            </w:r>
            <w:r>
              <w:rPr>
                <w:noProof/>
                <w:webHidden/>
              </w:rPr>
              <w:fldChar w:fldCharType="end"/>
            </w:r>
          </w:hyperlink>
        </w:p>
        <w:p w:rsidR="00923DA8" w:rsidRDefault="00923DA8">
          <w:pPr>
            <w:pStyle w:val="TOC3"/>
            <w:tabs>
              <w:tab w:val="right" w:leader="dot" w:pos="9017"/>
            </w:tabs>
            <w:rPr>
              <w:rFonts w:eastAsiaTheme="minorEastAsia"/>
              <w:noProof/>
            </w:rPr>
          </w:pPr>
          <w:hyperlink w:anchor="_Toc240282300" w:history="1">
            <w:r w:rsidRPr="001565BE">
              <w:rPr>
                <w:rStyle w:val="Hyperlink"/>
                <w:rFonts w:ascii="Times New Roman" w:eastAsia="Times New Roman" w:hAnsi="Times New Roman" w:cs="Times New Roman"/>
                <w:b/>
                <w:bCs/>
                <w:noProof/>
              </w:rPr>
              <w:t>Posebni cilj 5 – Uspostavljanje funkcionalnog sistema upravljanja neopasnim građevinskim otpadom</w:t>
            </w:r>
            <w:r>
              <w:rPr>
                <w:noProof/>
                <w:webHidden/>
              </w:rPr>
              <w:tab/>
            </w:r>
            <w:r>
              <w:rPr>
                <w:noProof/>
                <w:webHidden/>
              </w:rPr>
              <w:fldChar w:fldCharType="begin"/>
            </w:r>
            <w:r>
              <w:rPr>
                <w:noProof/>
                <w:webHidden/>
              </w:rPr>
              <w:instrText xml:space="preserve"> PAGEREF _Toc240282300 \h </w:instrText>
            </w:r>
            <w:r>
              <w:rPr>
                <w:noProof/>
                <w:webHidden/>
              </w:rPr>
            </w:r>
            <w:r>
              <w:rPr>
                <w:noProof/>
                <w:webHidden/>
              </w:rPr>
              <w:fldChar w:fldCharType="separate"/>
            </w:r>
            <w:r>
              <w:rPr>
                <w:noProof/>
                <w:webHidden/>
              </w:rPr>
              <w:t>58</w:t>
            </w:r>
            <w:r>
              <w:rPr>
                <w:noProof/>
                <w:webHidden/>
              </w:rPr>
              <w:fldChar w:fldCharType="end"/>
            </w:r>
          </w:hyperlink>
        </w:p>
        <w:p w:rsidR="00923DA8" w:rsidRDefault="00923DA8">
          <w:pPr>
            <w:pStyle w:val="TOC3"/>
            <w:tabs>
              <w:tab w:val="right" w:leader="dot" w:pos="9017"/>
            </w:tabs>
            <w:rPr>
              <w:rFonts w:eastAsiaTheme="minorEastAsia"/>
              <w:noProof/>
            </w:rPr>
          </w:pPr>
          <w:hyperlink w:anchor="_Toc240282301" w:history="1">
            <w:r w:rsidRPr="001565BE">
              <w:rPr>
                <w:rStyle w:val="Hyperlink"/>
                <w:rFonts w:ascii="Times New Roman" w:eastAsia="Times New Roman" w:hAnsi="Times New Roman" w:cs="Times New Roman"/>
                <w:b/>
                <w:bCs/>
                <w:noProof/>
              </w:rPr>
              <w:t>Posebni cilj 6 – Sanacija neuređenih odlagališta i sprečavanje njihovog ponovnog nastanka</w:t>
            </w:r>
            <w:r>
              <w:rPr>
                <w:noProof/>
                <w:webHidden/>
              </w:rPr>
              <w:tab/>
            </w:r>
            <w:r>
              <w:rPr>
                <w:noProof/>
                <w:webHidden/>
              </w:rPr>
              <w:fldChar w:fldCharType="begin"/>
            </w:r>
            <w:r>
              <w:rPr>
                <w:noProof/>
                <w:webHidden/>
              </w:rPr>
              <w:instrText xml:space="preserve"> PAGEREF _Toc240282301 \h </w:instrText>
            </w:r>
            <w:r>
              <w:rPr>
                <w:noProof/>
                <w:webHidden/>
              </w:rPr>
            </w:r>
            <w:r>
              <w:rPr>
                <w:noProof/>
                <w:webHidden/>
              </w:rPr>
              <w:fldChar w:fldCharType="separate"/>
            </w:r>
            <w:r>
              <w:rPr>
                <w:noProof/>
                <w:webHidden/>
              </w:rPr>
              <w:t>59</w:t>
            </w:r>
            <w:r>
              <w:rPr>
                <w:noProof/>
                <w:webHidden/>
              </w:rPr>
              <w:fldChar w:fldCharType="end"/>
            </w:r>
          </w:hyperlink>
        </w:p>
        <w:p w:rsidR="00923DA8" w:rsidRDefault="00923DA8">
          <w:pPr>
            <w:pStyle w:val="TOC3"/>
            <w:tabs>
              <w:tab w:val="right" w:leader="dot" w:pos="9017"/>
            </w:tabs>
            <w:rPr>
              <w:rFonts w:eastAsiaTheme="minorEastAsia"/>
              <w:noProof/>
            </w:rPr>
          </w:pPr>
          <w:hyperlink w:anchor="_Toc240282302" w:history="1">
            <w:r w:rsidRPr="001565BE">
              <w:rPr>
                <w:rStyle w:val="Hyperlink"/>
                <w:rFonts w:ascii="Times New Roman" w:eastAsia="Times New Roman" w:hAnsi="Times New Roman" w:cs="Times New Roman"/>
                <w:b/>
                <w:bCs/>
                <w:noProof/>
              </w:rPr>
              <w:t>Posebni cilj 7 – Razvoj lokalne infrastrukture i povezivanje sa regionalnim sistemom</w:t>
            </w:r>
            <w:r>
              <w:rPr>
                <w:noProof/>
                <w:webHidden/>
              </w:rPr>
              <w:tab/>
            </w:r>
            <w:r>
              <w:rPr>
                <w:noProof/>
                <w:webHidden/>
              </w:rPr>
              <w:fldChar w:fldCharType="begin"/>
            </w:r>
            <w:r>
              <w:rPr>
                <w:noProof/>
                <w:webHidden/>
              </w:rPr>
              <w:instrText xml:space="preserve"> PAGEREF _Toc240282302 \h </w:instrText>
            </w:r>
            <w:r>
              <w:rPr>
                <w:noProof/>
                <w:webHidden/>
              </w:rPr>
            </w:r>
            <w:r>
              <w:rPr>
                <w:noProof/>
                <w:webHidden/>
              </w:rPr>
              <w:fldChar w:fldCharType="separate"/>
            </w:r>
            <w:r>
              <w:rPr>
                <w:noProof/>
                <w:webHidden/>
              </w:rPr>
              <w:t>59</w:t>
            </w:r>
            <w:r>
              <w:rPr>
                <w:noProof/>
                <w:webHidden/>
              </w:rPr>
              <w:fldChar w:fldCharType="end"/>
            </w:r>
          </w:hyperlink>
        </w:p>
        <w:p w:rsidR="00923DA8" w:rsidRDefault="00923DA8">
          <w:pPr>
            <w:pStyle w:val="TOC3"/>
            <w:tabs>
              <w:tab w:val="right" w:leader="dot" w:pos="9017"/>
            </w:tabs>
            <w:rPr>
              <w:rFonts w:eastAsiaTheme="minorEastAsia"/>
              <w:noProof/>
            </w:rPr>
          </w:pPr>
          <w:hyperlink w:anchor="_Toc240282303" w:history="1">
            <w:r w:rsidRPr="001565BE">
              <w:rPr>
                <w:rStyle w:val="Hyperlink"/>
                <w:rFonts w:ascii="Times New Roman" w:eastAsia="Times New Roman" w:hAnsi="Times New Roman" w:cs="Times New Roman"/>
                <w:b/>
                <w:bCs/>
                <w:noProof/>
              </w:rPr>
              <w:t>Posebni cilj 8 – Unapređenje evidencije, monitoringa i učešća javnosti</w:t>
            </w:r>
            <w:r>
              <w:rPr>
                <w:noProof/>
                <w:webHidden/>
              </w:rPr>
              <w:tab/>
            </w:r>
            <w:r>
              <w:rPr>
                <w:noProof/>
                <w:webHidden/>
              </w:rPr>
              <w:fldChar w:fldCharType="begin"/>
            </w:r>
            <w:r>
              <w:rPr>
                <w:noProof/>
                <w:webHidden/>
              </w:rPr>
              <w:instrText xml:space="preserve"> PAGEREF _Toc240282303 \h </w:instrText>
            </w:r>
            <w:r>
              <w:rPr>
                <w:noProof/>
                <w:webHidden/>
              </w:rPr>
            </w:r>
            <w:r>
              <w:rPr>
                <w:noProof/>
                <w:webHidden/>
              </w:rPr>
              <w:fldChar w:fldCharType="separate"/>
            </w:r>
            <w:r>
              <w:rPr>
                <w:noProof/>
                <w:webHidden/>
              </w:rPr>
              <w:t>60</w:t>
            </w:r>
            <w:r>
              <w:rPr>
                <w:noProof/>
                <w:webHidden/>
              </w:rPr>
              <w:fldChar w:fldCharType="end"/>
            </w:r>
          </w:hyperlink>
        </w:p>
        <w:p w:rsidR="00923DA8" w:rsidRDefault="00923DA8">
          <w:pPr>
            <w:pStyle w:val="TOC2"/>
            <w:tabs>
              <w:tab w:val="right" w:leader="dot" w:pos="9017"/>
            </w:tabs>
            <w:rPr>
              <w:rFonts w:eastAsiaTheme="minorEastAsia"/>
              <w:noProof/>
            </w:rPr>
          </w:pPr>
          <w:hyperlink w:anchor="_Toc240282304" w:history="1">
            <w:r w:rsidRPr="001565BE">
              <w:rPr>
                <w:rStyle w:val="Hyperlink"/>
                <w:rFonts w:eastAsia="Times New Roman"/>
                <w:noProof/>
              </w:rPr>
              <w:t>5.3. Usklađenost ciljeva Lokalnog plana sa Državnim planom upravljanja otpadom 2025–2029.</w:t>
            </w:r>
            <w:r>
              <w:rPr>
                <w:noProof/>
                <w:webHidden/>
              </w:rPr>
              <w:tab/>
            </w:r>
            <w:r>
              <w:rPr>
                <w:noProof/>
                <w:webHidden/>
              </w:rPr>
              <w:fldChar w:fldCharType="begin"/>
            </w:r>
            <w:r>
              <w:rPr>
                <w:noProof/>
                <w:webHidden/>
              </w:rPr>
              <w:instrText xml:space="preserve"> PAGEREF _Toc240282304 \h </w:instrText>
            </w:r>
            <w:r>
              <w:rPr>
                <w:noProof/>
                <w:webHidden/>
              </w:rPr>
            </w:r>
            <w:r>
              <w:rPr>
                <w:noProof/>
                <w:webHidden/>
              </w:rPr>
              <w:fldChar w:fldCharType="separate"/>
            </w:r>
            <w:r>
              <w:rPr>
                <w:noProof/>
                <w:webHidden/>
              </w:rPr>
              <w:t>61</w:t>
            </w:r>
            <w:r>
              <w:rPr>
                <w:noProof/>
                <w:webHidden/>
              </w:rPr>
              <w:fldChar w:fldCharType="end"/>
            </w:r>
          </w:hyperlink>
        </w:p>
        <w:p w:rsidR="00923DA8" w:rsidRDefault="00923DA8">
          <w:pPr>
            <w:pStyle w:val="TOC1"/>
            <w:tabs>
              <w:tab w:val="right" w:leader="dot" w:pos="9017"/>
            </w:tabs>
            <w:rPr>
              <w:rFonts w:eastAsiaTheme="minorEastAsia"/>
              <w:noProof/>
            </w:rPr>
          </w:pPr>
          <w:hyperlink w:anchor="_Toc240282305" w:history="1">
            <w:r w:rsidRPr="001565BE">
              <w:rPr>
                <w:rStyle w:val="Hyperlink"/>
                <w:rFonts w:eastAsia="Times New Roman"/>
                <w:noProof/>
              </w:rPr>
              <w:t>6. PLANIRANI SISTEM UPRAVLJANJA KOMUNALNIM OTPADOM</w:t>
            </w:r>
            <w:r>
              <w:rPr>
                <w:noProof/>
                <w:webHidden/>
              </w:rPr>
              <w:tab/>
            </w:r>
            <w:r>
              <w:rPr>
                <w:noProof/>
                <w:webHidden/>
              </w:rPr>
              <w:fldChar w:fldCharType="begin"/>
            </w:r>
            <w:r>
              <w:rPr>
                <w:noProof/>
                <w:webHidden/>
              </w:rPr>
              <w:instrText xml:space="preserve"> PAGEREF _Toc240282305 \h </w:instrText>
            </w:r>
            <w:r>
              <w:rPr>
                <w:noProof/>
                <w:webHidden/>
              </w:rPr>
            </w:r>
            <w:r>
              <w:rPr>
                <w:noProof/>
                <w:webHidden/>
              </w:rPr>
              <w:fldChar w:fldCharType="separate"/>
            </w:r>
            <w:r>
              <w:rPr>
                <w:noProof/>
                <w:webHidden/>
              </w:rPr>
              <w:t>64</w:t>
            </w:r>
            <w:r>
              <w:rPr>
                <w:noProof/>
                <w:webHidden/>
              </w:rPr>
              <w:fldChar w:fldCharType="end"/>
            </w:r>
          </w:hyperlink>
        </w:p>
        <w:p w:rsidR="00923DA8" w:rsidRDefault="00923DA8">
          <w:pPr>
            <w:pStyle w:val="TOC2"/>
            <w:tabs>
              <w:tab w:val="right" w:leader="dot" w:pos="9017"/>
            </w:tabs>
            <w:rPr>
              <w:rFonts w:eastAsiaTheme="minorEastAsia"/>
              <w:noProof/>
            </w:rPr>
          </w:pPr>
          <w:hyperlink w:anchor="_Toc240282306" w:history="1">
            <w:r w:rsidRPr="001565BE">
              <w:rPr>
                <w:rStyle w:val="Hyperlink"/>
                <w:rFonts w:eastAsia="Times New Roman"/>
                <w:noProof/>
              </w:rPr>
              <w:t>6.1. Organizacija sistema sakupljanja i transporta komunalnog otpada</w:t>
            </w:r>
            <w:r>
              <w:rPr>
                <w:noProof/>
                <w:webHidden/>
              </w:rPr>
              <w:tab/>
            </w:r>
            <w:r>
              <w:rPr>
                <w:noProof/>
                <w:webHidden/>
              </w:rPr>
              <w:fldChar w:fldCharType="begin"/>
            </w:r>
            <w:r>
              <w:rPr>
                <w:noProof/>
                <w:webHidden/>
              </w:rPr>
              <w:instrText xml:space="preserve"> PAGEREF _Toc240282306 \h </w:instrText>
            </w:r>
            <w:r>
              <w:rPr>
                <w:noProof/>
                <w:webHidden/>
              </w:rPr>
            </w:r>
            <w:r>
              <w:rPr>
                <w:noProof/>
                <w:webHidden/>
              </w:rPr>
              <w:fldChar w:fldCharType="separate"/>
            </w:r>
            <w:r>
              <w:rPr>
                <w:noProof/>
                <w:webHidden/>
              </w:rPr>
              <w:t>64</w:t>
            </w:r>
            <w:r>
              <w:rPr>
                <w:noProof/>
                <w:webHidden/>
              </w:rPr>
              <w:fldChar w:fldCharType="end"/>
            </w:r>
          </w:hyperlink>
        </w:p>
        <w:p w:rsidR="00923DA8" w:rsidRDefault="00923DA8">
          <w:pPr>
            <w:pStyle w:val="TOC2"/>
            <w:tabs>
              <w:tab w:val="right" w:leader="dot" w:pos="9017"/>
            </w:tabs>
            <w:rPr>
              <w:rFonts w:eastAsiaTheme="minorEastAsia"/>
              <w:noProof/>
            </w:rPr>
          </w:pPr>
          <w:hyperlink w:anchor="_Toc240282307" w:history="1">
            <w:r w:rsidRPr="001565BE">
              <w:rPr>
                <w:rStyle w:val="Hyperlink"/>
                <w:rFonts w:eastAsia="Times New Roman"/>
                <w:noProof/>
              </w:rPr>
              <w:t>6.2. Program odvojenog sakupljanja otpada</w:t>
            </w:r>
            <w:r>
              <w:rPr>
                <w:noProof/>
                <w:webHidden/>
              </w:rPr>
              <w:tab/>
            </w:r>
            <w:r>
              <w:rPr>
                <w:noProof/>
                <w:webHidden/>
              </w:rPr>
              <w:fldChar w:fldCharType="begin"/>
            </w:r>
            <w:r>
              <w:rPr>
                <w:noProof/>
                <w:webHidden/>
              </w:rPr>
              <w:instrText xml:space="preserve"> PAGEREF _Toc240282307 \h </w:instrText>
            </w:r>
            <w:r>
              <w:rPr>
                <w:noProof/>
                <w:webHidden/>
              </w:rPr>
            </w:r>
            <w:r>
              <w:rPr>
                <w:noProof/>
                <w:webHidden/>
              </w:rPr>
              <w:fldChar w:fldCharType="separate"/>
            </w:r>
            <w:r>
              <w:rPr>
                <w:noProof/>
                <w:webHidden/>
              </w:rPr>
              <w:t>68</w:t>
            </w:r>
            <w:r>
              <w:rPr>
                <w:noProof/>
                <w:webHidden/>
              </w:rPr>
              <w:fldChar w:fldCharType="end"/>
            </w:r>
          </w:hyperlink>
        </w:p>
        <w:p w:rsidR="00923DA8" w:rsidRDefault="00923DA8">
          <w:pPr>
            <w:pStyle w:val="TOC2"/>
            <w:tabs>
              <w:tab w:val="right" w:leader="dot" w:pos="9017"/>
            </w:tabs>
            <w:rPr>
              <w:rFonts w:eastAsiaTheme="minorEastAsia"/>
              <w:noProof/>
            </w:rPr>
          </w:pPr>
          <w:hyperlink w:anchor="_Toc240282308" w:history="1">
            <w:r w:rsidRPr="001565BE">
              <w:rPr>
                <w:rStyle w:val="Hyperlink"/>
                <w:rFonts w:eastAsia="Times New Roman"/>
                <w:noProof/>
              </w:rPr>
              <w:t>6.3. Upravljanje biootpadom</w:t>
            </w:r>
            <w:r>
              <w:rPr>
                <w:noProof/>
                <w:webHidden/>
              </w:rPr>
              <w:tab/>
            </w:r>
            <w:r>
              <w:rPr>
                <w:noProof/>
                <w:webHidden/>
              </w:rPr>
              <w:fldChar w:fldCharType="begin"/>
            </w:r>
            <w:r>
              <w:rPr>
                <w:noProof/>
                <w:webHidden/>
              </w:rPr>
              <w:instrText xml:space="preserve"> PAGEREF _Toc240282308 \h </w:instrText>
            </w:r>
            <w:r>
              <w:rPr>
                <w:noProof/>
                <w:webHidden/>
              </w:rPr>
            </w:r>
            <w:r>
              <w:rPr>
                <w:noProof/>
                <w:webHidden/>
              </w:rPr>
              <w:fldChar w:fldCharType="separate"/>
            </w:r>
            <w:r>
              <w:rPr>
                <w:noProof/>
                <w:webHidden/>
              </w:rPr>
              <w:t>72</w:t>
            </w:r>
            <w:r>
              <w:rPr>
                <w:noProof/>
                <w:webHidden/>
              </w:rPr>
              <w:fldChar w:fldCharType="end"/>
            </w:r>
          </w:hyperlink>
        </w:p>
        <w:p w:rsidR="00923DA8" w:rsidRDefault="00923DA8">
          <w:pPr>
            <w:pStyle w:val="TOC2"/>
            <w:tabs>
              <w:tab w:val="right" w:leader="dot" w:pos="9017"/>
            </w:tabs>
            <w:rPr>
              <w:rFonts w:eastAsiaTheme="minorEastAsia"/>
              <w:noProof/>
            </w:rPr>
          </w:pPr>
          <w:hyperlink w:anchor="_Toc240282309" w:history="1">
            <w:r w:rsidRPr="001565BE">
              <w:rPr>
                <w:rStyle w:val="Hyperlink"/>
                <w:rFonts w:eastAsia="Times New Roman"/>
                <w:noProof/>
              </w:rPr>
              <w:t>6.4. Upravljanje kabastim otpadom i posebnim tokovima otpada iz domaćinstava</w:t>
            </w:r>
            <w:r>
              <w:rPr>
                <w:noProof/>
                <w:webHidden/>
              </w:rPr>
              <w:tab/>
            </w:r>
            <w:r>
              <w:rPr>
                <w:noProof/>
                <w:webHidden/>
              </w:rPr>
              <w:fldChar w:fldCharType="begin"/>
            </w:r>
            <w:r>
              <w:rPr>
                <w:noProof/>
                <w:webHidden/>
              </w:rPr>
              <w:instrText xml:space="preserve"> PAGEREF _Toc240282309 \h </w:instrText>
            </w:r>
            <w:r>
              <w:rPr>
                <w:noProof/>
                <w:webHidden/>
              </w:rPr>
            </w:r>
            <w:r>
              <w:rPr>
                <w:noProof/>
                <w:webHidden/>
              </w:rPr>
              <w:fldChar w:fldCharType="separate"/>
            </w:r>
            <w:r>
              <w:rPr>
                <w:noProof/>
                <w:webHidden/>
              </w:rPr>
              <w:t>76</w:t>
            </w:r>
            <w:r>
              <w:rPr>
                <w:noProof/>
                <w:webHidden/>
              </w:rPr>
              <w:fldChar w:fldCharType="end"/>
            </w:r>
          </w:hyperlink>
        </w:p>
        <w:p w:rsidR="00923DA8" w:rsidRDefault="00923DA8">
          <w:pPr>
            <w:pStyle w:val="TOC3"/>
            <w:tabs>
              <w:tab w:val="right" w:leader="dot" w:pos="9017"/>
            </w:tabs>
            <w:rPr>
              <w:rFonts w:eastAsiaTheme="minorEastAsia"/>
              <w:noProof/>
            </w:rPr>
          </w:pPr>
          <w:hyperlink w:anchor="_Toc240282310" w:history="1">
            <w:r w:rsidRPr="001565BE">
              <w:rPr>
                <w:rStyle w:val="Hyperlink"/>
                <w:rFonts w:ascii="Times New Roman" w:eastAsia="Times New Roman" w:hAnsi="Times New Roman" w:cs="Times New Roman"/>
                <w:b/>
                <w:bCs/>
                <w:noProof/>
              </w:rPr>
              <w:t>Uloga reciklažnog centra Berane</w:t>
            </w:r>
            <w:r>
              <w:rPr>
                <w:noProof/>
                <w:webHidden/>
              </w:rPr>
              <w:tab/>
            </w:r>
            <w:r>
              <w:rPr>
                <w:noProof/>
                <w:webHidden/>
              </w:rPr>
              <w:fldChar w:fldCharType="begin"/>
            </w:r>
            <w:r>
              <w:rPr>
                <w:noProof/>
                <w:webHidden/>
              </w:rPr>
              <w:instrText xml:space="preserve"> PAGEREF _Toc240282310 \h </w:instrText>
            </w:r>
            <w:r>
              <w:rPr>
                <w:noProof/>
                <w:webHidden/>
              </w:rPr>
            </w:r>
            <w:r>
              <w:rPr>
                <w:noProof/>
                <w:webHidden/>
              </w:rPr>
              <w:fldChar w:fldCharType="separate"/>
            </w:r>
            <w:r>
              <w:rPr>
                <w:noProof/>
                <w:webHidden/>
              </w:rPr>
              <w:t>79</w:t>
            </w:r>
            <w:r>
              <w:rPr>
                <w:noProof/>
                <w:webHidden/>
              </w:rPr>
              <w:fldChar w:fldCharType="end"/>
            </w:r>
          </w:hyperlink>
        </w:p>
        <w:p w:rsidR="00923DA8" w:rsidRDefault="00923DA8">
          <w:pPr>
            <w:pStyle w:val="TOC2"/>
            <w:tabs>
              <w:tab w:val="right" w:leader="dot" w:pos="9017"/>
            </w:tabs>
            <w:rPr>
              <w:rFonts w:eastAsiaTheme="minorEastAsia"/>
              <w:noProof/>
            </w:rPr>
          </w:pPr>
          <w:hyperlink w:anchor="_Toc240282311" w:history="1">
            <w:r w:rsidRPr="001565BE">
              <w:rPr>
                <w:rStyle w:val="Hyperlink"/>
                <w:rFonts w:eastAsia="Times New Roman"/>
                <w:noProof/>
              </w:rPr>
              <w:t>6.5. Proširena odgovornost proizvođača i uloga lokalnog sistema</w:t>
            </w:r>
            <w:r>
              <w:rPr>
                <w:noProof/>
                <w:webHidden/>
              </w:rPr>
              <w:tab/>
            </w:r>
            <w:r>
              <w:rPr>
                <w:noProof/>
                <w:webHidden/>
              </w:rPr>
              <w:fldChar w:fldCharType="begin"/>
            </w:r>
            <w:r>
              <w:rPr>
                <w:noProof/>
                <w:webHidden/>
              </w:rPr>
              <w:instrText xml:space="preserve"> PAGEREF _Toc240282311 \h </w:instrText>
            </w:r>
            <w:r>
              <w:rPr>
                <w:noProof/>
                <w:webHidden/>
              </w:rPr>
            </w:r>
            <w:r>
              <w:rPr>
                <w:noProof/>
                <w:webHidden/>
              </w:rPr>
              <w:fldChar w:fldCharType="separate"/>
            </w:r>
            <w:r>
              <w:rPr>
                <w:noProof/>
                <w:webHidden/>
              </w:rPr>
              <w:t>80</w:t>
            </w:r>
            <w:r>
              <w:rPr>
                <w:noProof/>
                <w:webHidden/>
              </w:rPr>
              <w:fldChar w:fldCharType="end"/>
            </w:r>
          </w:hyperlink>
        </w:p>
        <w:p w:rsidR="00923DA8" w:rsidRDefault="00923DA8">
          <w:pPr>
            <w:pStyle w:val="TOC2"/>
            <w:tabs>
              <w:tab w:val="right" w:leader="dot" w:pos="9017"/>
            </w:tabs>
            <w:rPr>
              <w:rFonts w:eastAsiaTheme="minorEastAsia"/>
              <w:noProof/>
            </w:rPr>
          </w:pPr>
          <w:hyperlink w:anchor="_Toc240282312" w:history="1">
            <w:r w:rsidRPr="001565BE">
              <w:rPr>
                <w:rStyle w:val="Hyperlink"/>
                <w:rFonts w:eastAsia="Times New Roman"/>
                <w:noProof/>
              </w:rPr>
              <w:t>6.6. Infrastruktura za upravljanje otpadom</w:t>
            </w:r>
            <w:r>
              <w:rPr>
                <w:noProof/>
                <w:webHidden/>
              </w:rPr>
              <w:tab/>
            </w:r>
            <w:r>
              <w:rPr>
                <w:noProof/>
                <w:webHidden/>
              </w:rPr>
              <w:fldChar w:fldCharType="begin"/>
            </w:r>
            <w:r>
              <w:rPr>
                <w:noProof/>
                <w:webHidden/>
              </w:rPr>
              <w:instrText xml:space="preserve"> PAGEREF _Toc240282312 \h </w:instrText>
            </w:r>
            <w:r>
              <w:rPr>
                <w:noProof/>
                <w:webHidden/>
              </w:rPr>
            </w:r>
            <w:r>
              <w:rPr>
                <w:noProof/>
                <w:webHidden/>
              </w:rPr>
              <w:fldChar w:fldCharType="separate"/>
            </w:r>
            <w:r>
              <w:rPr>
                <w:noProof/>
                <w:webHidden/>
              </w:rPr>
              <w:t>81</w:t>
            </w:r>
            <w:r>
              <w:rPr>
                <w:noProof/>
                <w:webHidden/>
              </w:rPr>
              <w:fldChar w:fldCharType="end"/>
            </w:r>
          </w:hyperlink>
        </w:p>
        <w:p w:rsidR="00923DA8" w:rsidRDefault="00923DA8">
          <w:pPr>
            <w:pStyle w:val="TOC2"/>
            <w:tabs>
              <w:tab w:val="right" w:leader="dot" w:pos="9017"/>
            </w:tabs>
            <w:rPr>
              <w:rFonts w:eastAsiaTheme="minorEastAsia"/>
              <w:noProof/>
            </w:rPr>
          </w:pPr>
          <w:hyperlink w:anchor="_Toc240282313" w:history="1">
            <w:r w:rsidRPr="001565BE">
              <w:rPr>
                <w:rStyle w:val="Hyperlink"/>
                <w:rFonts w:eastAsia="Times New Roman"/>
                <w:noProof/>
              </w:rPr>
              <w:t>6.7. Upravljanje otpadom na zaštićenim područjima</w:t>
            </w:r>
            <w:r>
              <w:rPr>
                <w:noProof/>
                <w:webHidden/>
              </w:rPr>
              <w:tab/>
            </w:r>
            <w:r>
              <w:rPr>
                <w:noProof/>
                <w:webHidden/>
              </w:rPr>
              <w:fldChar w:fldCharType="begin"/>
            </w:r>
            <w:r>
              <w:rPr>
                <w:noProof/>
                <w:webHidden/>
              </w:rPr>
              <w:instrText xml:space="preserve"> PAGEREF _Toc240282313 \h </w:instrText>
            </w:r>
            <w:r>
              <w:rPr>
                <w:noProof/>
                <w:webHidden/>
              </w:rPr>
            </w:r>
            <w:r>
              <w:rPr>
                <w:noProof/>
                <w:webHidden/>
              </w:rPr>
              <w:fldChar w:fldCharType="separate"/>
            </w:r>
            <w:r>
              <w:rPr>
                <w:noProof/>
                <w:webHidden/>
              </w:rPr>
              <w:t>83</w:t>
            </w:r>
            <w:r>
              <w:rPr>
                <w:noProof/>
                <w:webHidden/>
              </w:rPr>
              <w:fldChar w:fldCharType="end"/>
            </w:r>
          </w:hyperlink>
        </w:p>
        <w:p w:rsidR="00923DA8" w:rsidRDefault="00923DA8">
          <w:pPr>
            <w:pStyle w:val="TOC1"/>
            <w:tabs>
              <w:tab w:val="right" w:leader="dot" w:pos="9017"/>
            </w:tabs>
            <w:rPr>
              <w:rFonts w:eastAsiaTheme="minorEastAsia"/>
              <w:noProof/>
            </w:rPr>
          </w:pPr>
          <w:hyperlink w:anchor="_Toc240282314" w:history="1">
            <w:r w:rsidRPr="001565BE">
              <w:rPr>
                <w:rStyle w:val="Hyperlink"/>
                <w:rFonts w:eastAsia="Times New Roman"/>
                <w:noProof/>
              </w:rPr>
              <w:t>7. UPRAVLJANJE NEOPASNIM GRAĐEVINSKIM OTPADOM</w:t>
            </w:r>
            <w:r>
              <w:rPr>
                <w:noProof/>
                <w:webHidden/>
              </w:rPr>
              <w:tab/>
            </w:r>
            <w:r>
              <w:rPr>
                <w:noProof/>
                <w:webHidden/>
              </w:rPr>
              <w:fldChar w:fldCharType="begin"/>
            </w:r>
            <w:r>
              <w:rPr>
                <w:noProof/>
                <w:webHidden/>
              </w:rPr>
              <w:instrText xml:space="preserve"> PAGEREF _Toc240282314 \h </w:instrText>
            </w:r>
            <w:r>
              <w:rPr>
                <w:noProof/>
                <w:webHidden/>
              </w:rPr>
            </w:r>
            <w:r>
              <w:rPr>
                <w:noProof/>
                <w:webHidden/>
              </w:rPr>
              <w:fldChar w:fldCharType="separate"/>
            </w:r>
            <w:r>
              <w:rPr>
                <w:noProof/>
                <w:webHidden/>
              </w:rPr>
              <w:t>83</w:t>
            </w:r>
            <w:r>
              <w:rPr>
                <w:noProof/>
                <w:webHidden/>
              </w:rPr>
              <w:fldChar w:fldCharType="end"/>
            </w:r>
          </w:hyperlink>
        </w:p>
        <w:p w:rsidR="00923DA8" w:rsidRDefault="00923DA8">
          <w:pPr>
            <w:pStyle w:val="TOC2"/>
            <w:tabs>
              <w:tab w:val="right" w:leader="dot" w:pos="9017"/>
            </w:tabs>
            <w:rPr>
              <w:rFonts w:eastAsiaTheme="minorEastAsia"/>
              <w:noProof/>
            </w:rPr>
          </w:pPr>
          <w:hyperlink w:anchor="_Toc240282315" w:history="1">
            <w:r w:rsidRPr="001565BE">
              <w:rPr>
                <w:rStyle w:val="Hyperlink"/>
                <w:rFonts w:eastAsia="Times New Roman"/>
                <w:noProof/>
              </w:rPr>
              <w:t>7.1. Planirani način sakupljanja i transporta neopasnog građevinskog otpada</w:t>
            </w:r>
            <w:r>
              <w:rPr>
                <w:noProof/>
                <w:webHidden/>
              </w:rPr>
              <w:tab/>
            </w:r>
            <w:r>
              <w:rPr>
                <w:noProof/>
                <w:webHidden/>
              </w:rPr>
              <w:fldChar w:fldCharType="begin"/>
            </w:r>
            <w:r>
              <w:rPr>
                <w:noProof/>
                <w:webHidden/>
              </w:rPr>
              <w:instrText xml:space="preserve"> PAGEREF _Toc240282315 \h </w:instrText>
            </w:r>
            <w:r>
              <w:rPr>
                <w:noProof/>
                <w:webHidden/>
              </w:rPr>
            </w:r>
            <w:r>
              <w:rPr>
                <w:noProof/>
                <w:webHidden/>
              </w:rPr>
              <w:fldChar w:fldCharType="separate"/>
            </w:r>
            <w:r>
              <w:rPr>
                <w:noProof/>
                <w:webHidden/>
              </w:rPr>
              <w:t>83</w:t>
            </w:r>
            <w:r>
              <w:rPr>
                <w:noProof/>
                <w:webHidden/>
              </w:rPr>
              <w:fldChar w:fldCharType="end"/>
            </w:r>
          </w:hyperlink>
        </w:p>
        <w:p w:rsidR="00923DA8" w:rsidRDefault="00923DA8">
          <w:pPr>
            <w:pStyle w:val="TOC2"/>
            <w:tabs>
              <w:tab w:val="right" w:leader="dot" w:pos="9017"/>
            </w:tabs>
            <w:rPr>
              <w:rFonts w:eastAsiaTheme="minorEastAsia"/>
              <w:noProof/>
            </w:rPr>
          </w:pPr>
          <w:hyperlink w:anchor="_Toc240282316" w:history="1">
            <w:r w:rsidRPr="001565BE">
              <w:rPr>
                <w:rStyle w:val="Hyperlink"/>
                <w:rFonts w:eastAsia="Times New Roman"/>
                <w:noProof/>
              </w:rPr>
              <w:t>7.2. Privremeno skladištenje i tretman neopasnog građevinskog otpada</w:t>
            </w:r>
            <w:r>
              <w:rPr>
                <w:noProof/>
                <w:webHidden/>
              </w:rPr>
              <w:tab/>
            </w:r>
            <w:r>
              <w:rPr>
                <w:noProof/>
                <w:webHidden/>
              </w:rPr>
              <w:fldChar w:fldCharType="begin"/>
            </w:r>
            <w:r>
              <w:rPr>
                <w:noProof/>
                <w:webHidden/>
              </w:rPr>
              <w:instrText xml:space="preserve"> PAGEREF _Toc240282316 \h </w:instrText>
            </w:r>
            <w:r>
              <w:rPr>
                <w:noProof/>
                <w:webHidden/>
              </w:rPr>
            </w:r>
            <w:r>
              <w:rPr>
                <w:noProof/>
                <w:webHidden/>
              </w:rPr>
              <w:fldChar w:fldCharType="separate"/>
            </w:r>
            <w:r>
              <w:rPr>
                <w:noProof/>
                <w:webHidden/>
              </w:rPr>
              <w:t>85</w:t>
            </w:r>
            <w:r>
              <w:rPr>
                <w:noProof/>
                <w:webHidden/>
              </w:rPr>
              <w:fldChar w:fldCharType="end"/>
            </w:r>
          </w:hyperlink>
        </w:p>
        <w:p w:rsidR="00923DA8" w:rsidRDefault="00923DA8">
          <w:pPr>
            <w:pStyle w:val="TOC2"/>
            <w:tabs>
              <w:tab w:val="right" w:leader="dot" w:pos="9017"/>
            </w:tabs>
            <w:rPr>
              <w:rFonts w:eastAsiaTheme="minorEastAsia"/>
              <w:noProof/>
            </w:rPr>
          </w:pPr>
          <w:hyperlink w:anchor="_Toc240282317" w:history="1">
            <w:r w:rsidRPr="001565BE">
              <w:rPr>
                <w:rStyle w:val="Hyperlink"/>
                <w:rFonts w:eastAsia="Times New Roman"/>
                <w:noProof/>
              </w:rPr>
              <w:t>7.3. Ponovna upotreba, reciklaža i druga materijalna prerada</w:t>
            </w:r>
            <w:r>
              <w:rPr>
                <w:noProof/>
                <w:webHidden/>
              </w:rPr>
              <w:tab/>
            </w:r>
            <w:r>
              <w:rPr>
                <w:noProof/>
                <w:webHidden/>
              </w:rPr>
              <w:fldChar w:fldCharType="begin"/>
            </w:r>
            <w:r>
              <w:rPr>
                <w:noProof/>
                <w:webHidden/>
              </w:rPr>
              <w:instrText xml:space="preserve"> PAGEREF _Toc240282317 \h </w:instrText>
            </w:r>
            <w:r>
              <w:rPr>
                <w:noProof/>
                <w:webHidden/>
              </w:rPr>
            </w:r>
            <w:r>
              <w:rPr>
                <w:noProof/>
                <w:webHidden/>
              </w:rPr>
              <w:fldChar w:fldCharType="separate"/>
            </w:r>
            <w:r>
              <w:rPr>
                <w:noProof/>
                <w:webHidden/>
              </w:rPr>
              <w:t>88</w:t>
            </w:r>
            <w:r>
              <w:rPr>
                <w:noProof/>
                <w:webHidden/>
              </w:rPr>
              <w:fldChar w:fldCharType="end"/>
            </w:r>
          </w:hyperlink>
        </w:p>
        <w:p w:rsidR="00923DA8" w:rsidRDefault="00923DA8">
          <w:pPr>
            <w:pStyle w:val="TOC1"/>
            <w:tabs>
              <w:tab w:val="right" w:leader="dot" w:pos="9017"/>
            </w:tabs>
            <w:rPr>
              <w:rFonts w:eastAsiaTheme="minorEastAsia"/>
              <w:noProof/>
            </w:rPr>
          </w:pPr>
          <w:hyperlink w:anchor="_Toc240282318" w:history="1">
            <w:r w:rsidRPr="001565BE">
              <w:rPr>
                <w:rStyle w:val="Hyperlink"/>
                <w:rFonts w:eastAsia="Times New Roman"/>
                <w:noProof/>
              </w:rPr>
              <w:t>8. MJERE ZA SPRJEČAVANJE NASTANKA I SMANJENJE KOLIČINA OTPADA</w:t>
            </w:r>
            <w:r>
              <w:rPr>
                <w:noProof/>
                <w:webHidden/>
              </w:rPr>
              <w:tab/>
            </w:r>
            <w:r>
              <w:rPr>
                <w:noProof/>
                <w:webHidden/>
              </w:rPr>
              <w:fldChar w:fldCharType="begin"/>
            </w:r>
            <w:r>
              <w:rPr>
                <w:noProof/>
                <w:webHidden/>
              </w:rPr>
              <w:instrText xml:space="preserve"> PAGEREF _Toc240282318 \h </w:instrText>
            </w:r>
            <w:r>
              <w:rPr>
                <w:noProof/>
                <w:webHidden/>
              </w:rPr>
            </w:r>
            <w:r>
              <w:rPr>
                <w:noProof/>
                <w:webHidden/>
              </w:rPr>
              <w:fldChar w:fldCharType="separate"/>
            </w:r>
            <w:r>
              <w:rPr>
                <w:noProof/>
                <w:webHidden/>
              </w:rPr>
              <w:t>92</w:t>
            </w:r>
            <w:r>
              <w:rPr>
                <w:noProof/>
                <w:webHidden/>
              </w:rPr>
              <w:fldChar w:fldCharType="end"/>
            </w:r>
          </w:hyperlink>
        </w:p>
        <w:p w:rsidR="00923DA8" w:rsidRDefault="00923DA8">
          <w:pPr>
            <w:pStyle w:val="TOC2"/>
            <w:tabs>
              <w:tab w:val="right" w:leader="dot" w:pos="9017"/>
            </w:tabs>
            <w:rPr>
              <w:rFonts w:eastAsiaTheme="minorEastAsia"/>
              <w:noProof/>
            </w:rPr>
          </w:pPr>
          <w:hyperlink w:anchor="_Toc240282319" w:history="1">
            <w:r w:rsidRPr="001565BE">
              <w:rPr>
                <w:rStyle w:val="Hyperlink"/>
                <w:rFonts w:eastAsia="Times New Roman"/>
                <w:noProof/>
              </w:rPr>
              <w:t>8.1. Sprječavanje nastanka i ponovna upotreba</w:t>
            </w:r>
            <w:r>
              <w:rPr>
                <w:noProof/>
                <w:webHidden/>
              </w:rPr>
              <w:tab/>
            </w:r>
            <w:r>
              <w:rPr>
                <w:noProof/>
                <w:webHidden/>
              </w:rPr>
              <w:fldChar w:fldCharType="begin"/>
            </w:r>
            <w:r>
              <w:rPr>
                <w:noProof/>
                <w:webHidden/>
              </w:rPr>
              <w:instrText xml:space="preserve"> PAGEREF _Toc240282319 \h </w:instrText>
            </w:r>
            <w:r>
              <w:rPr>
                <w:noProof/>
                <w:webHidden/>
              </w:rPr>
            </w:r>
            <w:r>
              <w:rPr>
                <w:noProof/>
                <w:webHidden/>
              </w:rPr>
              <w:fldChar w:fldCharType="separate"/>
            </w:r>
            <w:r>
              <w:rPr>
                <w:noProof/>
                <w:webHidden/>
              </w:rPr>
              <w:t>92</w:t>
            </w:r>
            <w:r>
              <w:rPr>
                <w:noProof/>
                <w:webHidden/>
              </w:rPr>
              <w:fldChar w:fldCharType="end"/>
            </w:r>
          </w:hyperlink>
        </w:p>
        <w:p w:rsidR="00923DA8" w:rsidRDefault="00923DA8">
          <w:pPr>
            <w:pStyle w:val="TOC2"/>
            <w:tabs>
              <w:tab w:val="right" w:leader="dot" w:pos="9017"/>
            </w:tabs>
            <w:rPr>
              <w:rFonts w:eastAsiaTheme="minorEastAsia"/>
              <w:noProof/>
            </w:rPr>
          </w:pPr>
          <w:hyperlink w:anchor="_Toc240282320" w:history="1">
            <w:r w:rsidRPr="001565BE">
              <w:rPr>
                <w:rStyle w:val="Hyperlink"/>
                <w:rFonts w:eastAsia="Times New Roman"/>
                <w:noProof/>
              </w:rPr>
              <w:t>8.2. Kućno kompostiranje i smanjenje otpada od hrane</w:t>
            </w:r>
            <w:r>
              <w:rPr>
                <w:noProof/>
                <w:webHidden/>
              </w:rPr>
              <w:tab/>
            </w:r>
            <w:r>
              <w:rPr>
                <w:noProof/>
                <w:webHidden/>
              </w:rPr>
              <w:fldChar w:fldCharType="begin"/>
            </w:r>
            <w:r>
              <w:rPr>
                <w:noProof/>
                <w:webHidden/>
              </w:rPr>
              <w:instrText xml:space="preserve"> PAGEREF _Toc240282320 \h </w:instrText>
            </w:r>
            <w:r>
              <w:rPr>
                <w:noProof/>
                <w:webHidden/>
              </w:rPr>
            </w:r>
            <w:r>
              <w:rPr>
                <w:noProof/>
                <w:webHidden/>
              </w:rPr>
              <w:fldChar w:fldCharType="separate"/>
            </w:r>
            <w:r>
              <w:rPr>
                <w:noProof/>
                <w:webHidden/>
              </w:rPr>
              <w:t>94</w:t>
            </w:r>
            <w:r>
              <w:rPr>
                <w:noProof/>
                <w:webHidden/>
              </w:rPr>
              <w:fldChar w:fldCharType="end"/>
            </w:r>
          </w:hyperlink>
        </w:p>
        <w:p w:rsidR="00923DA8" w:rsidRDefault="00923DA8">
          <w:pPr>
            <w:pStyle w:val="TOC2"/>
            <w:tabs>
              <w:tab w:val="right" w:leader="dot" w:pos="9017"/>
            </w:tabs>
            <w:rPr>
              <w:rFonts w:eastAsiaTheme="minorEastAsia"/>
              <w:noProof/>
            </w:rPr>
          </w:pPr>
          <w:hyperlink w:anchor="_Toc240282321" w:history="1">
            <w:r w:rsidRPr="001565BE">
              <w:rPr>
                <w:rStyle w:val="Hyperlink"/>
                <w:rFonts w:ascii="Times New Roman" w:hAnsi="Times New Roman" w:cs="Times New Roman"/>
                <w:noProof/>
              </w:rPr>
              <w:t>8.3. Druge mjere za smanjenje količina otpada</w:t>
            </w:r>
            <w:r>
              <w:rPr>
                <w:noProof/>
                <w:webHidden/>
              </w:rPr>
              <w:tab/>
            </w:r>
            <w:r>
              <w:rPr>
                <w:noProof/>
                <w:webHidden/>
              </w:rPr>
              <w:fldChar w:fldCharType="begin"/>
            </w:r>
            <w:r>
              <w:rPr>
                <w:noProof/>
                <w:webHidden/>
              </w:rPr>
              <w:instrText xml:space="preserve"> PAGEREF _Toc240282321 \h </w:instrText>
            </w:r>
            <w:r>
              <w:rPr>
                <w:noProof/>
                <w:webHidden/>
              </w:rPr>
            </w:r>
            <w:r>
              <w:rPr>
                <w:noProof/>
                <w:webHidden/>
              </w:rPr>
              <w:fldChar w:fldCharType="separate"/>
            </w:r>
            <w:r>
              <w:rPr>
                <w:noProof/>
                <w:webHidden/>
              </w:rPr>
              <w:t>96</w:t>
            </w:r>
            <w:r>
              <w:rPr>
                <w:noProof/>
                <w:webHidden/>
              </w:rPr>
              <w:fldChar w:fldCharType="end"/>
            </w:r>
          </w:hyperlink>
        </w:p>
        <w:p w:rsidR="00923DA8" w:rsidRDefault="00923DA8">
          <w:pPr>
            <w:pStyle w:val="TOC1"/>
            <w:tabs>
              <w:tab w:val="right" w:leader="dot" w:pos="9017"/>
            </w:tabs>
            <w:rPr>
              <w:rFonts w:eastAsiaTheme="minorEastAsia"/>
              <w:noProof/>
            </w:rPr>
          </w:pPr>
          <w:hyperlink w:anchor="_Toc240282322" w:history="1">
            <w:r w:rsidRPr="001565BE">
              <w:rPr>
                <w:rStyle w:val="Hyperlink"/>
                <w:rFonts w:eastAsia="Times New Roman"/>
                <w:noProof/>
              </w:rPr>
              <w:t>9. SANACIJA NEUREĐENIH ODLAGALIŠTA I PRIVREMENOG SKLADIŠTA „RUJIŠKE LAZE“</w:t>
            </w:r>
            <w:r>
              <w:rPr>
                <w:noProof/>
                <w:webHidden/>
              </w:rPr>
              <w:tab/>
            </w:r>
            <w:r>
              <w:rPr>
                <w:noProof/>
                <w:webHidden/>
              </w:rPr>
              <w:fldChar w:fldCharType="begin"/>
            </w:r>
            <w:r>
              <w:rPr>
                <w:noProof/>
                <w:webHidden/>
              </w:rPr>
              <w:instrText xml:space="preserve"> PAGEREF _Toc240282322 \h </w:instrText>
            </w:r>
            <w:r>
              <w:rPr>
                <w:noProof/>
                <w:webHidden/>
              </w:rPr>
            </w:r>
            <w:r>
              <w:rPr>
                <w:noProof/>
                <w:webHidden/>
              </w:rPr>
              <w:fldChar w:fldCharType="separate"/>
            </w:r>
            <w:r>
              <w:rPr>
                <w:noProof/>
                <w:webHidden/>
              </w:rPr>
              <w:t>99</w:t>
            </w:r>
            <w:r>
              <w:rPr>
                <w:noProof/>
                <w:webHidden/>
              </w:rPr>
              <w:fldChar w:fldCharType="end"/>
            </w:r>
          </w:hyperlink>
        </w:p>
        <w:p w:rsidR="00923DA8" w:rsidRDefault="00923DA8">
          <w:pPr>
            <w:pStyle w:val="TOC2"/>
            <w:tabs>
              <w:tab w:val="right" w:leader="dot" w:pos="9017"/>
            </w:tabs>
            <w:rPr>
              <w:rFonts w:eastAsiaTheme="minorEastAsia"/>
              <w:noProof/>
            </w:rPr>
          </w:pPr>
          <w:hyperlink w:anchor="_Toc240282323" w:history="1">
            <w:r w:rsidRPr="001565BE">
              <w:rPr>
                <w:rStyle w:val="Hyperlink"/>
                <w:rFonts w:eastAsia="Times New Roman"/>
                <w:noProof/>
              </w:rPr>
              <w:t>9.1. Prioriteti i mjere sanacije neuređenih odlagališta</w:t>
            </w:r>
            <w:r>
              <w:rPr>
                <w:noProof/>
                <w:webHidden/>
              </w:rPr>
              <w:tab/>
            </w:r>
            <w:r>
              <w:rPr>
                <w:noProof/>
                <w:webHidden/>
              </w:rPr>
              <w:fldChar w:fldCharType="begin"/>
            </w:r>
            <w:r>
              <w:rPr>
                <w:noProof/>
                <w:webHidden/>
              </w:rPr>
              <w:instrText xml:space="preserve"> PAGEREF _Toc240282323 \h </w:instrText>
            </w:r>
            <w:r>
              <w:rPr>
                <w:noProof/>
                <w:webHidden/>
              </w:rPr>
            </w:r>
            <w:r>
              <w:rPr>
                <w:noProof/>
                <w:webHidden/>
              </w:rPr>
              <w:fldChar w:fldCharType="separate"/>
            </w:r>
            <w:r>
              <w:rPr>
                <w:noProof/>
                <w:webHidden/>
              </w:rPr>
              <w:t>99</w:t>
            </w:r>
            <w:r>
              <w:rPr>
                <w:noProof/>
                <w:webHidden/>
              </w:rPr>
              <w:fldChar w:fldCharType="end"/>
            </w:r>
          </w:hyperlink>
        </w:p>
        <w:p w:rsidR="00923DA8" w:rsidRDefault="00923DA8">
          <w:pPr>
            <w:pStyle w:val="TOC2"/>
            <w:tabs>
              <w:tab w:val="right" w:leader="dot" w:pos="9017"/>
            </w:tabs>
            <w:rPr>
              <w:rFonts w:eastAsiaTheme="minorEastAsia"/>
              <w:noProof/>
            </w:rPr>
          </w:pPr>
          <w:hyperlink w:anchor="_Toc240282324" w:history="1">
            <w:r w:rsidRPr="001565BE">
              <w:rPr>
                <w:rStyle w:val="Hyperlink"/>
                <w:rFonts w:eastAsia="Times New Roman"/>
                <w:noProof/>
              </w:rPr>
              <w:t>9.2. Prestanak korišćenja i sanacija lokacije „Rujiške laze“</w:t>
            </w:r>
            <w:r>
              <w:rPr>
                <w:noProof/>
                <w:webHidden/>
              </w:rPr>
              <w:tab/>
            </w:r>
            <w:r>
              <w:rPr>
                <w:noProof/>
                <w:webHidden/>
              </w:rPr>
              <w:fldChar w:fldCharType="begin"/>
            </w:r>
            <w:r>
              <w:rPr>
                <w:noProof/>
                <w:webHidden/>
              </w:rPr>
              <w:instrText xml:space="preserve"> PAGEREF _Toc240282324 \h </w:instrText>
            </w:r>
            <w:r>
              <w:rPr>
                <w:noProof/>
                <w:webHidden/>
              </w:rPr>
            </w:r>
            <w:r>
              <w:rPr>
                <w:noProof/>
                <w:webHidden/>
              </w:rPr>
              <w:fldChar w:fldCharType="separate"/>
            </w:r>
            <w:r>
              <w:rPr>
                <w:noProof/>
                <w:webHidden/>
              </w:rPr>
              <w:t>100</w:t>
            </w:r>
            <w:r>
              <w:rPr>
                <w:noProof/>
                <w:webHidden/>
              </w:rPr>
              <w:fldChar w:fldCharType="end"/>
            </w:r>
          </w:hyperlink>
        </w:p>
        <w:p w:rsidR="00923DA8" w:rsidRDefault="00923DA8">
          <w:pPr>
            <w:pStyle w:val="TOC2"/>
            <w:tabs>
              <w:tab w:val="right" w:leader="dot" w:pos="9017"/>
            </w:tabs>
            <w:rPr>
              <w:rFonts w:eastAsiaTheme="minorEastAsia"/>
              <w:noProof/>
            </w:rPr>
          </w:pPr>
          <w:hyperlink w:anchor="_Toc240282325" w:history="1">
            <w:r w:rsidRPr="001565BE">
              <w:rPr>
                <w:rStyle w:val="Hyperlink"/>
                <w:rFonts w:eastAsia="Times New Roman"/>
                <w:noProof/>
              </w:rPr>
              <w:t>9.3. Sprečavanje ponovnog nastanka neuređenih odlagališta</w:t>
            </w:r>
            <w:r>
              <w:rPr>
                <w:noProof/>
                <w:webHidden/>
              </w:rPr>
              <w:tab/>
            </w:r>
            <w:r>
              <w:rPr>
                <w:noProof/>
                <w:webHidden/>
              </w:rPr>
              <w:fldChar w:fldCharType="begin"/>
            </w:r>
            <w:r>
              <w:rPr>
                <w:noProof/>
                <w:webHidden/>
              </w:rPr>
              <w:instrText xml:space="preserve"> PAGEREF _Toc240282325 \h </w:instrText>
            </w:r>
            <w:r>
              <w:rPr>
                <w:noProof/>
                <w:webHidden/>
              </w:rPr>
            </w:r>
            <w:r>
              <w:rPr>
                <w:noProof/>
                <w:webHidden/>
              </w:rPr>
              <w:fldChar w:fldCharType="separate"/>
            </w:r>
            <w:r>
              <w:rPr>
                <w:noProof/>
                <w:webHidden/>
              </w:rPr>
              <w:t>101</w:t>
            </w:r>
            <w:r>
              <w:rPr>
                <w:noProof/>
                <w:webHidden/>
              </w:rPr>
              <w:fldChar w:fldCharType="end"/>
            </w:r>
          </w:hyperlink>
        </w:p>
        <w:p w:rsidR="00923DA8" w:rsidRDefault="00923DA8">
          <w:pPr>
            <w:pStyle w:val="TOC1"/>
            <w:tabs>
              <w:tab w:val="right" w:leader="dot" w:pos="9017"/>
            </w:tabs>
            <w:rPr>
              <w:rFonts w:eastAsiaTheme="minorEastAsia"/>
              <w:noProof/>
            </w:rPr>
          </w:pPr>
          <w:hyperlink w:anchor="_Toc240282326" w:history="1">
            <w:r w:rsidRPr="001565BE">
              <w:rPr>
                <w:rStyle w:val="Hyperlink"/>
                <w:rFonts w:eastAsia="Times New Roman"/>
                <w:noProof/>
              </w:rPr>
              <w:t>10. UPRAVLJANJE KANALIZACIONIM MULJEM</w:t>
            </w:r>
            <w:r>
              <w:rPr>
                <w:noProof/>
                <w:webHidden/>
              </w:rPr>
              <w:tab/>
            </w:r>
            <w:r>
              <w:rPr>
                <w:noProof/>
                <w:webHidden/>
              </w:rPr>
              <w:fldChar w:fldCharType="begin"/>
            </w:r>
            <w:r>
              <w:rPr>
                <w:noProof/>
                <w:webHidden/>
              </w:rPr>
              <w:instrText xml:space="preserve"> PAGEREF _Toc240282326 \h </w:instrText>
            </w:r>
            <w:r>
              <w:rPr>
                <w:noProof/>
                <w:webHidden/>
              </w:rPr>
            </w:r>
            <w:r>
              <w:rPr>
                <w:noProof/>
                <w:webHidden/>
              </w:rPr>
              <w:fldChar w:fldCharType="separate"/>
            </w:r>
            <w:r>
              <w:rPr>
                <w:noProof/>
                <w:webHidden/>
              </w:rPr>
              <w:t>102</w:t>
            </w:r>
            <w:r>
              <w:rPr>
                <w:noProof/>
                <w:webHidden/>
              </w:rPr>
              <w:fldChar w:fldCharType="end"/>
            </w:r>
          </w:hyperlink>
        </w:p>
        <w:p w:rsidR="00923DA8" w:rsidRDefault="00923DA8">
          <w:pPr>
            <w:pStyle w:val="TOC2"/>
            <w:tabs>
              <w:tab w:val="right" w:leader="dot" w:pos="9017"/>
            </w:tabs>
            <w:rPr>
              <w:rFonts w:eastAsiaTheme="minorEastAsia"/>
              <w:noProof/>
            </w:rPr>
          </w:pPr>
          <w:hyperlink w:anchor="_Toc240282327" w:history="1">
            <w:r w:rsidRPr="001565BE">
              <w:rPr>
                <w:rStyle w:val="Hyperlink"/>
                <w:rFonts w:eastAsia="Times New Roman"/>
                <w:noProof/>
              </w:rPr>
              <w:t>10.1. Postojeći sistem i planirani način upravljanja kanalizacionim muljem</w:t>
            </w:r>
            <w:r>
              <w:rPr>
                <w:noProof/>
                <w:webHidden/>
              </w:rPr>
              <w:tab/>
            </w:r>
            <w:r>
              <w:rPr>
                <w:noProof/>
                <w:webHidden/>
              </w:rPr>
              <w:fldChar w:fldCharType="begin"/>
            </w:r>
            <w:r>
              <w:rPr>
                <w:noProof/>
                <w:webHidden/>
              </w:rPr>
              <w:instrText xml:space="preserve"> PAGEREF _Toc240282327 \h </w:instrText>
            </w:r>
            <w:r>
              <w:rPr>
                <w:noProof/>
                <w:webHidden/>
              </w:rPr>
            </w:r>
            <w:r>
              <w:rPr>
                <w:noProof/>
                <w:webHidden/>
              </w:rPr>
              <w:fldChar w:fldCharType="separate"/>
            </w:r>
            <w:r>
              <w:rPr>
                <w:noProof/>
                <w:webHidden/>
              </w:rPr>
              <w:t>102</w:t>
            </w:r>
            <w:r>
              <w:rPr>
                <w:noProof/>
                <w:webHidden/>
              </w:rPr>
              <w:fldChar w:fldCharType="end"/>
            </w:r>
          </w:hyperlink>
        </w:p>
        <w:p w:rsidR="00923DA8" w:rsidRDefault="00923DA8">
          <w:pPr>
            <w:pStyle w:val="TOC2"/>
            <w:tabs>
              <w:tab w:val="right" w:leader="dot" w:pos="9017"/>
            </w:tabs>
            <w:rPr>
              <w:rFonts w:eastAsiaTheme="minorEastAsia"/>
              <w:noProof/>
            </w:rPr>
          </w:pPr>
          <w:hyperlink w:anchor="_Toc240282328" w:history="1">
            <w:r w:rsidRPr="001565BE">
              <w:rPr>
                <w:rStyle w:val="Hyperlink"/>
                <w:rFonts w:eastAsia="Times New Roman"/>
                <w:noProof/>
              </w:rPr>
              <w:t>10.2. Dalja obrada i konačno postupanje sa kanalizacionim muljem</w:t>
            </w:r>
            <w:r>
              <w:rPr>
                <w:noProof/>
                <w:webHidden/>
              </w:rPr>
              <w:tab/>
            </w:r>
            <w:r>
              <w:rPr>
                <w:noProof/>
                <w:webHidden/>
              </w:rPr>
              <w:fldChar w:fldCharType="begin"/>
            </w:r>
            <w:r>
              <w:rPr>
                <w:noProof/>
                <w:webHidden/>
              </w:rPr>
              <w:instrText xml:space="preserve"> PAGEREF _Toc240282328 \h </w:instrText>
            </w:r>
            <w:r>
              <w:rPr>
                <w:noProof/>
                <w:webHidden/>
              </w:rPr>
            </w:r>
            <w:r>
              <w:rPr>
                <w:noProof/>
                <w:webHidden/>
              </w:rPr>
              <w:fldChar w:fldCharType="separate"/>
            </w:r>
            <w:r>
              <w:rPr>
                <w:noProof/>
                <w:webHidden/>
              </w:rPr>
              <w:t>103</w:t>
            </w:r>
            <w:r>
              <w:rPr>
                <w:noProof/>
                <w:webHidden/>
              </w:rPr>
              <w:fldChar w:fldCharType="end"/>
            </w:r>
          </w:hyperlink>
        </w:p>
        <w:p w:rsidR="00923DA8" w:rsidRDefault="00923DA8">
          <w:pPr>
            <w:pStyle w:val="TOC1"/>
            <w:tabs>
              <w:tab w:val="right" w:leader="dot" w:pos="9017"/>
            </w:tabs>
            <w:rPr>
              <w:rFonts w:eastAsiaTheme="minorEastAsia"/>
              <w:noProof/>
            </w:rPr>
          </w:pPr>
          <w:hyperlink w:anchor="_Toc240282329" w:history="1">
            <w:r w:rsidRPr="001565BE">
              <w:rPr>
                <w:rStyle w:val="Hyperlink"/>
                <w:rFonts w:eastAsia="Times New Roman"/>
                <w:noProof/>
              </w:rPr>
              <w:t>11. INFORMISANJE, EDUKACIJA I UČEŠĆE JAVNOSTI</w:t>
            </w:r>
            <w:r>
              <w:rPr>
                <w:noProof/>
                <w:webHidden/>
              </w:rPr>
              <w:tab/>
            </w:r>
            <w:r>
              <w:rPr>
                <w:noProof/>
                <w:webHidden/>
              </w:rPr>
              <w:fldChar w:fldCharType="begin"/>
            </w:r>
            <w:r>
              <w:rPr>
                <w:noProof/>
                <w:webHidden/>
              </w:rPr>
              <w:instrText xml:space="preserve"> PAGEREF _Toc240282329 \h </w:instrText>
            </w:r>
            <w:r>
              <w:rPr>
                <w:noProof/>
                <w:webHidden/>
              </w:rPr>
            </w:r>
            <w:r>
              <w:rPr>
                <w:noProof/>
                <w:webHidden/>
              </w:rPr>
              <w:fldChar w:fldCharType="separate"/>
            </w:r>
            <w:r>
              <w:rPr>
                <w:noProof/>
                <w:webHidden/>
              </w:rPr>
              <w:t>104</w:t>
            </w:r>
            <w:r>
              <w:rPr>
                <w:noProof/>
                <w:webHidden/>
              </w:rPr>
              <w:fldChar w:fldCharType="end"/>
            </w:r>
          </w:hyperlink>
        </w:p>
        <w:p w:rsidR="00923DA8" w:rsidRDefault="00923DA8">
          <w:pPr>
            <w:pStyle w:val="TOC2"/>
            <w:tabs>
              <w:tab w:val="right" w:leader="dot" w:pos="9017"/>
            </w:tabs>
            <w:rPr>
              <w:rFonts w:eastAsiaTheme="minorEastAsia"/>
              <w:noProof/>
            </w:rPr>
          </w:pPr>
          <w:hyperlink w:anchor="_Toc240282330" w:history="1">
            <w:r w:rsidRPr="001565BE">
              <w:rPr>
                <w:rStyle w:val="Hyperlink"/>
                <w:rFonts w:eastAsia="Times New Roman"/>
                <w:noProof/>
              </w:rPr>
              <w:t>11.1. Informisanje građana o sistemu upravljanja otpadom</w:t>
            </w:r>
            <w:r>
              <w:rPr>
                <w:noProof/>
                <w:webHidden/>
              </w:rPr>
              <w:tab/>
            </w:r>
            <w:r>
              <w:rPr>
                <w:noProof/>
                <w:webHidden/>
              </w:rPr>
              <w:fldChar w:fldCharType="begin"/>
            </w:r>
            <w:r>
              <w:rPr>
                <w:noProof/>
                <w:webHidden/>
              </w:rPr>
              <w:instrText xml:space="preserve"> PAGEREF _Toc240282330 \h </w:instrText>
            </w:r>
            <w:r>
              <w:rPr>
                <w:noProof/>
                <w:webHidden/>
              </w:rPr>
            </w:r>
            <w:r>
              <w:rPr>
                <w:noProof/>
                <w:webHidden/>
              </w:rPr>
              <w:fldChar w:fldCharType="separate"/>
            </w:r>
            <w:r>
              <w:rPr>
                <w:noProof/>
                <w:webHidden/>
              </w:rPr>
              <w:t>104</w:t>
            </w:r>
            <w:r>
              <w:rPr>
                <w:noProof/>
                <w:webHidden/>
              </w:rPr>
              <w:fldChar w:fldCharType="end"/>
            </w:r>
          </w:hyperlink>
        </w:p>
        <w:p w:rsidR="00923DA8" w:rsidRDefault="00923DA8">
          <w:pPr>
            <w:pStyle w:val="TOC2"/>
            <w:tabs>
              <w:tab w:val="right" w:leader="dot" w:pos="9017"/>
            </w:tabs>
            <w:rPr>
              <w:rFonts w:eastAsiaTheme="minorEastAsia"/>
              <w:noProof/>
            </w:rPr>
          </w:pPr>
          <w:hyperlink w:anchor="_Toc240282331" w:history="1">
            <w:r w:rsidRPr="001565BE">
              <w:rPr>
                <w:rStyle w:val="Hyperlink"/>
                <w:rFonts w:eastAsia="Times New Roman"/>
                <w:noProof/>
              </w:rPr>
              <w:t>11.2. Edukacija stanovništva</w:t>
            </w:r>
            <w:r>
              <w:rPr>
                <w:noProof/>
                <w:webHidden/>
              </w:rPr>
              <w:tab/>
            </w:r>
            <w:r>
              <w:rPr>
                <w:noProof/>
                <w:webHidden/>
              </w:rPr>
              <w:fldChar w:fldCharType="begin"/>
            </w:r>
            <w:r>
              <w:rPr>
                <w:noProof/>
                <w:webHidden/>
              </w:rPr>
              <w:instrText xml:space="preserve"> PAGEREF _Toc240282331 \h </w:instrText>
            </w:r>
            <w:r>
              <w:rPr>
                <w:noProof/>
                <w:webHidden/>
              </w:rPr>
            </w:r>
            <w:r>
              <w:rPr>
                <w:noProof/>
                <w:webHidden/>
              </w:rPr>
              <w:fldChar w:fldCharType="separate"/>
            </w:r>
            <w:r>
              <w:rPr>
                <w:noProof/>
                <w:webHidden/>
              </w:rPr>
              <w:t>104</w:t>
            </w:r>
            <w:r>
              <w:rPr>
                <w:noProof/>
                <w:webHidden/>
              </w:rPr>
              <w:fldChar w:fldCharType="end"/>
            </w:r>
          </w:hyperlink>
        </w:p>
        <w:p w:rsidR="00923DA8" w:rsidRDefault="00923DA8">
          <w:pPr>
            <w:pStyle w:val="TOC2"/>
            <w:tabs>
              <w:tab w:val="right" w:leader="dot" w:pos="9017"/>
            </w:tabs>
            <w:rPr>
              <w:rFonts w:eastAsiaTheme="minorEastAsia"/>
              <w:noProof/>
            </w:rPr>
          </w:pPr>
          <w:hyperlink w:anchor="_Toc240282332" w:history="1">
            <w:r w:rsidRPr="001565BE">
              <w:rPr>
                <w:rStyle w:val="Hyperlink"/>
                <w:rFonts w:eastAsia="Times New Roman"/>
                <w:noProof/>
              </w:rPr>
              <w:t>11.3. Rad sa djecom i mladima</w:t>
            </w:r>
            <w:r>
              <w:rPr>
                <w:noProof/>
                <w:webHidden/>
              </w:rPr>
              <w:tab/>
            </w:r>
            <w:r>
              <w:rPr>
                <w:noProof/>
                <w:webHidden/>
              </w:rPr>
              <w:fldChar w:fldCharType="begin"/>
            </w:r>
            <w:r>
              <w:rPr>
                <w:noProof/>
                <w:webHidden/>
              </w:rPr>
              <w:instrText xml:space="preserve"> PAGEREF _Toc240282332 \h </w:instrText>
            </w:r>
            <w:r>
              <w:rPr>
                <w:noProof/>
                <w:webHidden/>
              </w:rPr>
            </w:r>
            <w:r>
              <w:rPr>
                <w:noProof/>
                <w:webHidden/>
              </w:rPr>
              <w:fldChar w:fldCharType="separate"/>
            </w:r>
            <w:r>
              <w:rPr>
                <w:noProof/>
                <w:webHidden/>
              </w:rPr>
              <w:t>105</w:t>
            </w:r>
            <w:r>
              <w:rPr>
                <w:noProof/>
                <w:webHidden/>
              </w:rPr>
              <w:fldChar w:fldCharType="end"/>
            </w:r>
          </w:hyperlink>
        </w:p>
        <w:p w:rsidR="00923DA8" w:rsidRDefault="00923DA8">
          <w:pPr>
            <w:pStyle w:val="TOC2"/>
            <w:tabs>
              <w:tab w:val="right" w:leader="dot" w:pos="9017"/>
            </w:tabs>
            <w:rPr>
              <w:rFonts w:eastAsiaTheme="minorEastAsia"/>
              <w:noProof/>
            </w:rPr>
          </w:pPr>
          <w:hyperlink w:anchor="_Toc240282333" w:history="1">
            <w:r w:rsidRPr="001565BE">
              <w:rPr>
                <w:rStyle w:val="Hyperlink"/>
                <w:rFonts w:eastAsia="Times New Roman"/>
                <w:noProof/>
              </w:rPr>
              <w:t>11.4. Saradnja sa privredom i institucijama</w:t>
            </w:r>
            <w:r>
              <w:rPr>
                <w:noProof/>
                <w:webHidden/>
              </w:rPr>
              <w:tab/>
            </w:r>
            <w:r>
              <w:rPr>
                <w:noProof/>
                <w:webHidden/>
              </w:rPr>
              <w:fldChar w:fldCharType="begin"/>
            </w:r>
            <w:r>
              <w:rPr>
                <w:noProof/>
                <w:webHidden/>
              </w:rPr>
              <w:instrText xml:space="preserve"> PAGEREF _Toc240282333 \h </w:instrText>
            </w:r>
            <w:r>
              <w:rPr>
                <w:noProof/>
                <w:webHidden/>
              </w:rPr>
            </w:r>
            <w:r>
              <w:rPr>
                <w:noProof/>
                <w:webHidden/>
              </w:rPr>
              <w:fldChar w:fldCharType="separate"/>
            </w:r>
            <w:r>
              <w:rPr>
                <w:noProof/>
                <w:webHidden/>
              </w:rPr>
              <w:t>105</w:t>
            </w:r>
            <w:r>
              <w:rPr>
                <w:noProof/>
                <w:webHidden/>
              </w:rPr>
              <w:fldChar w:fldCharType="end"/>
            </w:r>
          </w:hyperlink>
        </w:p>
        <w:p w:rsidR="00923DA8" w:rsidRDefault="00923DA8">
          <w:pPr>
            <w:pStyle w:val="TOC2"/>
            <w:tabs>
              <w:tab w:val="right" w:leader="dot" w:pos="9017"/>
            </w:tabs>
            <w:rPr>
              <w:rFonts w:eastAsiaTheme="minorEastAsia"/>
              <w:noProof/>
            </w:rPr>
          </w:pPr>
          <w:hyperlink w:anchor="_Toc240282334" w:history="1">
            <w:r w:rsidRPr="001565BE">
              <w:rPr>
                <w:rStyle w:val="Hyperlink"/>
                <w:rFonts w:eastAsia="Times New Roman"/>
                <w:noProof/>
              </w:rPr>
              <w:t>11.5. Učešće javnosti i prijavljivanje problema</w:t>
            </w:r>
            <w:r>
              <w:rPr>
                <w:noProof/>
                <w:webHidden/>
              </w:rPr>
              <w:tab/>
            </w:r>
            <w:r>
              <w:rPr>
                <w:noProof/>
                <w:webHidden/>
              </w:rPr>
              <w:fldChar w:fldCharType="begin"/>
            </w:r>
            <w:r>
              <w:rPr>
                <w:noProof/>
                <w:webHidden/>
              </w:rPr>
              <w:instrText xml:space="preserve"> PAGEREF _Toc240282334 \h </w:instrText>
            </w:r>
            <w:r>
              <w:rPr>
                <w:noProof/>
                <w:webHidden/>
              </w:rPr>
            </w:r>
            <w:r>
              <w:rPr>
                <w:noProof/>
                <w:webHidden/>
              </w:rPr>
              <w:fldChar w:fldCharType="separate"/>
            </w:r>
            <w:r>
              <w:rPr>
                <w:noProof/>
                <w:webHidden/>
              </w:rPr>
              <w:t>105</w:t>
            </w:r>
            <w:r>
              <w:rPr>
                <w:noProof/>
                <w:webHidden/>
              </w:rPr>
              <w:fldChar w:fldCharType="end"/>
            </w:r>
          </w:hyperlink>
        </w:p>
        <w:p w:rsidR="00923DA8" w:rsidRDefault="00923DA8">
          <w:pPr>
            <w:pStyle w:val="TOC2"/>
            <w:tabs>
              <w:tab w:val="right" w:leader="dot" w:pos="9017"/>
            </w:tabs>
            <w:rPr>
              <w:rFonts w:eastAsiaTheme="minorEastAsia"/>
              <w:noProof/>
            </w:rPr>
          </w:pPr>
          <w:hyperlink w:anchor="_Toc240282335" w:history="1">
            <w:r w:rsidRPr="001565BE">
              <w:rPr>
                <w:rStyle w:val="Hyperlink"/>
                <w:rFonts w:eastAsia="Times New Roman"/>
                <w:noProof/>
              </w:rPr>
              <w:t>11.6. Praćenje realizacije</w:t>
            </w:r>
            <w:r>
              <w:rPr>
                <w:noProof/>
                <w:webHidden/>
              </w:rPr>
              <w:tab/>
            </w:r>
            <w:r>
              <w:rPr>
                <w:noProof/>
                <w:webHidden/>
              </w:rPr>
              <w:fldChar w:fldCharType="begin"/>
            </w:r>
            <w:r>
              <w:rPr>
                <w:noProof/>
                <w:webHidden/>
              </w:rPr>
              <w:instrText xml:space="preserve"> PAGEREF _Toc240282335 \h </w:instrText>
            </w:r>
            <w:r>
              <w:rPr>
                <w:noProof/>
                <w:webHidden/>
              </w:rPr>
            </w:r>
            <w:r>
              <w:rPr>
                <w:noProof/>
                <w:webHidden/>
              </w:rPr>
              <w:fldChar w:fldCharType="separate"/>
            </w:r>
            <w:r>
              <w:rPr>
                <w:noProof/>
                <w:webHidden/>
              </w:rPr>
              <w:t>106</w:t>
            </w:r>
            <w:r>
              <w:rPr>
                <w:noProof/>
                <w:webHidden/>
              </w:rPr>
              <w:fldChar w:fldCharType="end"/>
            </w:r>
          </w:hyperlink>
        </w:p>
        <w:p w:rsidR="00923DA8" w:rsidRDefault="00923DA8">
          <w:pPr>
            <w:pStyle w:val="TOC1"/>
            <w:tabs>
              <w:tab w:val="right" w:leader="dot" w:pos="9017"/>
            </w:tabs>
            <w:rPr>
              <w:rFonts w:eastAsiaTheme="minorEastAsia"/>
              <w:noProof/>
            </w:rPr>
          </w:pPr>
          <w:hyperlink w:anchor="_Toc240282336" w:history="1">
            <w:r w:rsidRPr="001565BE">
              <w:rPr>
                <w:rStyle w:val="Hyperlink"/>
                <w:rFonts w:eastAsia="Times New Roman"/>
                <w:noProof/>
              </w:rPr>
              <w:t>12. INSTITUCIONALNI OKVIR I ORGANIZACIJA SPROVOĐENJA PLANA</w:t>
            </w:r>
            <w:r>
              <w:rPr>
                <w:noProof/>
                <w:webHidden/>
              </w:rPr>
              <w:tab/>
            </w:r>
            <w:r>
              <w:rPr>
                <w:noProof/>
                <w:webHidden/>
              </w:rPr>
              <w:fldChar w:fldCharType="begin"/>
            </w:r>
            <w:r>
              <w:rPr>
                <w:noProof/>
                <w:webHidden/>
              </w:rPr>
              <w:instrText xml:space="preserve"> PAGEREF _Toc240282336 \h </w:instrText>
            </w:r>
            <w:r>
              <w:rPr>
                <w:noProof/>
                <w:webHidden/>
              </w:rPr>
            </w:r>
            <w:r>
              <w:rPr>
                <w:noProof/>
                <w:webHidden/>
              </w:rPr>
              <w:fldChar w:fldCharType="separate"/>
            </w:r>
            <w:r>
              <w:rPr>
                <w:noProof/>
                <w:webHidden/>
              </w:rPr>
              <w:t>106</w:t>
            </w:r>
            <w:r>
              <w:rPr>
                <w:noProof/>
                <w:webHidden/>
              </w:rPr>
              <w:fldChar w:fldCharType="end"/>
            </w:r>
          </w:hyperlink>
        </w:p>
        <w:p w:rsidR="00923DA8" w:rsidRDefault="00923DA8">
          <w:pPr>
            <w:pStyle w:val="TOC2"/>
            <w:tabs>
              <w:tab w:val="right" w:leader="dot" w:pos="9017"/>
            </w:tabs>
            <w:rPr>
              <w:rFonts w:eastAsiaTheme="minorEastAsia"/>
              <w:noProof/>
            </w:rPr>
          </w:pPr>
          <w:hyperlink w:anchor="_Toc240282337" w:history="1">
            <w:r w:rsidRPr="001565BE">
              <w:rPr>
                <w:rStyle w:val="Hyperlink"/>
                <w:rFonts w:eastAsia="Times New Roman"/>
                <w:noProof/>
              </w:rPr>
              <w:t>12.1. Opština Berane</w:t>
            </w:r>
            <w:r>
              <w:rPr>
                <w:noProof/>
                <w:webHidden/>
              </w:rPr>
              <w:tab/>
            </w:r>
            <w:r>
              <w:rPr>
                <w:noProof/>
                <w:webHidden/>
              </w:rPr>
              <w:fldChar w:fldCharType="begin"/>
            </w:r>
            <w:r>
              <w:rPr>
                <w:noProof/>
                <w:webHidden/>
              </w:rPr>
              <w:instrText xml:space="preserve"> PAGEREF _Toc240282337 \h </w:instrText>
            </w:r>
            <w:r>
              <w:rPr>
                <w:noProof/>
                <w:webHidden/>
              </w:rPr>
            </w:r>
            <w:r>
              <w:rPr>
                <w:noProof/>
                <w:webHidden/>
              </w:rPr>
              <w:fldChar w:fldCharType="separate"/>
            </w:r>
            <w:r>
              <w:rPr>
                <w:noProof/>
                <w:webHidden/>
              </w:rPr>
              <w:t>107</w:t>
            </w:r>
            <w:r>
              <w:rPr>
                <w:noProof/>
                <w:webHidden/>
              </w:rPr>
              <w:fldChar w:fldCharType="end"/>
            </w:r>
          </w:hyperlink>
        </w:p>
        <w:p w:rsidR="00923DA8" w:rsidRDefault="00923DA8">
          <w:pPr>
            <w:pStyle w:val="TOC2"/>
            <w:tabs>
              <w:tab w:val="right" w:leader="dot" w:pos="9017"/>
            </w:tabs>
            <w:rPr>
              <w:rFonts w:eastAsiaTheme="minorEastAsia"/>
              <w:noProof/>
            </w:rPr>
          </w:pPr>
          <w:hyperlink w:anchor="_Toc240282338" w:history="1">
            <w:r w:rsidRPr="001565BE">
              <w:rPr>
                <w:rStyle w:val="Hyperlink"/>
                <w:rFonts w:eastAsia="Times New Roman"/>
                <w:noProof/>
              </w:rPr>
              <w:t>12.2. DOO „Komunalno“ Berane</w:t>
            </w:r>
            <w:r>
              <w:rPr>
                <w:noProof/>
                <w:webHidden/>
              </w:rPr>
              <w:tab/>
            </w:r>
            <w:r>
              <w:rPr>
                <w:noProof/>
                <w:webHidden/>
              </w:rPr>
              <w:fldChar w:fldCharType="begin"/>
            </w:r>
            <w:r>
              <w:rPr>
                <w:noProof/>
                <w:webHidden/>
              </w:rPr>
              <w:instrText xml:space="preserve"> PAGEREF _Toc240282338 \h </w:instrText>
            </w:r>
            <w:r>
              <w:rPr>
                <w:noProof/>
                <w:webHidden/>
              </w:rPr>
            </w:r>
            <w:r>
              <w:rPr>
                <w:noProof/>
                <w:webHidden/>
              </w:rPr>
              <w:fldChar w:fldCharType="separate"/>
            </w:r>
            <w:r>
              <w:rPr>
                <w:noProof/>
                <w:webHidden/>
              </w:rPr>
              <w:t>107</w:t>
            </w:r>
            <w:r>
              <w:rPr>
                <w:noProof/>
                <w:webHidden/>
              </w:rPr>
              <w:fldChar w:fldCharType="end"/>
            </w:r>
          </w:hyperlink>
        </w:p>
        <w:p w:rsidR="00923DA8" w:rsidRDefault="00923DA8">
          <w:pPr>
            <w:pStyle w:val="TOC2"/>
            <w:tabs>
              <w:tab w:val="right" w:leader="dot" w:pos="9017"/>
            </w:tabs>
            <w:rPr>
              <w:rFonts w:eastAsiaTheme="minorEastAsia"/>
              <w:noProof/>
            </w:rPr>
          </w:pPr>
          <w:hyperlink w:anchor="_Toc240282339" w:history="1">
            <w:r w:rsidRPr="001565BE">
              <w:rPr>
                <w:rStyle w:val="Hyperlink"/>
                <w:rFonts w:eastAsia="Times New Roman"/>
                <w:noProof/>
              </w:rPr>
              <w:t>12.3. Nadležni državni organi</w:t>
            </w:r>
            <w:r>
              <w:rPr>
                <w:noProof/>
                <w:webHidden/>
              </w:rPr>
              <w:tab/>
            </w:r>
            <w:r>
              <w:rPr>
                <w:noProof/>
                <w:webHidden/>
              </w:rPr>
              <w:fldChar w:fldCharType="begin"/>
            </w:r>
            <w:r>
              <w:rPr>
                <w:noProof/>
                <w:webHidden/>
              </w:rPr>
              <w:instrText xml:space="preserve"> PAGEREF _Toc240282339 \h </w:instrText>
            </w:r>
            <w:r>
              <w:rPr>
                <w:noProof/>
                <w:webHidden/>
              </w:rPr>
            </w:r>
            <w:r>
              <w:rPr>
                <w:noProof/>
                <w:webHidden/>
              </w:rPr>
              <w:fldChar w:fldCharType="separate"/>
            </w:r>
            <w:r>
              <w:rPr>
                <w:noProof/>
                <w:webHidden/>
              </w:rPr>
              <w:t>108</w:t>
            </w:r>
            <w:r>
              <w:rPr>
                <w:noProof/>
                <w:webHidden/>
              </w:rPr>
              <w:fldChar w:fldCharType="end"/>
            </w:r>
          </w:hyperlink>
        </w:p>
        <w:p w:rsidR="00923DA8" w:rsidRDefault="00923DA8">
          <w:pPr>
            <w:pStyle w:val="TOC2"/>
            <w:tabs>
              <w:tab w:val="right" w:leader="dot" w:pos="9017"/>
            </w:tabs>
            <w:rPr>
              <w:rFonts w:eastAsiaTheme="minorEastAsia"/>
              <w:noProof/>
            </w:rPr>
          </w:pPr>
          <w:hyperlink w:anchor="_Toc240282340" w:history="1">
            <w:r w:rsidRPr="001565BE">
              <w:rPr>
                <w:rStyle w:val="Hyperlink"/>
                <w:rFonts w:eastAsia="Times New Roman"/>
                <w:noProof/>
              </w:rPr>
              <w:t>12.4. Nadzor nad sprovođenjem propisa</w:t>
            </w:r>
            <w:r>
              <w:rPr>
                <w:noProof/>
                <w:webHidden/>
              </w:rPr>
              <w:tab/>
            </w:r>
            <w:r>
              <w:rPr>
                <w:noProof/>
                <w:webHidden/>
              </w:rPr>
              <w:fldChar w:fldCharType="begin"/>
            </w:r>
            <w:r>
              <w:rPr>
                <w:noProof/>
                <w:webHidden/>
              </w:rPr>
              <w:instrText xml:space="preserve"> PAGEREF _Toc240282340 \h </w:instrText>
            </w:r>
            <w:r>
              <w:rPr>
                <w:noProof/>
                <w:webHidden/>
              </w:rPr>
            </w:r>
            <w:r>
              <w:rPr>
                <w:noProof/>
                <w:webHidden/>
              </w:rPr>
              <w:fldChar w:fldCharType="separate"/>
            </w:r>
            <w:r>
              <w:rPr>
                <w:noProof/>
                <w:webHidden/>
              </w:rPr>
              <w:t>108</w:t>
            </w:r>
            <w:r>
              <w:rPr>
                <w:noProof/>
                <w:webHidden/>
              </w:rPr>
              <w:fldChar w:fldCharType="end"/>
            </w:r>
          </w:hyperlink>
        </w:p>
        <w:p w:rsidR="00923DA8" w:rsidRDefault="00923DA8">
          <w:pPr>
            <w:pStyle w:val="TOC2"/>
            <w:tabs>
              <w:tab w:val="right" w:leader="dot" w:pos="9017"/>
            </w:tabs>
            <w:rPr>
              <w:rFonts w:eastAsiaTheme="minorEastAsia"/>
              <w:noProof/>
            </w:rPr>
          </w:pPr>
          <w:hyperlink w:anchor="_Toc240282341" w:history="1">
            <w:r w:rsidRPr="001565BE">
              <w:rPr>
                <w:rStyle w:val="Hyperlink"/>
                <w:rFonts w:eastAsia="Times New Roman"/>
                <w:noProof/>
              </w:rPr>
              <w:t>12.5. Ovlašćeni operateri i privatni sektor</w:t>
            </w:r>
            <w:r>
              <w:rPr>
                <w:noProof/>
                <w:webHidden/>
              </w:rPr>
              <w:tab/>
            </w:r>
            <w:r>
              <w:rPr>
                <w:noProof/>
                <w:webHidden/>
              </w:rPr>
              <w:fldChar w:fldCharType="begin"/>
            </w:r>
            <w:r>
              <w:rPr>
                <w:noProof/>
                <w:webHidden/>
              </w:rPr>
              <w:instrText xml:space="preserve"> PAGEREF _Toc240282341 \h </w:instrText>
            </w:r>
            <w:r>
              <w:rPr>
                <w:noProof/>
                <w:webHidden/>
              </w:rPr>
            </w:r>
            <w:r>
              <w:rPr>
                <w:noProof/>
                <w:webHidden/>
              </w:rPr>
              <w:fldChar w:fldCharType="separate"/>
            </w:r>
            <w:r>
              <w:rPr>
                <w:noProof/>
                <w:webHidden/>
              </w:rPr>
              <w:t>108</w:t>
            </w:r>
            <w:r>
              <w:rPr>
                <w:noProof/>
                <w:webHidden/>
              </w:rPr>
              <w:fldChar w:fldCharType="end"/>
            </w:r>
          </w:hyperlink>
        </w:p>
        <w:p w:rsidR="00923DA8" w:rsidRDefault="00923DA8">
          <w:pPr>
            <w:pStyle w:val="TOC2"/>
            <w:tabs>
              <w:tab w:val="right" w:leader="dot" w:pos="9017"/>
            </w:tabs>
            <w:rPr>
              <w:rFonts w:eastAsiaTheme="minorEastAsia"/>
              <w:noProof/>
            </w:rPr>
          </w:pPr>
          <w:hyperlink w:anchor="_Toc240282342" w:history="1">
            <w:r w:rsidRPr="001565BE">
              <w:rPr>
                <w:rStyle w:val="Hyperlink"/>
                <w:rFonts w:eastAsia="Times New Roman"/>
                <w:noProof/>
              </w:rPr>
              <w:t>12.6. Proširena odgovornost proizvođača</w:t>
            </w:r>
            <w:r>
              <w:rPr>
                <w:noProof/>
                <w:webHidden/>
              </w:rPr>
              <w:tab/>
            </w:r>
            <w:r>
              <w:rPr>
                <w:noProof/>
                <w:webHidden/>
              </w:rPr>
              <w:fldChar w:fldCharType="begin"/>
            </w:r>
            <w:r>
              <w:rPr>
                <w:noProof/>
                <w:webHidden/>
              </w:rPr>
              <w:instrText xml:space="preserve"> PAGEREF _Toc240282342 \h </w:instrText>
            </w:r>
            <w:r>
              <w:rPr>
                <w:noProof/>
                <w:webHidden/>
              </w:rPr>
            </w:r>
            <w:r>
              <w:rPr>
                <w:noProof/>
                <w:webHidden/>
              </w:rPr>
              <w:fldChar w:fldCharType="separate"/>
            </w:r>
            <w:r>
              <w:rPr>
                <w:noProof/>
                <w:webHidden/>
              </w:rPr>
              <w:t>109</w:t>
            </w:r>
            <w:r>
              <w:rPr>
                <w:noProof/>
                <w:webHidden/>
              </w:rPr>
              <w:fldChar w:fldCharType="end"/>
            </w:r>
          </w:hyperlink>
        </w:p>
        <w:p w:rsidR="00923DA8" w:rsidRDefault="00923DA8">
          <w:pPr>
            <w:pStyle w:val="TOC2"/>
            <w:tabs>
              <w:tab w:val="right" w:leader="dot" w:pos="9017"/>
            </w:tabs>
            <w:rPr>
              <w:rFonts w:eastAsiaTheme="minorEastAsia"/>
              <w:noProof/>
            </w:rPr>
          </w:pPr>
          <w:hyperlink w:anchor="_Toc240282343" w:history="1">
            <w:r w:rsidRPr="001565BE">
              <w:rPr>
                <w:rStyle w:val="Hyperlink"/>
                <w:rFonts w:eastAsia="Times New Roman"/>
                <w:noProof/>
              </w:rPr>
              <w:t>12.7. Regionalna saradnja</w:t>
            </w:r>
            <w:r>
              <w:rPr>
                <w:noProof/>
                <w:webHidden/>
              </w:rPr>
              <w:tab/>
            </w:r>
            <w:r>
              <w:rPr>
                <w:noProof/>
                <w:webHidden/>
              </w:rPr>
              <w:fldChar w:fldCharType="begin"/>
            </w:r>
            <w:r>
              <w:rPr>
                <w:noProof/>
                <w:webHidden/>
              </w:rPr>
              <w:instrText xml:space="preserve"> PAGEREF _Toc240282343 \h </w:instrText>
            </w:r>
            <w:r>
              <w:rPr>
                <w:noProof/>
                <w:webHidden/>
              </w:rPr>
            </w:r>
            <w:r>
              <w:rPr>
                <w:noProof/>
                <w:webHidden/>
              </w:rPr>
              <w:fldChar w:fldCharType="separate"/>
            </w:r>
            <w:r>
              <w:rPr>
                <w:noProof/>
                <w:webHidden/>
              </w:rPr>
              <w:t>109</w:t>
            </w:r>
            <w:r>
              <w:rPr>
                <w:noProof/>
                <w:webHidden/>
              </w:rPr>
              <w:fldChar w:fldCharType="end"/>
            </w:r>
          </w:hyperlink>
        </w:p>
        <w:p w:rsidR="00923DA8" w:rsidRDefault="00923DA8">
          <w:pPr>
            <w:pStyle w:val="TOC2"/>
            <w:tabs>
              <w:tab w:val="right" w:leader="dot" w:pos="9017"/>
            </w:tabs>
            <w:rPr>
              <w:rFonts w:eastAsiaTheme="minorEastAsia"/>
              <w:noProof/>
            </w:rPr>
          </w:pPr>
          <w:hyperlink w:anchor="_Toc240282344" w:history="1">
            <w:r w:rsidRPr="001565BE">
              <w:rPr>
                <w:rStyle w:val="Hyperlink"/>
                <w:rFonts w:eastAsia="Times New Roman"/>
                <w:noProof/>
              </w:rPr>
              <w:t>12.8. Koordinacija i praćenje sprovođenja Lokalnog plana</w:t>
            </w:r>
            <w:r>
              <w:rPr>
                <w:noProof/>
                <w:webHidden/>
              </w:rPr>
              <w:tab/>
            </w:r>
            <w:r>
              <w:rPr>
                <w:noProof/>
                <w:webHidden/>
              </w:rPr>
              <w:fldChar w:fldCharType="begin"/>
            </w:r>
            <w:r>
              <w:rPr>
                <w:noProof/>
                <w:webHidden/>
              </w:rPr>
              <w:instrText xml:space="preserve"> PAGEREF _Toc240282344 \h </w:instrText>
            </w:r>
            <w:r>
              <w:rPr>
                <w:noProof/>
                <w:webHidden/>
              </w:rPr>
            </w:r>
            <w:r>
              <w:rPr>
                <w:noProof/>
                <w:webHidden/>
              </w:rPr>
              <w:fldChar w:fldCharType="separate"/>
            </w:r>
            <w:r>
              <w:rPr>
                <w:noProof/>
                <w:webHidden/>
              </w:rPr>
              <w:t>110</w:t>
            </w:r>
            <w:r>
              <w:rPr>
                <w:noProof/>
                <w:webHidden/>
              </w:rPr>
              <w:fldChar w:fldCharType="end"/>
            </w:r>
          </w:hyperlink>
        </w:p>
        <w:p w:rsidR="00923DA8" w:rsidRDefault="00923DA8">
          <w:pPr>
            <w:pStyle w:val="TOC1"/>
            <w:tabs>
              <w:tab w:val="right" w:leader="dot" w:pos="9017"/>
            </w:tabs>
            <w:rPr>
              <w:rFonts w:eastAsiaTheme="minorEastAsia"/>
              <w:noProof/>
            </w:rPr>
          </w:pPr>
          <w:hyperlink w:anchor="_Toc240282345" w:history="1">
            <w:r w:rsidRPr="001565BE">
              <w:rPr>
                <w:rStyle w:val="Hyperlink"/>
                <w:rFonts w:eastAsia="Times New Roman"/>
                <w:noProof/>
              </w:rPr>
              <w:t>13. FINANSIRANJE SISTEMA UPRAVLJANJA OTPADOM</w:t>
            </w:r>
            <w:r>
              <w:rPr>
                <w:noProof/>
                <w:webHidden/>
              </w:rPr>
              <w:tab/>
            </w:r>
            <w:r>
              <w:rPr>
                <w:noProof/>
                <w:webHidden/>
              </w:rPr>
              <w:fldChar w:fldCharType="begin"/>
            </w:r>
            <w:r>
              <w:rPr>
                <w:noProof/>
                <w:webHidden/>
              </w:rPr>
              <w:instrText xml:space="preserve"> PAGEREF _Toc240282345 \h </w:instrText>
            </w:r>
            <w:r>
              <w:rPr>
                <w:noProof/>
                <w:webHidden/>
              </w:rPr>
            </w:r>
            <w:r>
              <w:rPr>
                <w:noProof/>
                <w:webHidden/>
              </w:rPr>
              <w:fldChar w:fldCharType="separate"/>
            </w:r>
            <w:r>
              <w:rPr>
                <w:noProof/>
                <w:webHidden/>
              </w:rPr>
              <w:t>110</w:t>
            </w:r>
            <w:r>
              <w:rPr>
                <w:noProof/>
                <w:webHidden/>
              </w:rPr>
              <w:fldChar w:fldCharType="end"/>
            </w:r>
          </w:hyperlink>
        </w:p>
        <w:p w:rsidR="00923DA8" w:rsidRDefault="00923DA8">
          <w:pPr>
            <w:pStyle w:val="TOC2"/>
            <w:tabs>
              <w:tab w:val="right" w:leader="dot" w:pos="9017"/>
            </w:tabs>
            <w:rPr>
              <w:rFonts w:eastAsiaTheme="minorEastAsia"/>
              <w:noProof/>
            </w:rPr>
          </w:pPr>
          <w:hyperlink w:anchor="_Toc240282346" w:history="1">
            <w:r w:rsidRPr="001565BE">
              <w:rPr>
                <w:rStyle w:val="Hyperlink"/>
                <w:rFonts w:eastAsia="Times New Roman"/>
                <w:noProof/>
              </w:rPr>
              <w:t>13.1. Izvori finansiranja</w:t>
            </w:r>
            <w:r>
              <w:rPr>
                <w:noProof/>
                <w:webHidden/>
              </w:rPr>
              <w:tab/>
            </w:r>
            <w:r>
              <w:rPr>
                <w:noProof/>
                <w:webHidden/>
              </w:rPr>
              <w:fldChar w:fldCharType="begin"/>
            </w:r>
            <w:r>
              <w:rPr>
                <w:noProof/>
                <w:webHidden/>
              </w:rPr>
              <w:instrText xml:space="preserve"> PAGEREF _Toc240282346 \h </w:instrText>
            </w:r>
            <w:r>
              <w:rPr>
                <w:noProof/>
                <w:webHidden/>
              </w:rPr>
            </w:r>
            <w:r>
              <w:rPr>
                <w:noProof/>
                <w:webHidden/>
              </w:rPr>
              <w:fldChar w:fldCharType="separate"/>
            </w:r>
            <w:r>
              <w:rPr>
                <w:noProof/>
                <w:webHidden/>
              </w:rPr>
              <w:t>111</w:t>
            </w:r>
            <w:r>
              <w:rPr>
                <w:noProof/>
                <w:webHidden/>
              </w:rPr>
              <w:fldChar w:fldCharType="end"/>
            </w:r>
          </w:hyperlink>
        </w:p>
        <w:p w:rsidR="00923DA8" w:rsidRDefault="00923DA8">
          <w:pPr>
            <w:pStyle w:val="TOC2"/>
            <w:tabs>
              <w:tab w:val="right" w:leader="dot" w:pos="9017"/>
            </w:tabs>
            <w:rPr>
              <w:rFonts w:eastAsiaTheme="minorEastAsia"/>
              <w:noProof/>
            </w:rPr>
          </w:pPr>
          <w:hyperlink w:anchor="_Toc240282347" w:history="1">
            <w:r w:rsidRPr="001565BE">
              <w:rPr>
                <w:rStyle w:val="Hyperlink"/>
                <w:rFonts w:eastAsia="Times New Roman"/>
                <w:noProof/>
              </w:rPr>
              <w:t>13.2. Finansiranje redovnog funkcionisanja sistema</w:t>
            </w:r>
            <w:r>
              <w:rPr>
                <w:noProof/>
                <w:webHidden/>
              </w:rPr>
              <w:tab/>
            </w:r>
            <w:r>
              <w:rPr>
                <w:noProof/>
                <w:webHidden/>
              </w:rPr>
              <w:fldChar w:fldCharType="begin"/>
            </w:r>
            <w:r>
              <w:rPr>
                <w:noProof/>
                <w:webHidden/>
              </w:rPr>
              <w:instrText xml:space="preserve"> PAGEREF _Toc240282347 \h </w:instrText>
            </w:r>
            <w:r>
              <w:rPr>
                <w:noProof/>
                <w:webHidden/>
              </w:rPr>
            </w:r>
            <w:r>
              <w:rPr>
                <w:noProof/>
                <w:webHidden/>
              </w:rPr>
              <w:fldChar w:fldCharType="separate"/>
            </w:r>
            <w:r>
              <w:rPr>
                <w:noProof/>
                <w:webHidden/>
              </w:rPr>
              <w:t>111</w:t>
            </w:r>
            <w:r>
              <w:rPr>
                <w:noProof/>
                <w:webHidden/>
              </w:rPr>
              <w:fldChar w:fldCharType="end"/>
            </w:r>
          </w:hyperlink>
        </w:p>
        <w:p w:rsidR="00923DA8" w:rsidRDefault="00923DA8">
          <w:pPr>
            <w:pStyle w:val="TOC2"/>
            <w:tabs>
              <w:tab w:val="right" w:leader="dot" w:pos="9017"/>
            </w:tabs>
            <w:rPr>
              <w:rFonts w:eastAsiaTheme="minorEastAsia"/>
              <w:noProof/>
            </w:rPr>
          </w:pPr>
          <w:hyperlink w:anchor="_Toc240282348" w:history="1">
            <w:r w:rsidRPr="001565BE">
              <w:rPr>
                <w:rStyle w:val="Hyperlink"/>
                <w:rFonts w:eastAsia="Times New Roman"/>
                <w:noProof/>
              </w:rPr>
              <w:t>13.3. Finansiranje planirane infrastrukture i opreme</w:t>
            </w:r>
            <w:r>
              <w:rPr>
                <w:noProof/>
                <w:webHidden/>
              </w:rPr>
              <w:tab/>
            </w:r>
            <w:r>
              <w:rPr>
                <w:noProof/>
                <w:webHidden/>
              </w:rPr>
              <w:fldChar w:fldCharType="begin"/>
            </w:r>
            <w:r>
              <w:rPr>
                <w:noProof/>
                <w:webHidden/>
              </w:rPr>
              <w:instrText xml:space="preserve"> PAGEREF _Toc240282348 \h </w:instrText>
            </w:r>
            <w:r>
              <w:rPr>
                <w:noProof/>
                <w:webHidden/>
              </w:rPr>
            </w:r>
            <w:r>
              <w:rPr>
                <w:noProof/>
                <w:webHidden/>
              </w:rPr>
              <w:fldChar w:fldCharType="separate"/>
            </w:r>
            <w:r>
              <w:rPr>
                <w:noProof/>
                <w:webHidden/>
              </w:rPr>
              <w:t>112</w:t>
            </w:r>
            <w:r>
              <w:rPr>
                <w:noProof/>
                <w:webHidden/>
              </w:rPr>
              <w:fldChar w:fldCharType="end"/>
            </w:r>
          </w:hyperlink>
        </w:p>
        <w:p w:rsidR="00923DA8" w:rsidRDefault="00923DA8">
          <w:pPr>
            <w:pStyle w:val="TOC2"/>
            <w:tabs>
              <w:tab w:val="right" w:leader="dot" w:pos="9017"/>
            </w:tabs>
            <w:rPr>
              <w:rFonts w:eastAsiaTheme="minorEastAsia"/>
              <w:noProof/>
            </w:rPr>
          </w:pPr>
          <w:hyperlink w:anchor="_Toc240282349" w:history="1">
            <w:r w:rsidRPr="001565BE">
              <w:rPr>
                <w:rStyle w:val="Hyperlink"/>
                <w:rFonts w:eastAsia="Times New Roman"/>
                <w:noProof/>
              </w:rPr>
              <w:t>13.4. Proširena odgovornost proizvođača i finansiranje posebnih tokova</w:t>
            </w:r>
            <w:r>
              <w:rPr>
                <w:noProof/>
                <w:webHidden/>
              </w:rPr>
              <w:tab/>
            </w:r>
            <w:r>
              <w:rPr>
                <w:noProof/>
                <w:webHidden/>
              </w:rPr>
              <w:fldChar w:fldCharType="begin"/>
            </w:r>
            <w:r>
              <w:rPr>
                <w:noProof/>
                <w:webHidden/>
              </w:rPr>
              <w:instrText xml:space="preserve"> PAGEREF _Toc240282349 \h </w:instrText>
            </w:r>
            <w:r>
              <w:rPr>
                <w:noProof/>
                <w:webHidden/>
              </w:rPr>
            </w:r>
            <w:r>
              <w:rPr>
                <w:noProof/>
                <w:webHidden/>
              </w:rPr>
              <w:fldChar w:fldCharType="separate"/>
            </w:r>
            <w:r>
              <w:rPr>
                <w:noProof/>
                <w:webHidden/>
              </w:rPr>
              <w:t>112</w:t>
            </w:r>
            <w:r>
              <w:rPr>
                <w:noProof/>
                <w:webHidden/>
              </w:rPr>
              <w:fldChar w:fldCharType="end"/>
            </w:r>
          </w:hyperlink>
        </w:p>
        <w:p w:rsidR="00923DA8" w:rsidRDefault="00923DA8">
          <w:pPr>
            <w:pStyle w:val="TOC2"/>
            <w:tabs>
              <w:tab w:val="right" w:leader="dot" w:pos="9017"/>
            </w:tabs>
            <w:rPr>
              <w:rFonts w:eastAsiaTheme="minorEastAsia"/>
              <w:noProof/>
            </w:rPr>
          </w:pPr>
          <w:hyperlink w:anchor="_Toc240282350" w:history="1">
            <w:r w:rsidRPr="001565BE">
              <w:rPr>
                <w:rStyle w:val="Hyperlink"/>
                <w:rFonts w:eastAsia="Times New Roman"/>
                <w:noProof/>
              </w:rPr>
              <w:t>13.5. Regionalna infrastruktura</w:t>
            </w:r>
            <w:r>
              <w:rPr>
                <w:noProof/>
                <w:webHidden/>
              </w:rPr>
              <w:tab/>
            </w:r>
            <w:r>
              <w:rPr>
                <w:noProof/>
                <w:webHidden/>
              </w:rPr>
              <w:fldChar w:fldCharType="begin"/>
            </w:r>
            <w:r>
              <w:rPr>
                <w:noProof/>
                <w:webHidden/>
              </w:rPr>
              <w:instrText xml:space="preserve"> PAGEREF _Toc240282350 \h </w:instrText>
            </w:r>
            <w:r>
              <w:rPr>
                <w:noProof/>
                <w:webHidden/>
              </w:rPr>
            </w:r>
            <w:r>
              <w:rPr>
                <w:noProof/>
                <w:webHidden/>
              </w:rPr>
              <w:fldChar w:fldCharType="separate"/>
            </w:r>
            <w:r>
              <w:rPr>
                <w:noProof/>
                <w:webHidden/>
              </w:rPr>
              <w:t>112</w:t>
            </w:r>
            <w:r>
              <w:rPr>
                <w:noProof/>
                <w:webHidden/>
              </w:rPr>
              <w:fldChar w:fldCharType="end"/>
            </w:r>
          </w:hyperlink>
        </w:p>
        <w:p w:rsidR="00923DA8" w:rsidRDefault="00923DA8">
          <w:pPr>
            <w:pStyle w:val="TOC2"/>
            <w:tabs>
              <w:tab w:val="right" w:leader="dot" w:pos="9017"/>
            </w:tabs>
            <w:rPr>
              <w:rFonts w:eastAsiaTheme="minorEastAsia"/>
              <w:noProof/>
            </w:rPr>
          </w:pPr>
          <w:hyperlink w:anchor="_Toc240282351" w:history="1">
            <w:r w:rsidRPr="001565BE">
              <w:rPr>
                <w:rStyle w:val="Hyperlink"/>
                <w:rFonts w:eastAsia="Times New Roman"/>
                <w:noProof/>
              </w:rPr>
              <w:t>13.6. Finansijska održivost sistema</w:t>
            </w:r>
            <w:r>
              <w:rPr>
                <w:noProof/>
                <w:webHidden/>
              </w:rPr>
              <w:tab/>
            </w:r>
            <w:r>
              <w:rPr>
                <w:noProof/>
                <w:webHidden/>
              </w:rPr>
              <w:fldChar w:fldCharType="begin"/>
            </w:r>
            <w:r>
              <w:rPr>
                <w:noProof/>
                <w:webHidden/>
              </w:rPr>
              <w:instrText xml:space="preserve"> PAGEREF _Toc240282351 \h </w:instrText>
            </w:r>
            <w:r>
              <w:rPr>
                <w:noProof/>
                <w:webHidden/>
              </w:rPr>
            </w:r>
            <w:r>
              <w:rPr>
                <w:noProof/>
                <w:webHidden/>
              </w:rPr>
              <w:fldChar w:fldCharType="separate"/>
            </w:r>
            <w:r>
              <w:rPr>
                <w:noProof/>
                <w:webHidden/>
              </w:rPr>
              <w:t>113</w:t>
            </w:r>
            <w:r>
              <w:rPr>
                <w:noProof/>
                <w:webHidden/>
              </w:rPr>
              <w:fldChar w:fldCharType="end"/>
            </w:r>
          </w:hyperlink>
        </w:p>
        <w:p w:rsidR="00923DA8" w:rsidRDefault="00923DA8">
          <w:pPr>
            <w:pStyle w:val="TOC2"/>
            <w:tabs>
              <w:tab w:val="right" w:leader="dot" w:pos="9017"/>
            </w:tabs>
            <w:rPr>
              <w:rFonts w:eastAsiaTheme="minorEastAsia"/>
              <w:noProof/>
            </w:rPr>
          </w:pPr>
          <w:hyperlink w:anchor="_Toc240282352" w:history="1">
            <w:r w:rsidRPr="001565BE">
              <w:rPr>
                <w:rStyle w:val="Hyperlink"/>
                <w:rFonts w:eastAsia="Times New Roman"/>
                <w:noProof/>
              </w:rPr>
              <w:t>13.7. Planiranje sredstava kroz Akcioni plan</w:t>
            </w:r>
            <w:r>
              <w:rPr>
                <w:noProof/>
                <w:webHidden/>
              </w:rPr>
              <w:tab/>
            </w:r>
            <w:r>
              <w:rPr>
                <w:noProof/>
                <w:webHidden/>
              </w:rPr>
              <w:fldChar w:fldCharType="begin"/>
            </w:r>
            <w:r>
              <w:rPr>
                <w:noProof/>
                <w:webHidden/>
              </w:rPr>
              <w:instrText xml:space="preserve"> PAGEREF _Toc240282352 \h </w:instrText>
            </w:r>
            <w:r>
              <w:rPr>
                <w:noProof/>
                <w:webHidden/>
              </w:rPr>
            </w:r>
            <w:r>
              <w:rPr>
                <w:noProof/>
                <w:webHidden/>
              </w:rPr>
              <w:fldChar w:fldCharType="separate"/>
            </w:r>
            <w:r>
              <w:rPr>
                <w:noProof/>
                <w:webHidden/>
              </w:rPr>
              <w:t>113</w:t>
            </w:r>
            <w:r>
              <w:rPr>
                <w:noProof/>
                <w:webHidden/>
              </w:rPr>
              <w:fldChar w:fldCharType="end"/>
            </w:r>
          </w:hyperlink>
        </w:p>
        <w:p w:rsidR="00923DA8" w:rsidRDefault="00923DA8">
          <w:pPr>
            <w:pStyle w:val="TOC1"/>
            <w:tabs>
              <w:tab w:val="right" w:leader="dot" w:pos="9017"/>
            </w:tabs>
            <w:rPr>
              <w:rFonts w:eastAsiaTheme="minorEastAsia"/>
              <w:noProof/>
            </w:rPr>
          </w:pPr>
          <w:hyperlink w:anchor="_Toc240282353" w:history="1">
            <w:r w:rsidRPr="001565BE">
              <w:rPr>
                <w:rStyle w:val="Hyperlink"/>
                <w:rFonts w:eastAsia="Times New Roman"/>
                <w:noProof/>
              </w:rPr>
              <w:t>14. PRAĆENJE REALIZACIJE LOKALNOG PLANA I IZVJEŠTAVANJE</w:t>
            </w:r>
            <w:r>
              <w:rPr>
                <w:noProof/>
                <w:webHidden/>
              </w:rPr>
              <w:tab/>
            </w:r>
            <w:r>
              <w:rPr>
                <w:noProof/>
                <w:webHidden/>
              </w:rPr>
              <w:fldChar w:fldCharType="begin"/>
            </w:r>
            <w:r>
              <w:rPr>
                <w:noProof/>
                <w:webHidden/>
              </w:rPr>
              <w:instrText xml:space="preserve"> PAGEREF _Toc240282353 \h </w:instrText>
            </w:r>
            <w:r>
              <w:rPr>
                <w:noProof/>
                <w:webHidden/>
              </w:rPr>
            </w:r>
            <w:r>
              <w:rPr>
                <w:noProof/>
                <w:webHidden/>
              </w:rPr>
              <w:fldChar w:fldCharType="separate"/>
            </w:r>
            <w:r>
              <w:rPr>
                <w:noProof/>
                <w:webHidden/>
              </w:rPr>
              <w:t>114</w:t>
            </w:r>
            <w:r>
              <w:rPr>
                <w:noProof/>
                <w:webHidden/>
              </w:rPr>
              <w:fldChar w:fldCharType="end"/>
            </w:r>
          </w:hyperlink>
        </w:p>
        <w:p w:rsidR="00923DA8" w:rsidRDefault="00923DA8">
          <w:pPr>
            <w:pStyle w:val="TOC2"/>
            <w:tabs>
              <w:tab w:val="right" w:leader="dot" w:pos="9017"/>
            </w:tabs>
            <w:rPr>
              <w:rFonts w:eastAsiaTheme="minorEastAsia"/>
              <w:noProof/>
            </w:rPr>
          </w:pPr>
          <w:hyperlink w:anchor="_Toc240282354" w:history="1">
            <w:r w:rsidRPr="001565BE">
              <w:rPr>
                <w:rStyle w:val="Hyperlink"/>
                <w:rFonts w:eastAsia="Times New Roman"/>
                <w:noProof/>
              </w:rPr>
              <w:t>14.1. Sistem praćenja</w:t>
            </w:r>
            <w:r>
              <w:rPr>
                <w:noProof/>
                <w:webHidden/>
              </w:rPr>
              <w:tab/>
            </w:r>
            <w:r>
              <w:rPr>
                <w:noProof/>
                <w:webHidden/>
              </w:rPr>
              <w:fldChar w:fldCharType="begin"/>
            </w:r>
            <w:r>
              <w:rPr>
                <w:noProof/>
                <w:webHidden/>
              </w:rPr>
              <w:instrText xml:space="preserve"> PAGEREF _Toc240282354 \h </w:instrText>
            </w:r>
            <w:r>
              <w:rPr>
                <w:noProof/>
                <w:webHidden/>
              </w:rPr>
            </w:r>
            <w:r>
              <w:rPr>
                <w:noProof/>
                <w:webHidden/>
              </w:rPr>
              <w:fldChar w:fldCharType="separate"/>
            </w:r>
            <w:r>
              <w:rPr>
                <w:noProof/>
                <w:webHidden/>
              </w:rPr>
              <w:t>114</w:t>
            </w:r>
            <w:r>
              <w:rPr>
                <w:noProof/>
                <w:webHidden/>
              </w:rPr>
              <w:fldChar w:fldCharType="end"/>
            </w:r>
          </w:hyperlink>
        </w:p>
        <w:p w:rsidR="00923DA8" w:rsidRDefault="00923DA8">
          <w:pPr>
            <w:pStyle w:val="TOC2"/>
            <w:tabs>
              <w:tab w:val="right" w:leader="dot" w:pos="9017"/>
            </w:tabs>
            <w:rPr>
              <w:rFonts w:eastAsiaTheme="minorEastAsia"/>
              <w:noProof/>
            </w:rPr>
          </w:pPr>
          <w:hyperlink w:anchor="_Toc240282355" w:history="1">
            <w:r w:rsidRPr="001565BE">
              <w:rPr>
                <w:rStyle w:val="Hyperlink"/>
                <w:rFonts w:eastAsia="Times New Roman"/>
                <w:noProof/>
              </w:rPr>
              <w:t>14.2. Ključni indikatori</w:t>
            </w:r>
            <w:r>
              <w:rPr>
                <w:noProof/>
                <w:webHidden/>
              </w:rPr>
              <w:tab/>
            </w:r>
            <w:r>
              <w:rPr>
                <w:noProof/>
                <w:webHidden/>
              </w:rPr>
              <w:fldChar w:fldCharType="begin"/>
            </w:r>
            <w:r>
              <w:rPr>
                <w:noProof/>
                <w:webHidden/>
              </w:rPr>
              <w:instrText xml:space="preserve"> PAGEREF _Toc240282355 \h </w:instrText>
            </w:r>
            <w:r>
              <w:rPr>
                <w:noProof/>
                <w:webHidden/>
              </w:rPr>
            </w:r>
            <w:r>
              <w:rPr>
                <w:noProof/>
                <w:webHidden/>
              </w:rPr>
              <w:fldChar w:fldCharType="separate"/>
            </w:r>
            <w:r>
              <w:rPr>
                <w:noProof/>
                <w:webHidden/>
              </w:rPr>
              <w:t>115</w:t>
            </w:r>
            <w:r>
              <w:rPr>
                <w:noProof/>
                <w:webHidden/>
              </w:rPr>
              <w:fldChar w:fldCharType="end"/>
            </w:r>
          </w:hyperlink>
        </w:p>
        <w:p w:rsidR="00923DA8" w:rsidRDefault="00923DA8">
          <w:pPr>
            <w:pStyle w:val="TOC2"/>
            <w:tabs>
              <w:tab w:val="right" w:leader="dot" w:pos="9017"/>
            </w:tabs>
            <w:rPr>
              <w:rFonts w:eastAsiaTheme="minorEastAsia"/>
              <w:noProof/>
            </w:rPr>
          </w:pPr>
          <w:hyperlink w:anchor="_Toc240282356" w:history="1">
            <w:r w:rsidRPr="001565BE">
              <w:rPr>
                <w:rStyle w:val="Hyperlink"/>
                <w:rFonts w:eastAsia="Times New Roman"/>
                <w:noProof/>
              </w:rPr>
              <w:t>14.3. Unapređenje evidencije podataka</w:t>
            </w:r>
            <w:r>
              <w:rPr>
                <w:noProof/>
                <w:webHidden/>
              </w:rPr>
              <w:tab/>
            </w:r>
            <w:r>
              <w:rPr>
                <w:noProof/>
                <w:webHidden/>
              </w:rPr>
              <w:fldChar w:fldCharType="begin"/>
            </w:r>
            <w:r>
              <w:rPr>
                <w:noProof/>
                <w:webHidden/>
              </w:rPr>
              <w:instrText xml:space="preserve"> PAGEREF _Toc240282356 \h </w:instrText>
            </w:r>
            <w:r>
              <w:rPr>
                <w:noProof/>
                <w:webHidden/>
              </w:rPr>
            </w:r>
            <w:r>
              <w:rPr>
                <w:noProof/>
                <w:webHidden/>
              </w:rPr>
              <w:fldChar w:fldCharType="separate"/>
            </w:r>
            <w:r>
              <w:rPr>
                <w:noProof/>
                <w:webHidden/>
              </w:rPr>
              <w:t>115</w:t>
            </w:r>
            <w:r>
              <w:rPr>
                <w:noProof/>
                <w:webHidden/>
              </w:rPr>
              <w:fldChar w:fldCharType="end"/>
            </w:r>
          </w:hyperlink>
        </w:p>
        <w:p w:rsidR="00923DA8" w:rsidRDefault="00923DA8">
          <w:pPr>
            <w:pStyle w:val="TOC2"/>
            <w:tabs>
              <w:tab w:val="right" w:leader="dot" w:pos="9017"/>
            </w:tabs>
            <w:rPr>
              <w:rFonts w:eastAsiaTheme="minorEastAsia"/>
              <w:noProof/>
            </w:rPr>
          </w:pPr>
          <w:hyperlink w:anchor="_Toc240282357" w:history="1">
            <w:r w:rsidRPr="001565BE">
              <w:rPr>
                <w:rStyle w:val="Hyperlink"/>
                <w:rFonts w:eastAsia="Times New Roman"/>
                <w:noProof/>
              </w:rPr>
              <w:t>14.4. Praćenje realizacije Akcionog plana</w:t>
            </w:r>
            <w:r>
              <w:rPr>
                <w:noProof/>
                <w:webHidden/>
              </w:rPr>
              <w:tab/>
            </w:r>
            <w:r>
              <w:rPr>
                <w:noProof/>
                <w:webHidden/>
              </w:rPr>
              <w:fldChar w:fldCharType="begin"/>
            </w:r>
            <w:r>
              <w:rPr>
                <w:noProof/>
                <w:webHidden/>
              </w:rPr>
              <w:instrText xml:space="preserve"> PAGEREF _Toc240282357 \h </w:instrText>
            </w:r>
            <w:r>
              <w:rPr>
                <w:noProof/>
                <w:webHidden/>
              </w:rPr>
            </w:r>
            <w:r>
              <w:rPr>
                <w:noProof/>
                <w:webHidden/>
              </w:rPr>
              <w:fldChar w:fldCharType="separate"/>
            </w:r>
            <w:r>
              <w:rPr>
                <w:noProof/>
                <w:webHidden/>
              </w:rPr>
              <w:t>116</w:t>
            </w:r>
            <w:r>
              <w:rPr>
                <w:noProof/>
                <w:webHidden/>
              </w:rPr>
              <w:fldChar w:fldCharType="end"/>
            </w:r>
          </w:hyperlink>
        </w:p>
        <w:p w:rsidR="00923DA8" w:rsidRDefault="00923DA8">
          <w:pPr>
            <w:pStyle w:val="TOC2"/>
            <w:tabs>
              <w:tab w:val="right" w:leader="dot" w:pos="9017"/>
            </w:tabs>
            <w:rPr>
              <w:rFonts w:eastAsiaTheme="minorEastAsia"/>
              <w:noProof/>
            </w:rPr>
          </w:pPr>
          <w:hyperlink w:anchor="_Toc240282358" w:history="1">
            <w:r w:rsidRPr="001565BE">
              <w:rPr>
                <w:rStyle w:val="Hyperlink"/>
                <w:rFonts w:eastAsia="Times New Roman"/>
                <w:noProof/>
              </w:rPr>
              <w:t>14.5. Godišnje praćenje i izvještavanje</w:t>
            </w:r>
            <w:r>
              <w:rPr>
                <w:noProof/>
                <w:webHidden/>
              </w:rPr>
              <w:tab/>
            </w:r>
            <w:r>
              <w:rPr>
                <w:noProof/>
                <w:webHidden/>
              </w:rPr>
              <w:fldChar w:fldCharType="begin"/>
            </w:r>
            <w:r>
              <w:rPr>
                <w:noProof/>
                <w:webHidden/>
              </w:rPr>
              <w:instrText xml:space="preserve"> PAGEREF _Toc240282358 \h </w:instrText>
            </w:r>
            <w:r>
              <w:rPr>
                <w:noProof/>
                <w:webHidden/>
              </w:rPr>
            </w:r>
            <w:r>
              <w:rPr>
                <w:noProof/>
                <w:webHidden/>
              </w:rPr>
              <w:fldChar w:fldCharType="separate"/>
            </w:r>
            <w:r>
              <w:rPr>
                <w:noProof/>
                <w:webHidden/>
              </w:rPr>
              <w:t>116</w:t>
            </w:r>
            <w:r>
              <w:rPr>
                <w:noProof/>
                <w:webHidden/>
              </w:rPr>
              <w:fldChar w:fldCharType="end"/>
            </w:r>
          </w:hyperlink>
        </w:p>
        <w:p w:rsidR="00923DA8" w:rsidRDefault="00923DA8">
          <w:pPr>
            <w:pStyle w:val="TOC2"/>
            <w:tabs>
              <w:tab w:val="right" w:leader="dot" w:pos="9017"/>
            </w:tabs>
            <w:rPr>
              <w:rFonts w:eastAsiaTheme="minorEastAsia"/>
              <w:noProof/>
            </w:rPr>
          </w:pPr>
          <w:hyperlink w:anchor="_Toc240282359" w:history="1">
            <w:r w:rsidRPr="001565BE">
              <w:rPr>
                <w:rStyle w:val="Hyperlink"/>
                <w:rFonts w:eastAsia="Times New Roman"/>
                <w:noProof/>
              </w:rPr>
              <w:t>14.6. Korektivne mjere</w:t>
            </w:r>
            <w:r>
              <w:rPr>
                <w:noProof/>
                <w:webHidden/>
              </w:rPr>
              <w:tab/>
            </w:r>
            <w:r>
              <w:rPr>
                <w:noProof/>
                <w:webHidden/>
              </w:rPr>
              <w:fldChar w:fldCharType="begin"/>
            </w:r>
            <w:r>
              <w:rPr>
                <w:noProof/>
                <w:webHidden/>
              </w:rPr>
              <w:instrText xml:space="preserve"> PAGEREF _Toc240282359 \h </w:instrText>
            </w:r>
            <w:r>
              <w:rPr>
                <w:noProof/>
                <w:webHidden/>
              </w:rPr>
            </w:r>
            <w:r>
              <w:rPr>
                <w:noProof/>
                <w:webHidden/>
              </w:rPr>
              <w:fldChar w:fldCharType="separate"/>
            </w:r>
            <w:r>
              <w:rPr>
                <w:noProof/>
                <w:webHidden/>
              </w:rPr>
              <w:t>117</w:t>
            </w:r>
            <w:r>
              <w:rPr>
                <w:noProof/>
                <w:webHidden/>
              </w:rPr>
              <w:fldChar w:fldCharType="end"/>
            </w:r>
          </w:hyperlink>
        </w:p>
        <w:p w:rsidR="00923DA8" w:rsidRDefault="00923DA8">
          <w:pPr>
            <w:pStyle w:val="TOC1"/>
            <w:tabs>
              <w:tab w:val="right" w:leader="dot" w:pos="9017"/>
            </w:tabs>
            <w:rPr>
              <w:rFonts w:eastAsiaTheme="minorEastAsia"/>
              <w:noProof/>
            </w:rPr>
          </w:pPr>
          <w:hyperlink w:anchor="_Toc240282360" w:history="1">
            <w:r w:rsidRPr="001565BE">
              <w:rPr>
                <w:rStyle w:val="Hyperlink"/>
                <w:rFonts w:eastAsia="Times New Roman"/>
                <w:noProof/>
              </w:rPr>
              <w:t>15. AKCIONI PLAN ZA PERIOD 2026–2029. GODINE</w:t>
            </w:r>
            <w:r>
              <w:rPr>
                <w:noProof/>
                <w:webHidden/>
              </w:rPr>
              <w:tab/>
            </w:r>
            <w:r>
              <w:rPr>
                <w:noProof/>
                <w:webHidden/>
              </w:rPr>
              <w:fldChar w:fldCharType="begin"/>
            </w:r>
            <w:r>
              <w:rPr>
                <w:noProof/>
                <w:webHidden/>
              </w:rPr>
              <w:instrText xml:space="preserve"> PAGEREF _Toc240282360 \h </w:instrText>
            </w:r>
            <w:r>
              <w:rPr>
                <w:noProof/>
                <w:webHidden/>
              </w:rPr>
            </w:r>
            <w:r>
              <w:rPr>
                <w:noProof/>
                <w:webHidden/>
              </w:rPr>
              <w:fldChar w:fldCharType="separate"/>
            </w:r>
            <w:r>
              <w:rPr>
                <w:noProof/>
                <w:webHidden/>
              </w:rPr>
              <w:t>118</w:t>
            </w:r>
            <w:r>
              <w:rPr>
                <w:noProof/>
                <w:webHidden/>
              </w:rPr>
              <w:fldChar w:fldCharType="end"/>
            </w:r>
          </w:hyperlink>
        </w:p>
        <w:p w:rsidR="00923DA8" w:rsidRDefault="00923DA8">
          <w:pPr>
            <w:pStyle w:val="TOC3"/>
            <w:tabs>
              <w:tab w:val="right" w:leader="dot" w:pos="9017"/>
            </w:tabs>
            <w:rPr>
              <w:rFonts w:eastAsiaTheme="minorEastAsia"/>
              <w:noProof/>
            </w:rPr>
          </w:pPr>
          <w:hyperlink w:anchor="_Toc240282361" w:history="1">
            <w:r w:rsidRPr="001565BE">
              <w:rPr>
                <w:rStyle w:val="Hyperlink"/>
                <w:rFonts w:ascii="Times New Roman" w:eastAsia="Times New Roman" w:hAnsi="Times New Roman" w:cs="Times New Roman"/>
                <w:b/>
                <w:bCs/>
                <w:noProof/>
              </w:rPr>
              <w:t>Dinamika realizacije Akcionog plana</w:t>
            </w:r>
            <w:r>
              <w:rPr>
                <w:noProof/>
                <w:webHidden/>
              </w:rPr>
              <w:tab/>
            </w:r>
            <w:r>
              <w:rPr>
                <w:noProof/>
                <w:webHidden/>
              </w:rPr>
              <w:fldChar w:fldCharType="begin"/>
            </w:r>
            <w:r>
              <w:rPr>
                <w:noProof/>
                <w:webHidden/>
              </w:rPr>
              <w:instrText xml:space="preserve"> PAGEREF _Toc240282361 \h </w:instrText>
            </w:r>
            <w:r>
              <w:rPr>
                <w:noProof/>
                <w:webHidden/>
              </w:rPr>
            </w:r>
            <w:r>
              <w:rPr>
                <w:noProof/>
                <w:webHidden/>
              </w:rPr>
              <w:fldChar w:fldCharType="separate"/>
            </w:r>
            <w:r>
              <w:rPr>
                <w:noProof/>
                <w:webHidden/>
              </w:rPr>
              <w:t>121</w:t>
            </w:r>
            <w:r>
              <w:rPr>
                <w:noProof/>
                <w:webHidden/>
              </w:rPr>
              <w:fldChar w:fldCharType="end"/>
            </w:r>
          </w:hyperlink>
        </w:p>
        <w:p w:rsidR="00B02ED0" w:rsidRPr="00615350" w:rsidRDefault="00B02ED0">
          <w:r w:rsidRPr="005D794D">
            <w:rPr>
              <w:rFonts w:ascii="Times New Roman" w:hAnsi="Times New Roman" w:cs="Times New Roman"/>
              <w:bCs/>
              <w:noProof/>
              <w:sz w:val="24"/>
              <w:szCs w:val="24"/>
            </w:rPr>
            <w:fldChar w:fldCharType="end"/>
          </w:r>
        </w:p>
      </w:sdtContent>
    </w:sdt>
    <w:p w:rsidR="00923DA8" w:rsidRDefault="00923DA8">
      <w:pPr>
        <w:rPr>
          <w:rFonts w:asciiTheme="majorHAnsi" w:eastAsia="Times New Roman" w:hAnsiTheme="majorHAnsi" w:cstheme="majorBidi"/>
          <w:b/>
          <w:bCs/>
          <w:noProof/>
          <w:color w:val="365F91" w:themeColor="accent1" w:themeShade="BF"/>
          <w:sz w:val="28"/>
          <w:szCs w:val="28"/>
          <w:lang w:val="sr-Latn-RS"/>
        </w:rPr>
      </w:pPr>
      <w:r>
        <w:rPr>
          <w:rFonts w:eastAsia="Times New Roman"/>
          <w:noProof/>
          <w:lang w:val="sr-Latn-RS"/>
        </w:rPr>
        <w:br w:type="page"/>
      </w:r>
    </w:p>
    <w:p w:rsidR="00ED7FE9" w:rsidRPr="00615350" w:rsidRDefault="00D915DC" w:rsidP="00900448">
      <w:pPr>
        <w:pStyle w:val="Heading1"/>
        <w:rPr>
          <w:rFonts w:eastAsia="Times New Roman"/>
          <w:noProof/>
          <w:lang w:val="sr-Latn-RS"/>
        </w:rPr>
      </w:pPr>
      <w:bookmarkStart w:id="1" w:name="_Toc240282260"/>
      <w:r w:rsidRPr="00615350">
        <w:rPr>
          <w:rFonts w:eastAsia="Times New Roman"/>
          <w:noProof/>
          <w:lang w:val="sr-Latn-RS"/>
        </w:rPr>
        <w:lastRenderedPageBreak/>
        <w:t>1</w:t>
      </w:r>
      <w:r w:rsidR="00ED7FE9" w:rsidRPr="00615350">
        <w:rPr>
          <w:rFonts w:eastAsia="Times New Roman"/>
          <w:noProof/>
          <w:lang w:val="sr-Latn-RS"/>
        </w:rPr>
        <w:t xml:space="preserve"> Uvod</w:t>
      </w:r>
      <w:bookmarkEnd w:id="1"/>
      <w:r w:rsidR="00ED7FE9" w:rsidRPr="00615350">
        <w:rPr>
          <w:rFonts w:eastAsia="Times New Roman"/>
          <w:noProof/>
          <w:lang w:val="sr-Latn-RS"/>
        </w:rPr>
        <w:t xml:space="preserve"> </w:t>
      </w:r>
    </w:p>
    <w:p w:rsidR="00ED7FE9" w:rsidRPr="00615350" w:rsidRDefault="00ED7FE9" w:rsidP="00BB029E">
      <w:pPr>
        <w:pStyle w:val="Heading2"/>
        <w:numPr>
          <w:ilvl w:val="1"/>
          <w:numId w:val="51"/>
        </w:numPr>
        <w:rPr>
          <w:rFonts w:eastAsia="Times New Roman"/>
          <w:noProof/>
          <w:lang w:val="sr-Latn-RS"/>
        </w:rPr>
      </w:pPr>
      <w:bookmarkStart w:id="2" w:name="_Toc240282261"/>
      <w:r w:rsidRPr="00615350">
        <w:rPr>
          <w:rFonts w:eastAsia="Times New Roman"/>
          <w:noProof/>
          <w:lang w:val="sr-Latn-RS"/>
        </w:rPr>
        <w:t>Razlozi i pravni osnov za izradu Plana</w:t>
      </w:r>
      <w:bookmarkEnd w:id="2"/>
    </w:p>
    <w:p w:rsidR="00BB029E" w:rsidRPr="00615350" w:rsidRDefault="00BB029E" w:rsidP="00900448">
      <w:pPr>
        <w:jc w:val="both"/>
        <w:rPr>
          <w:rFonts w:ascii="Times New Roman" w:hAnsi="Times New Roman" w:cs="Times New Roman"/>
          <w:sz w:val="24"/>
          <w:szCs w:val="24"/>
        </w:rPr>
      </w:pPr>
    </w:p>
    <w:p w:rsidR="00463FE9" w:rsidRPr="00615350" w:rsidRDefault="00463FE9" w:rsidP="00900448">
      <w:pPr>
        <w:jc w:val="both"/>
        <w:rPr>
          <w:rFonts w:ascii="Times New Roman" w:hAnsi="Times New Roman" w:cs="Times New Roman"/>
          <w:sz w:val="24"/>
          <w:szCs w:val="24"/>
        </w:rPr>
      </w:pPr>
      <w:r w:rsidRPr="00615350">
        <w:rPr>
          <w:rFonts w:ascii="Times New Roman" w:hAnsi="Times New Roman" w:cs="Times New Roman"/>
          <w:sz w:val="24"/>
          <w:szCs w:val="24"/>
        </w:rPr>
        <w:t>Upravljanje otpadom predstavlja jednu od značajnih oblasti zaštite životne sredine i obuhvata skup organizacionih, tehničkih, ekonomskih i drugih mjera i aktivnosti kojima se obezbjeđuju sprječavanje i smanjenje nastanka otpada, njegovo odvojeno sakupljanje, transport, priprema za ponovnu upotrebu, reciklaža, drugi postupci prerade i odgovarajuće konačno zbrinjavanje otpada, na način kojim se štite zdravlje ljudi i životna sredina i obezbjeđuje racionalnije korišćenje resursa.</w:t>
      </w:r>
    </w:p>
    <w:p w:rsidR="00463FE9" w:rsidRPr="00615350" w:rsidRDefault="00463FE9" w:rsidP="00900448">
      <w:pPr>
        <w:jc w:val="both"/>
        <w:rPr>
          <w:rFonts w:ascii="Times New Roman" w:hAnsi="Times New Roman" w:cs="Times New Roman"/>
          <w:sz w:val="24"/>
          <w:szCs w:val="24"/>
        </w:rPr>
      </w:pPr>
      <w:r w:rsidRPr="00615350">
        <w:rPr>
          <w:rFonts w:ascii="Times New Roman" w:hAnsi="Times New Roman" w:cs="Times New Roman"/>
          <w:sz w:val="24"/>
          <w:szCs w:val="24"/>
        </w:rPr>
        <w:t xml:space="preserve">Lokalni plan upravljanja komunalnim i </w:t>
      </w:r>
      <w:r w:rsidR="000E7D91" w:rsidRPr="00615350">
        <w:rPr>
          <w:rFonts w:ascii="Times New Roman" w:hAnsi="Times New Roman" w:cs="Times New Roman"/>
          <w:sz w:val="24"/>
          <w:szCs w:val="24"/>
        </w:rPr>
        <w:t>neopasnim građevinskim otpadom o</w:t>
      </w:r>
      <w:r w:rsidRPr="00615350">
        <w:rPr>
          <w:rFonts w:ascii="Times New Roman" w:hAnsi="Times New Roman" w:cs="Times New Roman"/>
          <w:sz w:val="24"/>
          <w:szCs w:val="24"/>
        </w:rPr>
        <w:t>pštine Berane izrađuje se u skladu sa Zakonom o upravljanju otpadom („Službeni list Crne Gore“, br. 34/24 i 92/24), kojim je propisana obaveza jedinice lokalne samouprave da donese lokalni plan upravljanja komunalnim i neopasnim građevinskim otpadom. Zakonom je utvrđen sadržaj lokalnog plana, koji obuhvata analizu postojećeg stanja i količina otpada, način i organizaciju sakupljanja otpada, sistem odvojenog sakupljanja i tretmana, planiranje potrebne infrastrukture, upravljanje neuređenim odlagalištima, neopasnim građevinskim otpadom, biootpadom, opasnim otpadom iz domaćinstava i drugim relevantnim tokovima, kao i mjere sprječavanja nastanka otpada, dinamiku realizacije, finansiranje, Akcioni plan i mjere informisanja i jačanja javne svijesti.</w:t>
      </w:r>
    </w:p>
    <w:p w:rsidR="00463FE9" w:rsidRPr="00615350" w:rsidRDefault="00463FE9" w:rsidP="00900448">
      <w:pPr>
        <w:jc w:val="both"/>
        <w:rPr>
          <w:rFonts w:ascii="Times New Roman" w:hAnsi="Times New Roman" w:cs="Times New Roman"/>
          <w:sz w:val="24"/>
          <w:szCs w:val="24"/>
        </w:rPr>
      </w:pPr>
      <w:r w:rsidRPr="00615350">
        <w:rPr>
          <w:rFonts w:ascii="Times New Roman" w:hAnsi="Times New Roman" w:cs="Times New Roman"/>
          <w:sz w:val="24"/>
          <w:szCs w:val="24"/>
        </w:rPr>
        <w:t>Plan se izrađuje i u skladu sa Državnim planom upravljanja otpadom za period 2025–2029. godine, kojim su utvrđeni strateški pravci razvoja sistema upravljanja otpadom u Crnoj Gori, nacionalni ciljevi, potrebna infrastruktura, mjere za unapređenje sprječavanja nastanka otpada, ponovne upotrebe, reciklaže i drugih oblika prerade, kao i koncept regionalizacije sistema upravljanja otpadom.</w:t>
      </w:r>
    </w:p>
    <w:p w:rsidR="00463FE9" w:rsidRPr="00615350" w:rsidRDefault="00463FE9" w:rsidP="00900448">
      <w:pPr>
        <w:jc w:val="both"/>
        <w:rPr>
          <w:rFonts w:ascii="Times New Roman" w:hAnsi="Times New Roman" w:cs="Times New Roman"/>
          <w:sz w:val="24"/>
          <w:szCs w:val="24"/>
        </w:rPr>
      </w:pPr>
      <w:r w:rsidRPr="00615350">
        <w:rPr>
          <w:rFonts w:ascii="Times New Roman" w:hAnsi="Times New Roman" w:cs="Times New Roman"/>
          <w:sz w:val="24"/>
          <w:szCs w:val="24"/>
        </w:rPr>
        <w:t>Državnim planom</w:t>
      </w:r>
      <w:r w:rsidR="000E7D91" w:rsidRPr="00615350">
        <w:rPr>
          <w:rFonts w:ascii="Times New Roman" w:hAnsi="Times New Roman" w:cs="Times New Roman"/>
          <w:sz w:val="24"/>
          <w:szCs w:val="24"/>
        </w:rPr>
        <w:t>,</w:t>
      </w:r>
      <w:r w:rsidRPr="00615350">
        <w:rPr>
          <w:rFonts w:ascii="Times New Roman" w:hAnsi="Times New Roman" w:cs="Times New Roman"/>
          <w:sz w:val="24"/>
          <w:szCs w:val="24"/>
        </w:rPr>
        <w:t xml:space="preserve"> Opština Berane </w:t>
      </w:r>
      <w:r w:rsidR="000E7D91" w:rsidRPr="00615350">
        <w:rPr>
          <w:rFonts w:ascii="Times New Roman" w:hAnsi="Times New Roman" w:cs="Times New Roman"/>
          <w:sz w:val="24"/>
          <w:szCs w:val="24"/>
        </w:rPr>
        <w:t xml:space="preserve">je </w:t>
      </w:r>
      <w:r w:rsidRPr="00615350">
        <w:rPr>
          <w:rFonts w:ascii="Times New Roman" w:hAnsi="Times New Roman" w:cs="Times New Roman"/>
          <w:sz w:val="24"/>
          <w:szCs w:val="24"/>
        </w:rPr>
        <w:t>uključena u sjeverni regionalni sistem upravljanja otpadom, sa Regionalnim centrom za upravljanje otpadom u Bijelom Polju. Za 2029. godinu DPUO za Berane projektuje 26.242 stanovnika i 11.957 t komunalnog otpada godišnje.</w:t>
      </w:r>
    </w:p>
    <w:p w:rsidR="00463FE9" w:rsidRPr="00615350" w:rsidRDefault="00463FE9" w:rsidP="00900448">
      <w:pPr>
        <w:jc w:val="both"/>
        <w:rPr>
          <w:rFonts w:ascii="Times New Roman" w:hAnsi="Times New Roman" w:cs="Times New Roman"/>
          <w:sz w:val="24"/>
          <w:szCs w:val="24"/>
        </w:rPr>
      </w:pPr>
      <w:r w:rsidRPr="00615350">
        <w:rPr>
          <w:rFonts w:ascii="Times New Roman" w:hAnsi="Times New Roman" w:cs="Times New Roman"/>
          <w:sz w:val="24"/>
          <w:szCs w:val="24"/>
        </w:rPr>
        <w:t>U okviru sjevernog regionalnog sistema, za Regionalni centar u Bijelom Polju predviđeni su postrojenje za povrat materijala – MRF</w:t>
      </w:r>
      <w:r w:rsidR="000E7D91" w:rsidRPr="00615350">
        <w:rPr>
          <w:rFonts w:ascii="Times New Roman" w:hAnsi="Times New Roman" w:cs="Times New Roman"/>
          <w:sz w:val="24"/>
          <w:szCs w:val="24"/>
        </w:rPr>
        <w:t>,</w:t>
      </w:r>
      <w:r w:rsidRPr="00615350">
        <w:rPr>
          <w:rFonts w:ascii="Times New Roman" w:hAnsi="Times New Roman" w:cs="Times New Roman"/>
          <w:sz w:val="24"/>
          <w:szCs w:val="24"/>
        </w:rPr>
        <w:t xml:space="preserve"> kapaciteta 13.980 t/god., postrojenje za kompostiranje odvojeno sakupljenog biološkog otpada kapaciteta 5.069 t/god., postrojenje za mehaničko-biološki tretman rezidualnog otpada kapaciteta 49.804 t/god. i deponija kapaciteta 34.257 t/god. Istovremeno, DPUO za Berane predviđa planirani reciklažni centar, kao dio lokalne infrastrukture potrebne za funkcionisanje budućeg regionalnog sistema.</w:t>
      </w:r>
    </w:p>
    <w:p w:rsidR="00463FE9" w:rsidRPr="00615350" w:rsidRDefault="00463FE9" w:rsidP="00900448">
      <w:pPr>
        <w:jc w:val="both"/>
        <w:rPr>
          <w:rFonts w:ascii="Times New Roman" w:hAnsi="Times New Roman" w:cs="Times New Roman"/>
          <w:sz w:val="24"/>
          <w:szCs w:val="24"/>
        </w:rPr>
      </w:pPr>
      <w:r w:rsidRPr="00615350">
        <w:rPr>
          <w:rFonts w:ascii="Times New Roman" w:hAnsi="Times New Roman" w:cs="Times New Roman"/>
          <w:sz w:val="24"/>
          <w:szCs w:val="24"/>
        </w:rPr>
        <w:t xml:space="preserve">Izrada novog Lokalnog plana potrebna je i radi usklađivanja postojećeg lokalnog sistema upravljanja otpadom sa novim zakonskim i planskim okvirom. Postojeći sistem u Beranama i dalje je u najvećoj mjeri zasnovan na sakupljanju, transportu i privremenom skladištenju otpada, dok su odvojeno sakupljanje, ponovna upotreba, reciklaža i drugi oblici prerade otpada razvijeni u </w:t>
      </w:r>
      <w:r w:rsidR="0043289B" w:rsidRPr="00615350">
        <w:rPr>
          <w:rFonts w:ascii="Times New Roman" w:hAnsi="Times New Roman" w:cs="Times New Roman"/>
          <w:sz w:val="24"/>
          <w:szCs w:val="24"/>
        </w:rPr>
        <w:t xml:space="preserve">veoma </w:t>
      </w:r>
      <w:r w:rsidRPr="00615350">
        <w:rPr>
          <w:rFonts w:ascii="Times New Roman" w:hAnsi="Times New Roman" w:cs="Times New Roman"/>
          <w:sz w:val="24"/>
          <w:szCs w:val="24"/>
        </w:rPr>
        <w:t xml:space="preserve">ograničenom obimu. Zbog toga je potrebno dalje unapređivati obuhvat organizovanim sakupljanjem, razvijati funkcionalan sistem primarne selekcije, </w:t>
      </w:r>
      <w:r w:rsidRPr="00615350">
        <w:rPr>
          <w:rFonts w:ascii="Times New Roman" w:hAnsi="Times New Roman" w:cs="Times New Roman"/>
          <w:sz w:val="24"/>
          <w:szCs w:val="24"/>
        </w:rPr>
        <w:lastRenderedPageBreak/>
        <w:t>obezbijediti odgovarajuću opremu i infrastrukturu za odvojeno sakupljanje i razvrstavanje otpada, unaprijediti upravljanje biootpadom i drugim relevantnim tokovima i uspostaviti funkcionalan sistem upravljanja neopasnim građevinskim otpadom.</w:t>
      </w:r>
    </w:p>
    <w:p w:rsidR="00463FE9" w:rsidRPr="00615350" w:rsidRDefault="00463FE9" w:rsidP="00900448">
      <w:pPr>
        <w:jc w:val="both"/>
        <w:rPr>
          <w:rFonts w:ascii="Times New Roman" w:hAnsi="Times New Roman" w:cs="Times New Roman"/>
          <w:sz w:val="24"/>
          <w:szCs w:val="24"/>
        </w:rPr>
      </w:pPr>
      <w:r w:rsidRPr="00615350">
        <w:rPr>
          <w:rFonts w:ascii="Times New Roman" w:hAnsi="Times New Roman" w:cs="Times New Roman"/>
          <w:sz w:val="24"/>
          <w:szCs w:val="24"/>
        </w:rPr>
        <w:t xml:space="preserve">Poseban razlog za donošenje novog Plana predstavlja </w:t>
      </w:r>
      <w:r w:rsidR="0043289B" w:rsidRPr="00615350">
        <w:rPr>
          <w:rFonts w:ascii="Times New Roman" w:hAnsi="Times New Roman" w:cs="Times New Roman"/>
          <w:sz w:val="24"/>
          <w:szCs w:val="24"/>
        </w:rPr>
        <w:t xml:space="preserve">i </w:t>
      </w:r>
      <w:r w:rsidRPr="00615350">
        <w:rPr>
          <w:rFonts w:ascii="Times New Roman" w:hAnsi="Times New Roman" w:cs="Times New Roman"/>
          <w:sz w:val="24"/>
          <w:szCs w:val="24"/>
        </w:rPr>
        <w:t>potreba za rješavanjem problema neuređenih odlagališta i sprečavanjem njihovog ponovnog nastanka. Zvanični lokalni popisi pokazuju da je ovaj problem i dalje izražen i prostorno rasprostranjen, uključujući lokacije uz rijeku Lim i njene pritoke. Popisom za 2025. godinu evidentirane su 32 lokacije, na kojima su registrovane različite vrste otpada, uključujući miješani komunalni, građevinski, kabasti i biootpad. Zbog toga</w:t>
      </w:r>
      <w:r w:rsidR="0043289B" w:rsidRPr="00615350">
        <w:rPr>
          <w:rFonts w:ascii="Times New Roman" w:hAnsi="Times New Roman" w:cs="Times New Roman"/>
          <w:sz w:val="24"/>
          <w:szCs w:val="24"/>
        </w:rPr>
        <w:t>,</w:t>
      </w:r>
      <w:r w:rsidRPr="00615350">
        <w:rPr>
          <w:rFonts w:ascii="Times New Roman" w:hAnsi="Times New Roman" w:cs="Times New Roman"/>
          <w:sz w:val="24"/>
          <w:szCs w:val="24"/>
        </w:rPr>
        <w:t xml:space="preserve"> sanaciju neuređenih odlagališta treba povezati sa proširenjem i unapređenjem sistema sakupljanja, odgovarajućim upravljanjem pojedinim tokovima otpada, jačanjem nadzora i kontinuiranim informisanjem stanovništva.</w:t>
      </w:r>
    </w:p>
    <w:p w:rsidR="00463FE9" w:rsidRPr="00615350" w:rsidRDefault="00463FE9" w:rsidP="00900448">
      <w:pPr>
        <w:jc w:val="both"/>
        <w:rPr>
          <w:rFonts w:ascii="Times New Roman" w:hAnsi="Times New Roman" w:cs="Times New Roman"/>
          <w:sz w:val="24"/>
          <w:szCs w:val="24"/>
        </w:rPr>
      </w:pPr>
      <w:r w:rsidRPr="00615350">
        <w:rPr>
          <w:rFonts w:ascii="Times New Roman" w:hAnsi="Times New Roman" w:cs="Times New Roman"/>
          <w:sz w:val="24"/>
          <w:szCs w:val="24"/>
        </w:rPr>
        <w:t>Donošenjem ovog Plana stvaraju se uslovi za postepeni prelazak sa sistema koji je dominantno zasnovan na sakupljanju i odlaganju otpada na sistem koji u većoj mjeri primjenjuje hijerarhiju upravljanja otpadom i daje prioritet sprječavanju nastanka otpada, pripremi za ponovnu upotrebu, reciklaži i drugim oblicima prerade. Plan treba da obezbijedi jasan lokalni okvir za organizaciju sistema, razvoj potrebne infrastrukture, ostvarivanje zakonskih i planskih ciljeva, zaštitu životne sredine i zdravlja ljudi, kao i postepeno uključivanje Opštine Berane u funkcionalni regionalni sistem upravljanja otpadom predviđen Državnim planom.</w:t>
      </w:r>
    </w:p>
    <w:p w:rsidR="00ED7FE9" w:rsidRPr="00615350" w:rsidRDefault="00ED7FE9" w:rsidP="003223FD">
      <w:pPr>
        <w:pStyle w:val="Heading2"/>
        <w:numPr>
          <w:ilvl w:val="1"/>
          <w:numId w:val="51"/>
        </w:numPr>
        <w:rPr>
          <w:rFonts w:eastAsia="Times New Roman"/>
          <w:noProof/>
          <w:lang w:val="sr-Latn-RS"/>
        </w:rPr>
      </w:pPr>
      <w:bookmarkStart w:id="3" w:name="_Toc240282262"/>
      <w:r w:rsidRPr="00615350">
        <w:rPr>
          <w:rFonts w:eastAsia="Times New Roman"/>
          <w:noProof/>
          <w:lang w:val="sr-Latn-RS"/>
        </w:rPr>
        <w:t>Predmet, cilj i obuhvat Plana</w:t>
      </w:r>
      <w:bookmarkEnd w:id="3"/>
    </w:p>
    <w:p w:rsidR="003223FD" w:rsidRPr="00615350" w:rsidRDefault="003223FD" w:rsidP="003223FD">
      <w:pPr>
        <w:pStyle w:val="ListParagraph"/>
        <w:ind w:left="480"/>
        <w:rPr>
          <w:lang w:val="sr-Latn-RS"/>
        </w:rPr>
      </w:pPr>
    </w:p>
    <w:p w:rsidR="000A4D19" w:rsidRPr="00615350" w:rsidRDefault="000A4D19" w:rsidP="00B02ED0">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 xml:space="preserve">Predmet Lokalnog plana upravljanja komunalnim i neopasnim građevinskim otpadom </w:t>
      </w:r>
      <w:r w:rsidR="0043289B" w:rsidRPr="00615350">
        <w:rPr>
          <w:rFonts w:ascii="Times New Roman" w:hAnsi="Times New Roman" w:cs="Times New Roman"/>
          <w:noProof/>
          <w:sz w:val="24"/>
          <w:szCs w:val="24"/>
          <w:lang w:val="sr-Latn-RS"/>
        </w:rPr>
        <w:t>o</w:t>
      </w:r>
      <w:r w:rsidRPr="00615350">
        <w:rPr>
          <w:rFonts w:ascii="Times New Roman" w:hAnsi="Times New Roman" w:cs="Times New Roman"/>
          <w:noProof/>
          <w:sz w:val="24"/>
          <w:szCs w:val="24"/>
          <w:lang w:val="sr-Latn-RS"/>
        </w:rPr>
        <w:t>pštine Berane je definisanje okvira za organizovanje, razvoj i unapređenje sistema upravljanja komunalnim i neopasnim građevinskim otpadom na teritoriji opštine Berane u planskom periodu, u skladu sa obavezama, principima i ciljevima utvrđenim Zakonom o upravljanju otpadom i Državnim planom upravljanja otpadom za period 2025–2029. godine.</w:t>
      </w:r>
    </w:p>
    <w:p w:rsidR="000A4D19" w:rsidRPr="00615350" w:rsidRDefault="000A4D19" w:rsidP="00B02ED0">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Planom se sagledava postojeće stanje sistema upravljanja otpadom na teritoriji opštine, utvrđuju ključni problemi i potrebe i definišu mjere i aktivnosti kojima će se lokalni sistem postepeno usklađivati sa zahtjevima važećeg zakonodavstva i nacionalnim ciljevima upravljanja otpadom. Posebna pažnja usmjerena je na primjenu hijerarhije upravljanja otpadom, odnosno na davanje prednosti sprječavanju nastanka otpada, pripremi za ponovnu upotrebu i reciklaži u odnosu na druge postupke prerade i odstranjivanje otpada.</w:t>
      </w:r>
    </w:p>
    <w:p w:rsidR="000A4D19" w:rsidRPr="00615350" w:rsidRDefault="000A4D19" w:rsidP="00B02ED0">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Osnovni cilj Plana je unapređenje postojećeg sistema i postepeno uspostavljanje održivog, funkcionalnog i ekonomski opravdanog sistema upravljanja otpadom kojim će se obezbijediti odgovarajući nivo usluge sakupljanja otpada na cijeloj teritoriji opštine, dalje proširenje organizovanog sakupljanja na nedovoljno obuhvaćena područja, razvoj odvojenog sakupljanja otpada i stvaranje uslova za povećanje pripreme</w:t>
      </w:r>
      <w:r w:rsidR="0043289B" w:rsidRPr="00615350">
        <w:rPr>
          <w:rFonts w:ascii="Times New Roman" w:hAnsi="Times New Roman" w:cs="Times New Roman"/>
          <w:noProof/>
          <w:sz w:val="24"/>
          <w:szCs w:val="24"/>
          <w:lang w:val="sr-Latn-RS"/>
        </w:rPr>
        <w:t xml:space="preserve"> za ponovnu upotrebu i reciklažu</w:t>
      </w:r>
      <w:r w:rsidRPr="00615350">
        <w:rPr>
          <w:rFonts w:ascii="Times New Roman" w:hAnsi="Times New Roman" w:cs="Times New Roman"/>
          <w:noProof/>
          <w:sz w:val="24"/>
          <w:szCs w:val="24"/>
          <w:lang w:val="sr-Latn-RS"/>
        </w:rPr>
        <w:t>, uz smanjenje količine otpada koja se upućuje na konačno odlaganje.</w:t>
      </w:r>
    </w:p>
    <w:p w:rsidR="000A4D19" w:rsidRPr="00615350" w:rsidRDefault="000A4D19" w:rsidP="00B02ED0">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lastRenderedPageBreak/>
        <w:t>Ostvarivanje osnovnog cilja podrazumijeva i razvoj odgovarajućeg sistema upravljanja biootpadom, neopasnim građevinskim otpadom, kabastim otpadom, opasnim otpadom iz domaćinstava i drugim tokovima otpada koji su relevantni za lokalni sistem, unapređenje tehničkih i infrastrukturnih kapaciteta, sanaciju neuređenih odlagališta i preduzimanje mjera za sprečavanje njihovog ponovnog nastanka. Jedan od važnih pravaca razvoja sistema predstavlja i stvaranje tehničkih, organizacionih i institucionalnih uslova za uključivanje Opštine Berane u sjeverni regionalni sistem upravljanja otpadom predviđen Državnim planom.</w:t>
      </w:r>
    </w:p>
    <w:p w:rsidR="000A4D19" w:rsidRPr="00615350" w:rsidRDefault="000A4D19" w:rsidP="00B02ED0">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Plan obuhvata cjelokupnu teritoriju opštine Berane i zasniva se na analizi postojećeg sistema upravljanja otpadom, raspoloživim podacima o nastalim i sakupljenim količinama otpada i njegovom morfološkom sastavu, obuhvatu stanovništva organizovanim sakupljanjem, postojećoj opremi i infrastrukturi, načinu sakupljanja, transporta, privremenog skladištenja i postupanja sa pojedinim tokovima otpada, kao i stanju neuređenih odlagališta.</w:t>
      </w:r>
    </w:p>
    <w:p w:rsidR="000A4D19" w:rsidRPr="00615350" w:rsidRDefault="000A4D19" w:rsidP="00B02ED0">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U okviru Plana</w:t>
      </w:r>
      <w:r w:rsidR="0043289B" w:rsidRPr="00615350">
        <w:rPr>
          <w:rFonts w:ascii="Times New Roman" w:hAnsi="Times New Roman" w:cs="Times New Roman"/>
          <w:noProof/>
          <w:sz w:val="24"/>
          <w:szCs w:val="24"/>
          <w:lang w:val="sr-Latn-RS"/>
        </w:rPr>
        <w:t>,</w:t>
      </w:r>
      <w:r w:rsidRPr="00615350">
        <w:rPr>
          <w:rFonts w:ascii="Times New Roman" w:hAnsi="Times New Roman" w:cs="Times New Roman"/>
          <w:noProof/>
          <w:sz w:val="24"/>
          <w:szCs w:val="24"/>
          <w:lang w:val="sr-Latn-RS"/>
        </w:rPr>
        <w:t xml:space="preserve"> izrađuju se projekcije količina otpada za planski period i definiše budući model organizacije sistema, uključujući razvoj odvojenog sakupljanja, potrebnu infrastrukturu i opremu, upravljanje biootpadom i neopasnim građevinskim otpadom, postupanje sa opasnim otpadom iz domaćinstava i drugim tokovima obuhvaćenim lokalnim planom, sanaciju neuređenih odlagališta, kao i mjere sprječavanja nastanka otpada, ponovne upotrebe i unapređenja reciklaže.</w:t>
      </w:r>
    </w:p>
    <w:p w:rsidR="000A4D19" w:rsidRPr="00615350" w:rsidRDefault="000A4D19" w:rsidP="00B02ED0">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Plan obuhvata i institucionalne, organizacione i finansijske aspekte sprovođenja planiranih mjera, aktivnosti informisanja, edukacije i jačanja javne svijesti, kao i sistem praćenja realizacije i ostvarivanja postavljenih ciljeva. Operativni dio Plana čini Akcioni plan, kojim se za planirane mjere i aktivnosti utvrđuju nosioci realizacije, rokovi, indikatori za praćenje sprovođenja, procijenjena finansijska sredstva i mogući izvori finansiranja.</w:t>
      </w:r>
    </w:p>
    <w:p w:rsidR="00ED7FE9" w:rsidRPr="00615350" w:rsidRDefault="00ED7FE9" w:rsidP="00900448">
      <w:pPr>
        <w:pStyle w:val="Heading2"/>
        <w:rPr>
          <w:rFonts w:eastAsia="Times New Roman"/>
          <w:noProof/>
          <w:lang w:val="sr-Latn-RS"/>
        </w:rPr>
      </w:pPr>
      <w:bookmarkStart w:id="4" w:name="_Toc240282263"/>
      <w:r w:rsidRPr="00615350">
        <w:rPr>
          <w:rFonts w:eastAsia="Times New Roman"/>
          <w:noProof/>
          <w:lang w:val="sr-Latn-RS"/>
        </w:rPr>
        <w:t>1.3. Planski period</w:t>
      </w:r>
      <w:bookmarkEnd w:id="4"/>
    </w:p>
    <w:p w:rsidR="00BD3565" w:rsidRPr="00615350" w:rsidRDefault="00BD3565"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Lokalni plan upravljanja komunalnim i </w:t>
      </w:r>
      <w:r w:rsidR="000003D5" w:rsidRPr="00615350">
        <w:rPr>
          <w:rFonts w:ascii="Times New Roman" w:eastAsia="Times New Roman" w:hAnsi="Times New Roman" w:cs="Times New Roman"/>
          <w:noProof/>
          <w:sz w:val="24"/>
          <w:szCs w:val="24"/>
          <w:lang w:val="sr-Latn-RS"/>
        </w:rPr>
        <w:t>neopasnim građevinskim otpadom o</w:t>
      </w:r>
      <w:r w:rsidRPr="00615350">
        <w:rPr>
          <w:rFonts w:ascii="Times New Roman" w:eastAsia="Times New Roman" w:hAnsi="Times New Roman" w:cs="Times New Roman"/>
          <w:noProof/>
          <w:sz w:val="24"/>
          <w:szCs w:val="24"/>
          <w:lang w:val="sr-Latn-RS"/>
        </w:rPr>
        <w:t xml:space="preserve">pštine Berane donosi </w:t>
      </w:r>
      <w:r w:rsidR="00463FE9" w:rsidRPr="00615350">
        <w:rPr>
          <w:rFonts w:ascii="Times New Roman" w:eastAsia="Times New Roman" w:hAnsi="Times New Roman" w:cs="Times New Roman"/>
          <w:noProof/>
          <w:sz w:val="24"/>
          <w:szCs w:val="24"/>
          <w:lang w:val="sr-Latn-RS"/>
        </w:rPr>
        <w:t>se za period 2026–2029. godine.</w:t>
      </w:r>
    </w:p>
    <w:p w:rsidR="00BD3565" w:rsidRPr="00615350" w:rsidRDefault="00BD3565"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Planski period usklađen je sa periodom važenja Državnog plana upravljanja otpadom za period 2025–2029. godine, čime se obezbjeđuje vremenska i sadržinska povezanost lokalnog planiranja sa ciljevima, mjerama i razvojem infrastrukture utvrđenim na državnom nivou.</w:t>
      </w:r>
    </w:p>
    <w:p w:rsidR="00BD3565" w:rsidRPr="00615350" w:rsidRDefault="00BD3565"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Imajući u vidu vrijeme izrade Lokalnog plana i raspoloživost podataka, 2025. godina predstavlja osnovnu referentnu godinu za prikaz postojećeg stanja, dok se, radi sagledavanja trendova i pouzdanije ocjene razvoja sistema, u pojedinim segmentima koriste i podaci iz prethodnih godina, prvenstveno za period 2022–2024. godine. Ovo je naročito značajno za analizu količina i strukture sakupljenog otpada, obuhvata organizovanim sakupljanjem, neuređenih odlagališta i realizacije mjera iz prethodnog planskog perioda.</w:t>
      </w:r>
    </w:p>
    <w:p w:rsidR="00BD3565" w:rsidRPr="00615350" w:rsidRDefault="00BD3565"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lastRenderedPageBreak/>
        <w:t>Mjere i aktivnosti ovog Lokalnog plana definišu se za period 2026–2029. godine, uz utvrđivanje odgovarajuće dinamike njihove realizacije u skladu sa prioritetima, raspoloživim institucionalnim i finansijskim kapacitetima Opštine Berane i razvojem regionalnog sistema upravljanja otpadom.</w:t>
      </w:r>
    </w:p>
    <w:p w:rsidR="00ED7FE9" w:rsidRPr="00615350" w:rsidRDefault="00BD3565"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Na ovaj način omogućava se neposredno povezivanje lokalnih mjera i aktivnosti sa ciljevima, infrastrukturnim rješenjima i rokovima definisanim Državnim planom, uz istovremeno uvažavanje postojećeg stanja, specifičnih uslova i potreba Opštine Berane.</w:t>
      </w:r>
    </w:p>
    <w:p w:rsidR="00ED7FE9" w:rsidRPr="00615350" w:rsidRDefault="00ED7FE9" w:rsidP="00900448">
      <w:pPr>
        <w:pStyle w:val="Heading2"/>
        <w:rPr>
          <w:rFonts w:eastAsia="Times New Roman"/>
          <w:noProof/>
          <w:lang w:val="sr-Latn-RS"/>
        </w:rPr>
      </w:pPr>
      <w:bookmarkStart w:id="5" w:name="_Toc240282264"/>
      <w:r w:rsidRPr="00615350">
        <w:rPr>
          <w:rFonts w:eastAsia="Times New Roman"/>
          <w:noProof/>
          <w:lang w:val="sr-Latn-RS"/>
        </w:rPr>
        <w:t>1.4. Metodologija izrade i izvori podataka</w:t>
      </w:r>
      <w:bookmarkEnd w:id="5"/>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Lokalni plan upravljanja komunalnim i neopasnim građevinskim otpadom </w:t>
      </w:r>
      <w:r w:rsidR="000003D5" w:rsidRPr="00615350">
        <w:rPr>
          <w:rFonts w:ascii="Times New Roman" w:eastAsia="Times New Roman" w:hAnsi="Times New Roman" w:cs="Times New Roman"/>
          <w:noProof/>
          <w:sz w:val="24"/>
          <w:szCs w:val="24"/>
          <w:lang w:val="sr-Latn-RS"/>
        </w:rPr>
        <w:t>o</w:t>
      </w:r>
      <w:r w:rsidRPr="00615350">
        <w:rPr>
          <w:rFonts w:ascii="Times New Roman" w:eastAsia="Times New Roman" w:hAnsi="Times New Roman" w:cs="Times New Roman"/>
          <w:noProof/>
          <w:sz w:val="24"/>
          <w:szCs w:val="24"/>
          <w:lang w:val="sr-Latn-RS"/>
        </w:rPr>
        <w:t>pštine Berane izrađen je na osnovu analize važećeg zakonodavnog, strateškog i planskog okvira, podataka nadležnih organa Opštine Berane, DOO „Komunalno“ Berane i drugih relevantnih institucija i subjekata, zvaničnih statističkih podataka MONSTAT-a, godišnjih izvještaja o sprovođenju prethodnog Lokalnog plana, raspoložive projektne i tehničke dokumentacije, kao i rezultata prethodno sprovedenih istraživanja i analiza sistema upravljanja otpadom na teritoriji opštine Berane.</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Polaznu osnovu za definisanje pravnog, strateškog i planskog okvira predstavljaju Zakon o upravljanju otpadom, Državni plan upravljanja otpadom za period 2025–2029. godine, relevantni podzakonski i lokalni propisi, kao i drugi važeći strateški i planski dokumenti od značaja za organizovanje sistema upravljanja otpadom na lokalnom nivou. Za metodološko strukturiranje Plana korišćene su i smjernice sadržane u Praktičnom vodiču za pripremu lokalnih planova upravljanja komunalnim i neopasnim građevinskim otpadom</w:t>
      </w:r>
      <w:r w:rsidR="00B80580" w:rsidRPr="00615350">
        <w:rPr>
          <w:rStyle w:val="FootnoteReference"/>
          <w:rFonts w:ascii="Times New Roman" w:eastAsia="Times New Roman" w:hAnsi="Times New Roman" w:cs="Times New Roman"/>
          <w:noProof/>
          <w:sz w:val="24"/>
          <w:szCs w:val="24"/>
          <w:lang w:val="sr-Latn-RS"/>
        </w:rPr>
        <w:footnoteReference w:id="1"/>
      </w:r>
      <w:r w:rsidRPr="00615350">
        <w:rPr>
          <w:rFonts w:ascii="Times New Roman" w:eastAsia="Times New Roman" w:hAnsi="Times New Roman" w:cs="Times New Roman"/>
          <w:noProof/>
          <w:sz w:val="24"/>
          <w:szCs w:val="24"/>
          <w:lang w:val="sr-Latn-RS"/>
        </w:rPr>
        <w:t>.</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Za utvrđivanje postojećeg stanja prioritetno su korišćeni najnoviji raspoloživi podaci neposredno dostavljeni od strane Opštine Bera</w:t>
      </w:r>
      <w:r w:rsidR="000003D5" w:rsidRPr="00615350">
        <w:rPr>
          <w:rFonts w:ascii="Times New Roman" w:eastAsia="Times New Roman" w:hAnsi="Times New Roman" w:cs="Times New Roman"/>
          <w:noProof/>
          <w:sz w:val="24"/>
          <w:szCs w:val="24"/>
          <w:lang w:val="sr-Latn-RS"/>
        </w:rPr>
        <w:t>ne i DOO „Komunalno“ Berane</w:t>
      </w:r>
      <w:r w:rsidRPr="00615350">
        <w:rPr>
          <w:rFonts w:ascii="Times New Roman" w:eastAsia="Times New Roman" w:hAnsi="Times New Roman" w:cs="Times New Roman"/>
          <w:noProof/>
          <w:sz w:val="24"/>
          <w:szCs w:val="24"/>
          <w:lang w:val="sr-Latn-RS"/>
        </w:rPr>
        <w:t>. Podaci iz ranije izrađenih lokalnih i državnih planskih dokumenata, studija, analiza i izvještaja korišćeni su za sagledavanje prethodnog stanja, identifikovanje trendova, poređenje podataka i dopunu analize u oblastima za koje nijesu bili raspoloživi noviji primarni podaci. U slučajevima postojanja razlika između podataka iz različitih izvora, prednost je data novijim podacima nadležnog organa ili subjekta koji neposredno vodi predmetnu evidenciju, uz odgovarajuće obrazloženje tamo gdje je razlika od značaja za planiranje sistema.</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Poseban značaj za analizu postojećeg stanja imaju podaci o količinama pojedinih tokova otpada za period 2022–2025. godine, podaci o broju korisnika usluge i obuhvatu teritorije i stanovništva organizovanim sakupljanjem, podaci o postojećoj opremi, voznom parku i infrastrukturi, godišnje evidencije neuređenih odlagališta, podaci o neopasnom građevinskom otpadu, podaci o postupanju sa kanalizacionim muljem, kao i drugi raspoloživi podaci relevantni za tokove otpada obuhvaćene Lokalnim planom.</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lastRenderedPageBreak/>
        <w:t>Za analizu sastava komunalnog otpada korišćeni su rezultati istraživanja sprovedenog tokom 2024. godine, u okviru kojeg su vršena sedmodnevna mjerenja količine i morfološkog sastava otpada u sva četiri godišnja doba</w:t>
      </w:r>
      <w:r w:rsidR="00B80580" w:rsidRPr="00615350">
        <w:rPr>
          <w:rStyle w:val="FootnoteReference"/>
          <w:rFonts w:ascii="Times New Roman" w:eastAsia="Times New Roman" w:hAnsi="Times New Roman" w:cs="Times New Roman"/>
          <w:noProof/>
          <w:sz w:val="24"/>
          <w:szCs w:val="24"/>
          <w:lang w:val="sr-Latn-RS"/>
        </w:rPr>
        <w:footnoteReference w:id="2"/>
      </w:r>
      <w:r w:rsidRPr="00615350">
        <w:rPr>
          <w:rFonts w:ascii="Times New Roman" w:eastAsia="Times New Roman" w:hAnsi="Times New Roman" w:cs="Times New Roman"/>
          <w:noProof/>
          <w:sz w:val="24"/>
          <w:szCs w:val="24"/>
          <w:lang w:val="sr-Latn-RS"/>
        </w:rPr>
        <w:t>. Aktivnosti je sprovelo DOO „Komunalno“ Berane u saradnji sa NVO „Ozon“, u okviru projekta NVO „FORS Montenegro“, a uzorkovanje i analiza obuhvatili su otpad sa gradskog, prigradskog i seoskog područja. Dobijeni rezultati predstavljaju značajnu osnovu za sagledavanje strukture komunalnog otpada i procjenu potencijala za odvojeno sakupljanje, reciklažu i tretman biootpada.</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Prilikom obrade i tumačenja podataka posebno su uzeti u obzir način njihovog prikupljanja, vremenski period na koji se odnose, nivo obuhvata i pouzdanost raspoloživih evidencija. </w:t>
      </w:r>
      <w:r w:rsidR="000003D5" w:rsidRPr="00615350">
        <w:rPr>
          <w:rFonts w:ascii="Times New Roman" w:eastAsia="Times New Roman" w:hAnsi="Times New Roman" w:cs="Times New Roman"/>
          <w:noProof/>
          <w:sz w:val="24"/>
          <w:szCs w:val="24"/>
          <w:lang w:val="sr-Latn-RS"/>
        </w:rPr>
        <w:t>U određenom obimu se razlikuju</w:t>
      </w:r>
      <w:r w:rsidRPr="00615350">
        <w:rPr>
          <w:rFonts w:ascii="Times New Roman" w:eastAsia="Times New Roman" w:hAnsi="Times New Roman" w:cs="Times New Roman"/>
          <w:noProof/>
          <w:sz w:val="24"/>
          <w:szCs w:val="24"/>
          <w:lang w:val="sr-Latn-RS"/>
        </w:rPr>
        <w:t xml:space="preserve"> podaci dobijeni neposrednim mjerenjem od podataka utvrđenih na osnovu evidencija, proračuna ili procjene. Ovo je naročito značajno kod podataka o količinama sakupljenog otpada, budući da DOO „Komunalno“ navodi da se, usljed nepostojanja odgovarajuće opreme za vaganje svih količina, dio podataka utvrđuje na osnovu zapremine bunkera vozila i procijenjenih dnevnih količina. Zbog toga se količinski podaci u Planu koriste uz uvažavanje metodoloških ograničenja izvornog sistema evidencije, a tamo gdje je to od</w:t>
      </w:r>
      <w:r w:rsidR="000003D5" w:rsidRPr="00615350">
        <w:rPr>
          <w:rFonts w:ascii="Times New Roman" w:eastAsia="Times New Roman" w:hAnsi="Times New Roman" w:cs="Times New Roman"/>
          <w:noProof/>
          <w:sz w:val="24"/>
          <w:szCs w:val="24"/>
          <w:lang w:val="sr-Latn-RS"/>
        </w:rPr>
        <w:t xml:space="preserve"> značaja za tumačenje rezultata, </w:t>
      </w:r>
      <w:r w:rsidRPr="00615350">
        <w:rPr>
          <w:rFonts w:ascii="Times New Roman" w:eastAsia="Times New Roman" w:hAnsi="Times New Roman" w:cs="Times New Roman"/>
          <w:noProof/>
          <w:sz w:val="24"/>
          <w:szCs w:val="24"/>
          <w:lang w:val="sr-Latn-RS"/>
        </w:rPr>
        <w:t>ova ograničenja se posebno navode.</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Posebna pažnja posvećena je i uporedivosti podataka o različitim tokovima otpada. Količine miješanog komunalnog otpada analiziraju se odvojeno od količina biootpada i drvnog otpada, kabastog otpada, kao i zbirno evidentiranih količina zemlje, kamena i građevinskog otpada. Na taj način</w:t>
      </w:r>
      <w:r w:rsidR="000003D5" w:rsidRPr="00615350">
        <w:rPr>
          <w:rFonts w:ascii="Times New Roman" w:eastAsia="Times New Roman" w:hAnsi="Times New Roman" w:cs="Times New Roman"/>
          <w:noProof/>
          <w:sz w:val="24"/>
          <w:szCs w:val="24"/>
          <w:lang w:val="sr-Latn-RS"/>
        </w:rPr>
        <w:t>,</w:t>
      </w:r>
      <w:r w:rsidRPr="00615350">
        <w:rPr>
          <w:rFonts w:ascii="Times New Roman" w:eastAsia="Times New Roman" w:hAnsi="Times New Roman" w:cs="Times New Roman"/>
          <w:noProof/>
          <w:sz w:val="24"/>
          <w:szCs w:val="24"/>
          <w:lang w:val="sr-Latn-RS"/>
        </w:rPr>
        <w:t xml:space="preserve"> izbjegava se poistovjećivanje ukupnih količina otpada evidentiranih u lokalnom sistemu sa količinama miješanog komunalnog otpada i omogućava pouzdanije sagledavanje pojedinačnih tokova i njihovog značaja za planiranje budućeg sistema.</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Za sagledavanje problema neuređenog odlaganja korišćeni su zvanični godišnji popisi nelegalnih, odnosno neuređenih odlagališta</w:t>
      </w:r>
      <w:r w:rsidR="002D0BD8" w:rsidRPr="00615350">
        <w:rPr>
          <w:rFonts w:ascii="Times New Roman" w:eastAsia="Times New Roman" w:hAnsi="Times New Roman" w:cs="Times New Roman"/>
          <w:noProof/>
          <w:sz w:val="24"/>
          <w:szCs w:val="24"/>
          <w:lang w:val="sr-Latn-RS"/>
        </w:rPr>
        <w:t>,</w:t>
      </w:r>
      <w:r w:rsidRPr="00615350">
        <w:rPr>
          <w:rFonts w:ascii="Times New Roman" w:eastAsia="Times New Roman" w:hAnsi="Times New Roman" w:cs="Times New Roman"/>
          <w:noProof/>
          <w:sz w:val="24"/>
          <w:szCs w:val="24"/>
          <w:lang w:val="sr-Latn-RS"/>
        </w:rPr>
        <w:t xml:space="preserve"> koje su sačinile nadležne komisije Opštine Berane. Ovi podaci analizirani su po godinama, uz uvažavanje činjenice da promjena broja evidentiranih lokacija ne predstavlja sama po sebi pokazatelj trajnog smanjenja ili povećanja problema, jer pojedine lokacije mogu biti sanirane, ponovo formirane ili evidentirane u drugačijem obimu tokom narednog terenskog obilaska. Zvanični popisi evidentiraju 38 lokacija u 2023, 23 u 2024. i 32 lokacije u 2025. godini.</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Demografska osnova Plana zasniva se prvenstveno na zvaničnim rezultatima Popisa stanovništva, domaćinstava i stanova 2023. godine, dok se za potrebe sagledavanja budućih kretanja koriste raspoložive projekcije i pretpostavke Državnog plana. Demografski podaci koriste se zajedno sa podacima o postojećem obuhvatu uslugom i evidentiranim količinama otpada kako bi se izbjeglo da projekcije budu zasnovane isključivo na promjeni broja stanovnika.</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Projekcije količina otpada za period 2026–2029. godine izrađuju se na osnovu raspoloživih demografskih podataka, evidentiranih količina i utvrđenog morfološkog sastava otpada, </w:t>
      </w:r>
      <w:r w:rsidRPr="00615350">
        <w:rPr>
          <w:rFonts w:ascii="Times New Roman" w:eastAsia="Times New Roman" w:hAnsi="Times New Roman" w:cs="Times New Roman"/>
          <w:noProof/>
          <w:sz w:val="24"/>
          <w:szCs w:val="24"/>
          <w:lang w:val="sr-Latn-RS"/>
        </w:rPr>
        <w:lastRenderedPageBreak/>
        <w:t>očekivanih promjena u obuhvatu organizovanog sakupljanja, kao i ciljeva i infrastrukturnog koncepta definisanih Državnim planom upravljanja otpadom. Pri tome se posebno razlikuju projekcije ukupnog nastanka otpada od projekcija količina koje će biti obuhvaćene organizovanim sakupljanjem i količina pojedinih frakcija koje je potrebno usmjeravati ka ponovnoj upotrebi, reciklaži, biološkom tretmanu, drugim postupcima prerade ili konačnom odlaganju.</w:t>
      </w:r>
    </w:p>
    <w:p w:rsidR="00BF1D6D"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Procjena potrebnih kapaciteta infrastrukture i opreme zasniva se na projekcijama količina otpada, postojećem stanju sistema, ciljevima odvojenog sakupljanja i prerade, prostornim i organizacionim karakteristikama Opštine Berane i njenoj ulozi u budućem sjevernom regionalnom sistemu upravljanja otpadom. Kapaciteti navedeni u Državnom planu koriste se kao planska osnova, dok se konačni tehnički kapaciteti pojedinih objekata i opreme utvrđuju kroz odgovarajuću studijsku, tehničku i projektnu dokumentaciju.</w:t>
      </w:r>
    </w:p>
    <w:p w:rsidR="00ED7FE9" w:rsidRPr="00615350" w:rsidRDefault="00BF1D6D"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Na osnovu analize postojećeg stanja, identifikovanih problema, zakonskih obaveza i ciljeva Državnog plana definisani su ciljevi, mjere i aktivnosti za period 2026–2029. godine. Njihova operacionalizacija izvršena je kroz Akcioni plan, u kojem se za pojedine aktivnosti utvrđuju nosioci i partneri u realizaciji, rokovi, indikatori za praćenje sprovođenja, procijenjena finansijska sredstva i mogući izvori finansiranja.</w:t>
      </w:r>
    </w:p>
    <w:p w:rsidR="00C91256" w:rsidRPr="00615350" w:rsidRDefault="00C91256" w:rsidP="00900448">
      <w:pPr>
        <w:pStyle w:val="Heading1"/>
        <w:rPr>
          <w:rFonts w:eastAsia="Times New Roman"/>
          <w:noProof/>
          <w:lang w:val="sr-Latn-RS"/>
        </w:rPr>
      </w:pPr>
      <w:bookmarkStart w:id="6" w:name="_Toc240282265"/>
      <w:r w:rsidRPr="00615350">
        <w:rPr>
          <w:rFonts w:eastAsia="Times New Roman"/>
          <w:noProof/>
          <w:lang w:val="sr-Latn-RS"/>
        </w:rPr>
        <w:t>2 PRAVNI, STRATEŠKI I INSTITUCIONALNI OKVIR</w:t>
      </w:r>
      <w:bookmarkEnd w:id="6"/>
    </w:p>
    <w:p w:rsidR="00F8238B" w:rsidRPr="00615350" w:rsidRDefault="00F8238B" w:rsidP="00900448">
      <w:pPr>
        <w:pStyle w:val="Heading2"/>
        <w:rPr>
          <w:rFonts w:eastAsia="Times New Roman"/>
          <w:noProof/>
          <w:lang w:val="sr-Latn-RS"/>
        </w:rPr>
      </w:pPr>
      <w:bookmarkStart w:id="7" w:name="_Toc240282266"/>
      <w:r w:rsidRPr="00615350">
        <w:rPr>
          <w:rFonts w:eastAsia="Times New Roman"/>
          <w:noProof/>
          <w:lang w:val="sr-Latn-RS"/>
        </w:rPr>
        <w:t>2.1 Pravni okvir</w:t>
      </w:r>
      <w:bookmarkEnd w:id="7"/>
    </w:p>
    <w:p w:rsidR="007C1F22" w:rsidRPr="00615350" w:rsidRDefault="007C1F22" w:rsidP="00900448">
      <w:pPr>
        <w:rPr>
          <w:lang w:val="sr-Latn-RS"/>
        </w:rPr>
      </w:pP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Osnovni pravni okvir za planiranje, organizovanje i sprovođenje sistema upravljanja otpadom na teritoriji opštine Berane predstavlja Zakon o upravljanju otpadom („Službeni list Crne Gore“, br. 34/24 i 92/24). Zakonom se uređuju vrste i klasifikacija otpada, planiranje upravljanja otpadom, uslovi i način upravljanja otpadom, kao i prava, obaveze i odgovornosti pravnih i fizičkih lica u ovoj oblasti.</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Upravljanje otpadom zasniva se na primjeni hijerarhije upravljanja otpadom, prema kojoj se prvenstvo daje sprječavanju nastanka otpada, zatim pripremi za ponovnu upotrebu, reciklaži i drugim postupcima prerade, dok odstranjivanje otpada predstavlja posljednju opciju. Primjena ove hijerarhije predstavlja osnovu za planiranje lokalnog sistema i podrazumijeva postepeno smanjenje količina otpada koje se upućuju na odlaganje, uz povećanje ponovne upotrebe, reciklaže i drugih oblika prerade.</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Poseban značaj za lokalni nivo ima obaveza uspostavljanja sistema odvojenog sakupljanja komunalnog otpada. Zakonom je propisano odvojeno sakupljanje papira, metala, plastike, stakla i biootpada. Način odvojenog sakupljanja i sakupljanja komunalnog otpada radi obrade utvrđuje nadležni organ jedinice lokalne samouprave posebnim propisom, uz prethodno mišljenje Ministarstva. Ova obaveza predstavlja jedno od osnovnih polazišta za planiranje budućeg sistema upravljanja komunalnim otpadom u Opštini Berane.</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lastRenderedPageBreak/>
        <w:t>Zakonom su utvrđeni i kvantitativni ciljevi koji neposredno utiču na planiranje sistema na lokalnom nivou. Do 2030. godine najmanje 50% ukupne mase sakupljenog papira, metala, plastike i stakla iz domaćinstava i drugih izvora u kojima su tokovi otpada slični otpadu iz domaćinstava treba pripremiti za ponovnu upotrebu i recikliranje.</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Za neopasni građevinski otpad utvrđen je cilj da se najmanje 70% mase sakupljenog neopasnog građevinskog otpada pripremi za ponovnu upotrebu, recikliranje i druge načine materijalne prerade, uključujući postupke zatrpavanja u kojima se otpad koristi kao zamjena za druge materijale, uz izuzetak materijala iz prirode označenog brojem 17 05 04 na listi otpada.</w:t>
      </w:r>
    </w:p>
    <w:p w:rsidR="00727D9E" w:rsidRPr="00615350" w:rsidRDefault="00727D9E" w:rsidP="00076FEF">
      <w:pPr>
        <w:rPr>
          <w:rFonts w:ascii="Times New Roman" w:hAnsi="Times New Roman" w:cs="Times New Roman"/>
          <w:b/>
          <w:noProof/>
          <w:sz w:val="24"/>
          <w:lang w:val="sr-Latn-RS"/>
        </w:rPr>
      </w:pPr>
      <w:r w:rsidRPr="00615350">
        <w:rPr>
          <w:rFonts w:ascii="Times New Roman" w:hAnsi="Times New Roman" w:cs="Times New Roman"/>
          <w:b/>
          <w:noProof/>
          <w:sz w:val="24"/>
          <w:lang w:val="sr-Latn-RS"/>
        </w:rPr>
        <w:t>Lokalno planiranje upravljanja otpadom</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Planiranje upravljanja otpadom u Crnoj Gori vrši se u skladu sa Državnim planom upravljanja otpadom i lokalnim planovima upravljanja komunalnim i neopasnim građevinskim otpadom.</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U skladu sa članom 30 Zakona, lokalni plan donosi skupština jedinice lokalne samouprave za period za koji je donijet Državni plan. Lokalni plan mora biti usaglašen sa Državnim planom, a prije donošenja na skupštini jedinice lokalne samouprave, radi ocjene usaglašenosti sa Državnim planom, dostavlja se Ministarstvu na saglasnost.</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Članom 30 Zakona utvrđen je i obavezni sadržaj lokalnog plana, koji naročito obuhvata:</w:t>
      </w:r>
      <w:r w:rsidR="002D0BD8" w:rsidRPr="00615350">
        <w:rPr>
          <w:rFonts w:ascii="Times New Roman" w:hAnsi="Times New Roman" w:cs="Times New Roman"/>
          <w:noProof/>
          <w:sz w:val="24"/>
          <w:szCs w:val="24"/>
          <w:lang w:val="sr-Latn-RS"/>
        </w:rPr>
        <w:t xml:space="preserve"> </w:t>
      </w:r>
    </w:p>
    <w:p w:rsidR="002D0BD8" w:rsidRPr="00615350" w:rsidRDefault="002D0BD8" w:rsidP="00900448">
      <w:pPr>
        <w:pStyle w:val="Default"/>
        <w:spacing w:line="276" w:lineRule="auto"/>
        <w:jc w:val="both"/>
      </w:pPr>
      <w:r w:rsidRPr="00615350">
        <w:t xml:space="preserve">1) vrstu, količinu (masu) i porijeklo komunalnog otpada proizvedenog na teritoriji jedinice lokalne samouprave i procjenu vrste i količine (mase) komunalnog otpada koji će se proizvesti po godinama iz planskog perioda iz stava 1 ovog člana i njegovo porijeklo; </w:t>
      </w:r>
    </w:p>
    <w:p w:rsidR="002D0BD8" w:rsidRPr="00615350" w:rsidRDefault="002D0BD8" w:rsidP="00900448">
      <w:pPr>
        <w:pStyle w:val="Default"/>
        <w:spacing w:line="276" w:lineRule="auto"/>
        <w:jc w:val="both"/>
      </w:pPr>
      <w:r w:rsidRPr="00615350">
        <w:t xml:space="preserve">2) lokacije postojećih postrojenja i objekata za obradu komunalnog otpada, odnosno za jedinice lokalne samouprave koje nemaju izgrađenu deponiju, u skladu sa zakonom, lokacije i rok na kojima će privremeno skladišti komunalni otpad iz člana 94 ovog zakona; </w:t>
      </w:r>
    </w:p>
    <w:p w:rsidR="002D0BD8" w:rsidRPr="00615350" w:rsidRDefault="002D0BD8" w:rsidP="00900448">
      <w:pPr>
        <w:pStyle w:val="Default"/>
        <w:spacing w:line="276" w:lineRule="auto"/>
        <w:jc w:val="both"/>
      </w:pPr>
      <w:r w:rsidRPr="00615350">
        <w:t xml:space="preserve">3) informacije o neuređenim odlagalištima otpada i mjere za njihovu sanaciju ili rekultivaciju i način sprječavanja daljeg odlaganja otpada na tim lokacijama, kao i sanaciju i rekultivaciju privremenog skladišta komunalnog otpada iz člana 95 ovog zakona; </w:t>
      </w:r>
    </w:p>
    <w:p w:rsidR="002D0BD8" w:rsidRPr="00615350" w:rsidRDefault="002D0BD8" w:rsidP="00900448">
      <w:pPr>
        <w:pStyle w:val="Default"/>
        <w:spacing w:line="276" w:lineRule="auto"/>
        <w:jc w:val="both"/>
      </w:pPr>
      <w:r w:rsidRPr="00615350">
        <w:t xml:space="preserve">4) lokacije postojećih postrojenja za preradu neopasnog građevinskog otpada i objekata za odstranjivanje neopasnog građevinskog otpada i/ili deponije za inertni otpad, odnosno za jedinice lokalne samouprave koje nemaju izgrađena postrojenja za preradu građevinskog otpada i objekte za odstranjivanje neopasnog građevinskog otpada i/ili deponiju za inertni otpad u skladu sa zakonom, lokaciju i rok za privremeno skladištenje neopasnog građevinskog otpada u skladu sa članom 94 ovog zakona; </w:t>
      </w:r>
    </w:p>
    <w:p w:rsidR="002D0BD8" w:rsidRPr="00615350" w:rsidRDefault="002D0BD8" w:rsidP="00900448">
      <w:pPr>
        <w:pStyle w:val="Default"/>
        <w:spacing w:line="276" w:lineRule="auto"/>
        <w:jc w:val="both"/>
      </w:pPr>
      <w:r w:rsidRPr="00615350">
        <w:t xml:space="preserve">5) način organizovanja i obavljanja poslova upravljanja otpadom sa dijela teritorije jedinice lokalne samouprave koje je zaštićeno područje ili područje morskog dobra; </w:t>
      </w:r>
    </w:p>
    <w:p w:rsidR="002D0BD8" w:rsidRPr="00615350" w:rsidRDefault="002D0BD8" w:rsidP="00900448">
      <w:pPr>
        <w:pStyle w:val="Default"/>
        <w:spacing w:line="276" w:lineRule="auto"/>
        <w:jc w:val="both"/>
      </w:pPr>
      <w:r w:rsidRPr="00615350">
        <w:t xml:space="preserve">6) način i program odvojenog sakupljanja i transporta komunalnog i građevinskog otpada iz domaćinstava i od proizvođača koji ne podliježu obavezi donošenja plana upravljanja otpadom, uključujući i kabasti i drugi komunalni i građevinski otpad koji nije moguće odložiti na mjestima predviđenim za odlaganje komunalnog i građevinskog otpada; </w:t>
      </w:r>
    </w:p>
    <w:p w:rsidR="002D0BD8" w:rsidRPr="00615350" w:rsidRDefault="002D0BD8" w:rsidP="00900448">
      <w:pPr>
        <w:pStyle w:val="Default"/>
        <w:spacing w:line="276" w:lineRule="auto"/>
        <w:jc w:val="both"/>
      </w:pPr>
      <w:r w:rsidRPr="00615350">
        <w:lastRenderedPageBreak/>
        <w:t xml:space="preserve">7) opis aktivnosti koje se odvijaju u okviru reciklažnih dvorišta i transfer stanica i reciklažnih centara u cilju privremenog skladištenja komunalnog otpada, odnosno prerade; </w:t>
      </w:r>
    </w:p>
    <w:p w:rsidR="002D0BD8" w:rsidRPr="00615350" w:rsidRDefault="002D0BD8" w:rsidP="00900448">
      <w:pPr>
        <w:pStyle w:val="Default"/>
        <w:spacing w:line="276" w:lineRule="auto"/>
        <w:jc w:val="both"/>
      </w:pPr>
      <w:r w:rsidRPr="00615350">
        <w:t xml:space="preserve">8) mjere za sprječavanje nastajanja ili smanjenje količina komunalnog otpada i negativnih uticaja na životnu sredinu i zdravlje ljudi, obezbjeđivanje pravilnog upravljanja komunalnim otpadom; </w:t>
      </w:r>
    </w:p>
    <w:p w:rsidR="002D0BD8" w:rsidRPr="00615350" w:rsidRDefault="002D0BD8" w:rsidP="00900448">
      <w:pPr>
        <w:pStyle w:val="Default"/>
        <w:spacing w:line="276" w:lineRule="auto"/>
        <w:jc w:val="both"/>
      </w:pPr>
      <w:r w:rsidRPr="00615350">
        <w:t xml:space="preserve">9) način odvojenog sakupljanja, način obrade i mjere za smanjenje količina biološki razgradivog otpada sadržanog u komunalnom otpadu koji se odlaže na deponijama; </w:t>
      </w:r>
    </w:p>
    <w:p w:rsidR="002D0BD8" w:rsidRPr="00615350" w:rsidRDefault="002D0BD8" w:rsidP="00900448">
      <w:pPr>
        <w:pStyle w:val="Default"/>
        <w:spacing w:line="276" w:lineRule="auto"/>
        <w:jc w:val="both"/>
      </w:pPr>
      <w:r w:rsidRPr="00615350">
        <w:t xml:space="preserve">10) način odvojenog sakupljanja frakcija opasnog otpada koje se stvaraju u domaćinstvima; </w:t>
      </w:r>
    </w:p>
    <w:p w:rsidR="002D0BD8" w:rsidRPr="00615350" w:rsidRDefault="002D0BD8" w:rsidP="00900448">
      <w:pPr>
        <w:pStyle w:val="Default"/>
        <w:spacing w:line="276" w:lineRule="auto"/>
        <w:jc w:val="both"/>
      </w:pPr>
      <w:r w:rsidRPr="00615350">
        <w:t xml:space="preserve">11) dinamiku realizacije odabranih načina i postupaka upravljanja komunalnim otpadom i neopasnim građevinskim otpadom; </w:t>
      </w:r>
    </w:p>
    <w:p w:rsidR="002D0BD8" w:rsidRPr="00615350" w:rsidRDefault="002D0BD8" w:rsidP="00900448">
      <w:pPr>
        <w:pStyle w:val="Default"/>
        <w:spacing w:line="276" w:lineRule="auto"/>
        <w:jc w:val="both"/>
      </w:pPr>
      <w:r w:rsidRPr="00615350">
        <w:t xml:space="preserve">12) način upravljanja kanalizacionim muljem u skladu sa članom 29 ovog zakona; </w:t>
      </w:r>
    </w:p>
    <w:p w:rsidR="002D0BD8" w:rsidRPr="00615350" w:rsidRDefault="002D0BD8" w:rsidP="00900448">
      <w:pPr>
        <w:pStyle w:val="Default"/>
        <w:spacing w:line="276" w:lineRule="auto"/>
        <w:jc w:val="both"/>
      </w:pPr>
      <w:r w:rsidRPr="00615350">
        <w:t xml:space="preserve">13) akcioni plan i dinamiku finansiranja i izvore finansijskih sredstava za realizaciju lokalnog plana; </w:t>
      </w:r>
    </w:p>
    <w:p w:rsidR="00727D9E" w:rsidRPr="00615350" w:rsidRDefault="002D0BD8" w:rsidP="00900448">
      <w:pPr>
        <w:jc w:val="both"/>
        <w:rPr>
          <w:rFonts w:ascii="Times New Roman" w:hAnsi="Times New Roman" w:cs="Times New Roman"/>
          <w:noProof/>
          <w:sz w:val="24"/>
          <w:szCs w:val="24"/>
          <w:lang w:val="sr-Latn-RS"/>
        </w:rPr>
      </w:pPr>
      <w:r w:rsidRPr="00615350">
        <w:rPr>
          <w:rFonts w:ascii="Times New Roman" w:hAnsi="Times New Roman" w:cs="Times New Roman"/>
          <w:sz w:val="24"/>
          <w:szCs w:val="24"/>
        </w:rPr>
        <w:t>14) način jačanja svijesti o pravilnom postupanju sa komunalnim otpadom.</w:t>
      </w:r>
      <w:r w:rsidR="00727D9E" w:rsidRPr="00615350">
        <w:rPr>
          <w:rFonts w:ascii="Times New Roman" w:hAnsi="Times New Roman" w:cs="Times New Roman"/>
          <w:noProof/>
          <w:sz w:val="24"/>
          <w:szCs w:val="24"/>
          <w:lang w:val="sr-Latn-RS"/>
        </w:rPr>
        <w:t>.</w:t>
      </w:r>
    </w:p>
    <w:p w:rsidR="00727D9E" w:rsidRPr="00615350" w:rsidRDefault="00ED0F7C"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Zakon, n</w:t>
      </w:r>
      <w:r w:rsidR="00727D9E" w:rsidRPr="00615350">
        <w:rPr>
          <w:rFonts w:ascii="Times New Roman" w:hAnsi="Times New Roman" w:cs="Times New Roman"/>
          <w:noProof/>
          <w:sz w:val="24"/>
          <w:szCs w:val="24"/>
          <w:lang w:val="sr-Latn-RS"/>
        </w:rPr>
        <w:t>a ovaj način</w:t>
      </w:r>
      <w:r w:rsidRPr="00615350">
        <w:rPr>
          <w:rFonts w:ascii="Times New Roman" w:hAnsi="Times New Roman" w:cs="Times New Roman"/>
          <w:noProof/>
          <w:sz w:val="24"/>
          <w:szCs w:val="24"/>
          <w:lang w:val="sr-Latn-RS"/>
        </w:rPr>
        <w:t>, definiše lokalni plan</w:t>
      </w:r>
      <w:r w:rsidR="00727D9E" w:rsidRPr="00615350">
        <w:rPr>
          <w:rFonts w:ascii="Times New Roman" w:hAnsi="Times New Roman" w:cs="Times New Roman"/>
          <w:noProof/>
          <w:sz w:val="24"/>
          <w:szCs w:val="24"/>
          <w:lang w:val="sr-Latn-RS"/>
        </w:rPr>
        <w:t xml:space="preserve"> ne samo kao dokument kojim se analizira postojeće stanje, već i kao operativni planski instrument kojim se definišu budući način organizovanja sistema, potrebna infrastruktura, mjere i aktivnosti, dinamika njihove realizacije i potrebna finansijska sredstva.</w:t>
      </w:r>
    </w:p>
    <w:p w:rsidR="00727D9E" w:rsidRPr="00615350" w:rsidRDefault="00727D9E" w:rsidP="00076FEF">
      <w:pPr>
        <w:rPr>
          <w:rFonts w:ascii="Times New Roman" w:hAnsi="Times New Roman" w:cs="Times New Roman"/>
          <w:b/>
          <w:noProof/>
          <w:sz w:val="24"/>
          <w:szCs w:val="24"/>
          <w:lang w:val="sr-Latn-RS"/>
        </w:rPr>
      </w:pPr>
      <w:r w:rsidRPr="00615350">
        <w:rPr>
          <w:rFonts w:ascii="Times New Roman" w:hAnsi="Times New Roman" w:cs="Times New Roman"/>
          <w:b/>
          <w:noProof/>
          <w:sz w:val="24"/>
          <w:szCs w:val="24"/>
          <w:lang w:val="sr-Latn-RS"/>
        </w:rPr>
        <w:t>Obaveze jedinice lokalne samouprave</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Pored donošenja i sprovođenja Lokalnog plana, Zakon jedinici lokalne samouprave utvrđuje niz neposrednih obaveza od značaja za funkcionisanje sistema upravljanja otpadom. One se, između ostalog, odnose na uređivanje načina odvojenog sakupljanja komunalnog otpada, obezbjeđivanje uslova za upravljanje neopasnim građevinskim otpadom, informisanje i učešće javnosti, praćenje sprovođenja Plana i izvještavanje.</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Za neopasni građevinski otpad, u skladu sa članom 93 Zakona, jedinica lokalne samouprave obezbjeđuje odgovarajuću lokaciju za privremeno skladištenje. Lokacija se određuje u skladu sa propisima kojima se uređuje planiranje prostora i izgradnja objekata, dok subjekta koji upravlja privremenim skladištem određuje skupština jedinice lokalne samouprave. Lokacija mora ispunjavati Zakonom propisane uslove u pogledu uređenja, kontrole prijema i evidencije otpada.</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Zakon omogućava da dvije ili više jedinica lokalne samouprave zajednički obezbijede upravljanje komunalnim i neopasnim građevinskim otpadom, što je od posebnog značaja u kontekstu regionalnog koncepta upravljanja otpadom definisanog Državnim planom.</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 xml:space="preserve">U postupku izrade Lokalnog plana obezbjeđuje se učešće javnosti. </w:t>
      </w:r>
      <w:r w:rsidR="002875A2" w:rsidRPr="00615350">
        <w:rPr>
          <w:rFonts w:ascii="Times New Roman" w:hAnsi="Times New Roman" w:cs="Times New Roman"/>
          <w:noProof/>
          <w:sz w:val="24"/>
          <w:szCs w:val="24"/>
          <w:lang w:val="sr-Latn-RS"/>
        </w:rPr>
        <w:t>Za jedinice lokalne samouprave na čijoj se teritoriji jednim dijelom nalaze zaštićena područja, nacrt lokalnog plana dostavlja se na mišljenje pravnom licu koje upravlja tim područjem, koje mišljenje daje u roku od 15 dana od dana prijema nacrta</w:t>
      </w:r>
      <w:r w:rsidRPr="00615350">
        <w:rPr>
          <w:rFonts w:ascii="Times New Roman" w:hAnsi="Times New Roman" w:cs="Times New Roman"/>
          <w:noProof/>
          <w:sz w:val="24"/>
          <w:szCs w:val="24"/>
          <w:lang w:val="sr-Latn-RS"/>
        </w:rPr>
        <w:t>.</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 xml:space="preserve">Za sprovođenje lokalnog plana odgovoran je gradonačelnik, odnosno predsjednik jedinice lokalne samouprave. Za sprovođenje </w:t>
      </w:r>
      <w:r w:rsidR="00295959" w:rsidRPr="00615350">
        <w:rPr>
          <w:rFonts w:ascii="Times New Roman" w:hAnsi="Times New Roman" w:cs="Times New Roman"/>
          <w:noProof/>
          <w:sz w:val="24"/>
          <w:szCs w:val="24"/>
          <w:lang w:val="sr-Latn-RS"/>
        </w:rPr>
        <w:t xml:space="preserve">ovog </w:t>
      </w:r>
      <w:r w:rsidRPr="00615350">
        <w:rPr>
          <w:rFonts w:ascii="Times New Roman" w:hAnsi="Times New Roman" w:cs="Times New Roman"/>
          <w:noProof/>
          <w:sz w:val="24"/>
          <w:szCs w:val="24"/>
          <w:lang w:val="sr-Latn-RS"/>
        </w:rPr>
        <w:t xml:space="preserve">Lokalnog plana odgovoran je predsjednik Opštine, </w:t>
      </w:r>
      <w:r w:rsidRPr="00615350">
        <w:rPr>
          <w:rFonts w:ascii="Times New Roman" w:hAnsi="Times New Roman" w:cs="Times New Roman"/>
          <w:noProof/>
          <w:sz w:val="24"/>
          <w:szCs w:val="24"/>
          <w:lang w:val="sr-Latn-RS"/>
        </w:rPr>
        <w:lastRenderedPageBreak/>
        <w:t>dok se konkretni nosioci i partneri u realizaciji pojedinačnih mjera i aktivnosti utvrđuju Akcionim planom u skladu sa njihovim nadležnostima.</w:t>
      </w:r>
    </w:p>
    <w:p w:rsidR="00727D9E" w:rsidRPr="00615350" w:rsidRDefault="00727D9E" w:rsidP="00076FEF">
      <w:pPr>
        <w:rPr>
          <w:rFonts w:ascii="Times New Roman" w:hAnsi="Times New Roman" w:cs="Times New Roman"/>
          <w:b/>
          <w:noProof/>
          <w:sz w:val="24"/>
          <w:szCs w:val="24"/>
          <w:lang w:val="sr-Latn-RS"/>
        </w:rPr>
      </w:pPr>
      <w:r w:rsidRPr="00615350">
        <w:rPr>
          <w:rFonts w:ascii="Times New Roman" w:hAnsi="Times New Roman" w:cs="Times New Roman"/>
          <w:b/>
          <w:noProof/>
          <w:sz w:val="24"/>
          <w:szCs w:val="24"/>
          <w:lang w:val="sr-Latn-RS"/>
        </w:rPr>
        <w:t>Rok za donošenje i praćenje sprovođenja Lokalnog plana</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Prelaznim odredbama Zakona propisano je da se novi lokalni planovi upravljanja otpadom donesu u roku od devet mjeseci od dana donošenja Državnog plana, dok se ranije doneseni lokalni planovi primjenjuju do donošenja novih planova u skladu sa članom 30 Zakona.</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Državni plan upravljanja otpadom za period 2025–2029. godine objavljen je u „Službenom listu Crne Gore“, br. 025/26 od 27. februara 2026. godine, čime je uspostavljen novi planski okvir za donošenje i usklađivanje lokalnih planova upravljanja otpadom.</w:t>
      </w:r>
    </w:p>
    <w:p w:rsidR="00727D9E" w:rsidRPr="00615350" w:rsidRDefault="000E5077"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Sprovođenje Lokalnog plana i izvršavanje obaveza jedinice lokalne samouprave u oblasti upravljanja otpadom podliježu inspekcijskom nadzoru u skladu sa Zakonom</w:t>
      </w:r>
      <w:r w:rsidR="00727D9E" w:rsidRPr="00615350">
        <w:rPr>
          <w:rFonts w:ascii="Times New Roman" w:hAnsi="Times New Roman" w:cs="Times New Roman"/>
          <w:noProof/>
          <w:sz w:val="24"/>
          <w:szCs w:val="24"/>
          <w:lang w:val="sr-Latn-RS"/>
        </w:rPr>
        <w:t>.</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Praćenje realizacije Plana obezbjeđuje se i kroz godišnje izvještavanje. Godišnji izvještaj o sprovođenju lokalnog plana razmatra i usvaja skupština jedinice lokalne samouprave najkasnije do 31. marta tekuće godine za prethodnu godinu.</w:t>
      </w:r>
    </w:p>
    <w:p w:rsidR="00727D9E" w:rsidRPr="00615350" w:rsidRDefault="00727D9E" w:rsidP="00900448">
      <w:pPr>
        <w:jc w:val="both"/>
        <w:rPr>
          <w:rFonts w:ascii="Times New Roman" w:hAnsi="Times New Roman" w:cs="Times New Roman"/>
          <w:noProof/>
          <w:sz w:val="24"/>
          <w:szCs w:val="24"/>
          <w:lang w:val="sr-Latn-RS"/>
        </w:rPr>
      </w:pPr>
      <w:r w:rsidRPr="00615350">
        <w:rPr>
          <w:rFonts w:ascii="Times New Roman" w:hAnsi="Times New Roman" w:cs="Times New Roman"/>
          <w:noProof/>
          <w:sz w:val="24"/>
          <w:szCs w:val="24"/>
          <w:lang w:val="sr-Latn-RS"/>
        </w:rPr>
        <w:t xml:space="preserve">Ovako postavljen zakonski okvir predstavlja osnovu za definisanje ciljeva, mjera i aktivnosti Lokalnog plana upravljanja komunalnim i neopasnim građevinskim otpadom </w:t>
      </w:r>
      <w:r w:rsidR="00295959" w:rsidRPr="00615350">
        <w:rPr>
          <w:rFonts w:ascii="Times New Roman" w:hAnsi="Times New Roman" w:cs="Times New Roman"/>
          <w:noProof/>
          <w:sz w:val="24"/>
          <w:szCs w:val="24"/>
          <w:lang w:val="sr-Latn-RS"/>
        </w:rPr>
        <w:t>o</w:t>
      </w:r>
      <w:r w:rsidRPr="00615350">
        <w:rPr>
          <w:rFonts w:ascii="Times New Roman" w:hAnsi="Times New Roman" w:cs="Times New Roman"/>
          <w:noProof/>
          <w:sz w:val="24"/>
          <w:szCs w:val="24"/>
          <w:lang w:val="sr-Latn-RS"/>
        </w:rPr>
        <w:t>pštine Berane za period 2026–2029. godine. Konkretna primjena zakonskih obaveza na postojeći sistem Opštine Berane, uključujući stanje infrastrukture, usklađenost lokalnih propisa, postupanje sa pojedinim tokovima otpada i stepen realizacije ranije planiranih mjera, razmatra se u narednim poglavljima Plana.</w:t>
      </w:r>
    </w:p>
    <w:p w:rsidR="00C91256" w:rsidRPr="00615350" w:rsidRDefault="00C91256" w:rsidP="00900448">
      <w:pPr>
        <w:pStyle w:val="Heading2"/>
        <w:rPr>
          <w:rFonts w:eastAsia="Times New Roman"/>
          <w:noProof/>
          <w:lang w:val="sr-Latn-RS"/>
        </w:rPr>
      </w:pPr>
      <w:bookmarkStart w:id="8" w:name="_Toc240282267"/>
      <w:r w:rsidRPr="00615350">
        <w:rPr>
          <w:rFonts w:eastAsia="Times New Roman"/>
          <w:noProof/>
          <w:lang w:val="sr-Latn-RS"/>
        </w:rPr>
        <w:t>2.2. Strateški i planski okvir</w:t>
      </w:r>
      <w:bookmarkEnd w:id="8"/>
    </w:p>
    <w:p w:rsidR="00C91256"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Strateški i planski okvir za izradu Lokalnog plana upravljanja komunalnim i </w:t>
      </w:r>
      <w:r w:rsidR="00295959" w:rsidRPr="00615350">
        <w:rPr>
          <w:rFonts w:ascii="Times New Roman" w:eastAsia="Times New Roman" w:hAnsi="Times New Roman" w:cs="Times New Roman"/>
          <w:noProof/>
          <w:sz w:val="24"/>
          <w:szCs w:val="24"/>
          <w:lang w:val="sr-Latn-RS"/>
        </w:rPr>
        <w:t>neopasnim građevinskim otpadom o</w:t>
      </w:r>
      <w:r w:rsidRPr="00615350">
        <w:rPr>
          <w:rFonts w:ascii="Times New Roman" w:eastAsia="Times New Roman" w:hAnsi="Times New Roman" w:cs="Times New Roman"/>
          <w:noProof/>
          <w:sz w:val="24"/>
          <w:szCs w:val="24"/>
          <w:lang w:val="sr-Latn-RS"/>
        </w:rPr>
        <w:t>pštine Berane za period 2026–2029. godine čine prvenstveno Državni plan upravljanja otpadom za period 2025–2029. godine i Strategija upravljanja otpadom Crne Gore do 2030. godine. Lokalni plan predstavlja instrument kojim se ciljevi i mjere utvrđeni na državnom nivou razrađuju i prilagođavaju uslovima, potrebama i mogućnostima Opštine Berane</w:t>
      </w:r>
      <w:r w:rsidR="00C91256" w:rsidRPr="00615350">
        <w:rPr>
          <w:rFonts w:ascii="Times New Roman" w:eastAsia="Times New Roman" w:hAnsi="Times New Roman" w:cs="Times New Roman"/>
          <w:noProof/>
          <w:sz w:val="24"/>
          <w:szCs w:val="24"/>
          <w:lang w:val="sr-Latn-RS"/>
        </w:rPr>
        <w:t>.</w:t>
      </w:r>
    </w:p>
    <w:p w:rsidR="00C91256" w:rsidRPr="00615350" w:rsidRDefault="00C91256" w:rsidP="00900448">
      <w:pPr>
        <w:pStyle w:val="Heading3"/>
        <w:rPr>
          <w:rFonts w:eastAsia="Times New Roman"/>
          <w:noProof/>
          <w:lang w:val="sr-Latn-RS"/>
        </w:rPr>
      </w:pPr>
      <w:bookmarkStart w:id="9" w:name="_Toc240282268"/>
      <w:r w:rsidRPr="00615350">
        <w:rPr>
          <w:rFonts w:eastAsia="Times New Roman"/>
          <w:noProof/>
          <w:lang w:val="sr-Latn-RS"/>
        </w:rPr>
        <w:t>2.2.1. Državni plan upravljanja otpadom za period 2025–2029. godine</w:t>
      </w:r>
      <w:bookmarkEnd w:id="9"/>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Državni plan upravljanja otpadom za period 2025–2029. godine </w:t>
      </w:r>
      <w:r w:rsidR="00295959" w:rsidRPr="00615350">
        <w:rPr>
          <w:rFonts w:ascii="Times New Roman" w:eastAsia="Times New Roman" w:hAnsi="Times New Roman" w:cs="Times New Roman"/>
          <w:noProof/>
          <w:sz w:val="24"/>
          <w:szCs w:val="24"/>
          <w:lang w:val="sr-Latn-RS"/>
        </w:rPr>
        <w:t xml:space="preserve">(DPUO) </w:t>
      </w:r>
      <w:r w:rsidRPr="00615350">
        <w:rPr>
          <w:rFonts w:ascii="Times New Roman" w:eastAsia="Times New Roman" w:hAnsi="Times New Roman" w:cs="Times New Roman"/>
          <w:noProof/>
          <w:sz w:val="24"/>
          <w:szCs w:val="24"/>
          <w:lang w:val="sr-Latn-RS"/>
        </w:rPr>
        <w:t>predstavlja osnovni planski dokument za razvoj sistema upravljanja otpadom u Crnoj Gori i neposredni planski okvir sa kojim lokalni planovi upravljanja komunalnim i neopasnim građevinskim otpadom moraju biti usaglašeni. Plan je pripremljen u skladu sa Zakonom o upravljanju otpadom i relevantnim zahtjevima pravne tekovine Evropske unije u oblasti upravljanja otpadom.</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Osnovno usmjerenje Državnog plana jeste razvoj funkcionalnog i regionalno organizovanog sistema upravljanja otpadom, uz postepeni prelazak sa sistema dominantno zasnovanog na sakupljanju i odlaganju otpada na sistem zasnovan na primjeni hijerarhije upravljanja </w:t>
      </w:r>
      <w:r w:rsidRPr="00615350">
        <w:rPr>
          <w:rFonts w:ascii="Times New Roman" w:eastAsia="Times New Roman" w:hAnsi="Times New Roman" w:cs="Times New Roman"/>
          <w:noProof/>
          <w:sz w:val="24"/>
          <w:szCs w:val="24"/>
          <w:lang w:val="sr-Latn-RS"/>
        </w:rPr>
        <w:lastRenderedPageBreak/>
        <w:t>otpadom i principima cirkularne ekonomije. Prioritet se daje sprječavanju nastanka otpada, odvojenom sakupljanju, pripremi za ponovnu upotrebu, reciklaži i drugim postupcima prerade, uz smanjenje količine otpada koja se konačno odlaže.</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Za jedinice lokalne samouprave posebno su značajni ciljevi i mjere DPUO koji se odnose na razvoj sistema odvojenog sakupljanja, povećanje pripreme</w:t>
      </w:r>
      <w:r w:rsidR="00295959" w:rsidRPr="00615350">
        <w:rPr>
          <w:rFonts w:ascii="Times New Roman" w:eastAsia="Times New Roman" w:hAnsi="Times New Roman" w:cs="Times New Roman"/>
          <w:noProof/>
          <w:sz w:val="24"/>
          <w:szCs w:val="24"/>
          <w:lang w:val="sr-Latn-RS"/>
        </w:rPr>
        <w:t xml:space="preserve"> za ponovnu upotrebu i reciklažu</w:t>
      </w:r>
      <w:r w:rsidRPr="00615350">
        <w:rPr>
          <w:rFonts w:ascii="Times New Roman" w:eastAsia="Times New Roman" w:hAnsi="Times New Roman" w:cs="Times New Roman"/>
          <w:noProof/>
          <w:sz w:val="24"/>
          <w:szCs w:val="24"/>
          <w:lang w:val="sr-Latn-RS"/>
        </w:rPr>
        <w:t>, upravljanje biootpadom, smanjenje količine otpada koji se odlaže, sanaciju neuređenih odlagališta i razvoj potrebne infrastrukture. Primarna selekcija komunalnog otpada predviđena je na nivou lokalnih samouprava, nakon čega se odgovarajući tokovi otpada usmjeravaju ka infrastrukturi regionalnih centara.</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Poseban značaj za lokalni nivo ima razvoj sistema odvojenog sakupljanja reciklabilnih materijala i biootpada, kao osnovnog preduslova za ostvarivanje zakonskih i planskih ciljeva pripreme za ponovnu upotrebu i reciklaže. DPUO predviđa postepeno povećavanje odvojenog sakupljanja pojedinih tokova otpada i smanjivanje količine otpada koja se upućuje na odlaganje.</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Jedno od značajnih opredjeljenja DPUO odnosi se na rješavanje problema neuređenih odlagališta. Kao poseban cilj utvrđeno je stvaranje društva „bez neuređenih odlagališta otpada“, kroz sprječavanje nastanka novih neuređenih odlagališta, zatvaranje postojećih i njihovu sanaciju prema utvrđenim prioritetima. Ovo opredjeljenje je posebno značajno za </w:t>
      </w:r>
      <w:r w:rsidR="008C64AF" w:rsidRPr="00615350">
        <w:rPr>
          <w:rFonts w:ascii="Times New Roman" w:eastAsia="Times New Roman" w:hAnsi="Times New Roman" w:cs="Times New Roman"/>
          <w:noProof/>
          <w:sz w:val="24"/>
          <w:szCs w:val="24"/>
          <w:lang w:val="sr-Latn-RS"/>
        </w:rPr>
        <w:t>o</w:t>
      </w:r>
      <w:r w:rsidRPr="00615350">
        <w:rPr>
          <w:rFonts w:ascii="Times New Roman" w:eastAsia="Times New Roman" w:hAnsi="Times New Roman" w:cs="Times New Roman"/>
          <w:noProof/>
          <w:sz w:val="24"/>
          <w:szCs w:val="24"/>
          <w:lang w:val="sr-Latn-RS"/>
        </w:rPr>
        <w:t>pštinu Berane, imajući u vidu broj i prostorni raspored evidentiranih neuređenih odlagališta na njenoj teritoriji.</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Za realizaciju utvrđenih ciljeva</w:t>
      </w:r>
      <w:r w:rsidR="008C64AF" w:rsidRPr="00615350">
        <w:rPr>
          <w:rFonts w:ascii="Times New Roman" w:eastAsia="Times New Roman" w:hAnsi="Times New Roman" w:cs="Times New Roman"/>
          <w:noProof/>
          <w:sz w:val="24"/>
          <w:szCs w:val="24"/>
          <w:lang w:val="sr-Latn-RS"/>
        </w:rPr>
        <w:t>,</w:t>
      </w:r>
      <w:r w:rsidRPr="00615350">
        <w:rPr>
          <w:rFonts w:ascii="Times New Roman" w:eastAsia="Times New Roman" w:hAnsi="Times New Roman" w:cs="Times New Roman"/>
          <w:noProof/>
          <w:sz w:val="24"/>
          <w:szCs w:val="24"/>
          <w:lang w:val="sr-Latn-RS"/>
        </w:rPr>
        <w:t xml:space="preserve"> DPUO predviđa razvoj odgovarajuće infrastrukture i opreme, uključujući regionalne centre za upravljanje otpadom, postrojenja za sortiranje i tretman, transfer stanice, reciklažne centre i drugu infrastrukturu potrebnu za odvojeno sakupljanje i preradu otpada. Finansiranje planiranih mjera zasniva se na kombinovanju državnog i lokalnih budžeta, donatorskih sredstava, međunarodnih finansijskih institucija i drugih raspoloživih izvora.</w:t>
      </w:r>
    </w:p>
    <w:p w:rsidR="000E5077" w:rsidRPr="00615350" w:rsidRDefault="000E5077" w:rsidP="00076FEF">
      <w:pPr>
        <w:rPr>
          <w:rFonts w:ascii="Times New Roman" w:hAnsi="Times New Roman" w:cs="Times New Roman"/>
          <w:b/>
          <w:noProof/>
          <w:sz w:val="24"/>
          <w:lang w:val="sr-Latn-RS"/>
        </w:rPr>
      </w:pPr>
      <w:r w:rsidRPr="00615350">
        <w:rPr>
          <w:rFonts w:ascii="Times New Roman" w:hAnsi="Times New Roman" w:cs="Times New Roman"/>
          <w:b/>
          <w:noProof/>
          <w:sz w:val="24"/>
          <w:lang w:val="sr-Latn-RS"/>
        </w:rPr>
        <w:t>Položaj Opštine Berane u regionalnom sistemu</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Od posebnog značaja za Lokalni plan </w:t>
      </w:r>
      <w:r w:rsidR="008C64AF" w:rsidRPr="00615350">
        <w:rPr>
          <w:rFonts w:ascii="Times New Roman" w:eastAsia="Times New Roman" w:hAnsi="Times New Roman" w:cs="Times New Roman"/>
          <w:noProof/>
          <w:sz w:val="24"/>
          <w:szCs w:val="24"/>
          <w:lang w:val="sr-Latn-RS"/>
        </w:rPr>
        <w:t>o</w:t>
      </w:r>
      <w:r w:rsidRPr="00615350">
        <w:rPr>
          <w:rFonts w:ascii="Times New Roman" w:eastAsia="Times New Roman" w:hAnsi="Times New Roman" w:cs="Times New Roman"/>
          <w:noProof/>
          <w:sz w:val="24"/>
          <w:szCs w:val="24"/>
          <w:lang w:val="sr-Latn-RS"/>
        </w:rPr>
        <w:t>pštine Berane je koncept regionalizacije sistema upravljanja otpadom. DPUO predviđa uspostavljanje sjevernog regionalnog sistema upravljanja otpadom sa Regionalnim centrom za upravljanje otpadom u Bijelom Polju.</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Sjeverni regionalni sistem obuhvata opštine Andrijevica, Berane, Bijelo Polje, Gusinje, Kolašin, Mojkovac, Petnjica, Plav, Pljevlja i R</w:t>
      </w:r>
      <w:r w:rsidR="001320C1" w:rsidRPr="00615350">
        <w:rPr>
          <w:rFonts w:ascii="Times New Roman" w:eastAsia="Times New Roman" w:hAnsi="Times New Roman" w:cs="Times New Roman"/>
          <w:noProof/>
          <w:sz w:val="24"/>
          <w:szCs w:val="24"/>
          <w:lang w:val="sr-Latn-RS"/>
        </w:rPr>
        <w:t>ožaje. Za 2029. godinu DPUO za o</w:t>
      </w:r>
      <w:r w:rsidRPr="00615350">
        <w:rPr>
          <w:rFonts w:ascii="Times New Roman" w:eastAsia="Times New Roman" w:hAnsi="Times New Roman" w:cs="Times New Roman"/>
          <w:noProof/>
          <w:sz w:val="24"/>
          <w:szCs w:val="24"/>
          <w:lang w:val="sr-Latn-RS"/>
        </w:rPr>
        <w:t>pštinu Berane projektuje 26.242 stanovnika i 11.957 t komunalnog otpada godišnje.</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U okviru Regionalnog centra u Bijelom Polju predviđeni su postrojenje za povrat materijala – MRF</w:t>
      </w:r>
      <w:r w:rsidR="001320C1" w:rsidRPr="00615350">
        <w:rPr>
          <w:rFonts w:ascii="Times New Roman" w:eastAsia="Times New Roman" w:hAnsi="Times New Roman" w:cs="Times New Roman"/>
          <w:noProof/>
          <w:sz w:val="24"/>
          <w:szCs w:val="24"/>
          <w:lang w:val="sr-Latn-RS"/>
        </w:rPr>
        <w:t>,</w:t>
      </w:r>
      <w:r w:rsidRPr="00615350">
        <w:rPr>
          <w:rFonts w:ascii="Times New Roman" w:eastAsia="Times New Roman" w:hAnsi="Times New Roman" w:cs="Times New Roman"/>
          <w:noProof/>
          <w:sz w:val="24"/>
          <w:szCs w:val="24"/>
          <w:lang w:val="sr-Latn-RS"/>
        </w:rPr>
        <w:t xml:space="preserve"> kapaciteta 13.980 t/god., postrojenje za kompostiranje odvojeno sakupljenog biološkog otpada kapaciteta 5.069 t/god., postrojenje za mehaničko-biološki tretman rezidualnog otpada </w:t>
      </w:r>
      <w:r w:rsidRPr="00615350">
        <w:rPr>
          <w:rFonts w:ascii="Times New Roman" w:eastAsia="Times New Roman" w:hAnsi="Times New Roman" w:cs="Times New Roman"/>
          <w:noProof/>
          <w:sz w:val="24"/>
          <w:szCs w:val="24"/>
          <w:lang w:val="sr-Latn-RS"/>
        </w:rPr>
        <w:lastRenderedPageBreak/>
        <w:t>kapaciteta 49.804 t/god. i deponija kapaciteta 34.257 t/god. Istovremeno, DPUO za Berane predviđa planirani reciklažni centar kao dio infrastrukture sjevernog regionalnog sistema.</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Primarna selekcija komunalnog otpada predviđena je na nivou lokalne samouprave, nakon čega se odgovarajući tokovi otpada usmjeravaju ka regionalnom sistemu. Za Opštinu Berane to znači da uspostavljanje Regionalnog centra u Bijelom Polju ne zamjenjuje obaveze Opštine u pogledu organizovanja sakupljanja i primarne selekcije, već zahtijeva razvoj lokalne infrastrukture i organizacije sistema koji će omogućiti odvojeno sakupljanje i odgovarajuće usmjeravanje pojedinih tokova otpada.</w:t>
      </w:r>
    </w:p>
    <w:p w:rsidR="000E5077" w:rsidRPr="00615350" w:rsidRDefault="00223D45"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Državnim planom </w:t>
      </w:r>
      <w:r w:rsidR="001320C1" w:rsidRPr="00615350">
        <w:rPr>
          <w:rFonts w:ascii="Times New Roman" w:eastAsia="Times New Roman" w:hAnsi="Times New Roman" w:cs="Times New Roman"/>
          <w:noProof/>
          <w:sz w:val="24"/>
          <w:szCs w:val="24"/>
          <w:lang w:val="sr-Latn-RS"/>
        </w:rPr>
        <w:t xml:space="preserve">je </w:t>
      </w:r>
      <w:r w:rsidRPr="00615350">
        <w:rPr>
          <w:rFonts w:ascii="Times New Roman" w:eastAsia="Times New Roman" w:hAnsi="Times New Roman" w:cs="Times New Roman"/>
          <w:noProof/>
          <w:sz w:val="24"/>
          <w:szCs w:val="24"/>
          <w:lang w:val="sr-Latn-RS"/>
        </w:rPr>
        <w:t>planirano da regionalni centri za upravljanje otpadom budu izgrađeni i pušteni u rad do kraja 2026. godine. Uspostavljanje regionalnog sistema povezano je sa prestankom korišćenja postojećih neodgovarajućih lokacija za odlaganje, odnosno privremeno skladištenje otpada i njihovom sanacijom u skladu sa planskim i zakonskim zahtjevima</w:t>
      </w:r>
      <w:r w:rsidR="000E5077" w:rsidRPr="00615350">
        <w:rPr>
          <w:rFonts w:ascii="Times New Roman" w:eastAsia="Times New Roman" w:hAnsi="Times New Roman" w:cs="Times New Roman"/>
          <w:noProof/>
          <w:sz w:val="24"/>
          <w:szCs w:val="24"/>
          <w:lang w:val="sr-Latn-RS"/>
        </w:rPr>
        <w:t>.</w:t>
      </w:r>
    </w:p>
    <w:p w:rsidR="000E5077" w:rsidRPr="00615350" w:rsidRDefault="000E5077"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Za Opštinu Berane ovo plansko opredjeljenje predstavlja osnovu za planiranje tranzicije sa postojećeg sistema privremenog skladištenja komunalnog otpada na lokaciji „Rujiške laze“ ka regionalno organizovanom sistemu upravljanja otpadom. Dinamika ove tranzicije mora biti usklađena sa stvarnim tokom realizacije Regionalnog centra Bijelo Polje i stavljanjem planirane regionalne infrastrukture u funkciju, kao i sa obezbjeđivanjem tehničkih, organizacionih i finansijskih uslova za transport i prijem otpada iz Berana.</w:t>
      </w:r>
    </w:p>
    <w:p w:rsidR="00223D45" w:rsidRPr="00615350" w:rsidRDefault="00223D45" w:rsidP="00076FEF">
      <w:pPr>
        <w:rPr>
          <w:rFonts w:ascii="Times New Roman" w:hAnsi="Times New Roman" w:cs="Times New Roman"/>
          <w:b/>
          <w:sz w:val="24"/>
        </w:rPr>
      </w:pPr>
      <w:r w:rsidRPr="00615350">
        <w:rPr>
          <w:rFonts w:ascii="Times New Roman" w:hAnsi="Times New Roman" w:cs="Times New Roman"/>
          <w:b/>
          <w:sz w:val="24"/>
        </w:rPr>
        <w:t>Planirana lokalna infrastruktura u Beranama</w:t>
      </w:r>
    </w:p>
    <w:p w:rsidR="00223D45" w:rsidRPr="00615350" w:rsidRDefault="00223D4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Pored uključivanja Opštine Berane u sjeverni regionalni sistem upravljanja otpadom, DPUO predviđa razvoj infrastrukture na teritoriji same opštine. U prikazu predložene infrastrukture za sjeverni region za </w:t>
      </w:r>
      <w:r w:rsidRPr="00615350">
        <w:rPr>
          <w:rFonts w:ascii="Times New Roman" w:eastAsia="Times New Roman" w:hAnsi="Times New Roman" w:cs="Times New Roman"/>
          <w:bCs/>
          <w:sz w:val="24"/>
          <w:szCs w:val="24"/>
        </w:rPr>
        <w:t>Berane je planiran reciklažni centar</w:t>
      </w:r>
      <w:r w:rsidRPr="00615350">
        <w:rPr>
          <w:rFonts w:ascii="Times New Roman" w:eastAsia="Times New Roman" w:hAnsi="Times New Roman" w:cs="Times New Roman"/>
          <w:sz w:val="24"/>
          <w:szCs w:val="24"/>
        </w:rPr>
        <w:t xml:space="preserve">. </w:t>
      </w:r>
    </w:p>
    <w:p w:rsidR="00223D45" w:rsidRPr="00615350" w:rsidRDefault="00223D4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Razvoj reciklažnog centra treba posmatrati kao dio lokalne infrastrukture koja omogućava unapređenje odvojenog sakupljanja i upravljanja pojedinim tokovima otpada prije njihovog daljeg usmjeravanja ka odgovarajućim postupcima ponovne upotrebe, reciklaže, prerade ili regionalnom sistemu. Konkretna funkcija, sadržaj i kapacitet planiranog reciklažnog centra u Beranama biće detaljnije razmotreni u dijelu Lokalnog plana koji se odnosi na planiranu infrastrukturu, uz uvažavanje DPUO, raspoložive projektne dokumentacije i aktuelnih podataka Opštine Berane.</w:t>
      </w:r>
    </w:p>
    <w:p w:rsidR="00223D45" w:rsidRDefault="00223D4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razliku od </w:t>
      </w:r>
      <w:r w:rsidRPr="00615350">
        <w:rPr>
          <w:rFonts w:ascii="Times New Roman" w:eastAsia="Times New Roman" w:hAnsi="Times New Roman" w:cs="Times New Roman"/>
          <w:bCs/>
          <w:sz w:val="24"/>
          <w:szCs w:val="24"/>
        </w:rPr>
        <w:t>Rožaja i Pljevalja</w:t>
      </w:r>
      <w:r w:rsidRPr="00615350">
        <w:rPr>
          <w:rFonts w:ascii="Times New Roman" w:eastAsia="Times New Roman" w:hAnsi="Times New Roman" w:cs="Times New Roman"/>
          <w:sz w:val="24"/>
          <w:szCs w:val="24"/>
        </w:rPr>
        <w:t xml:space="preserve">, za koje DPUO u okviru predložene infrastrukture sjevernog regiona navodi planirane transfer stanice, za </w:t>
      </w:r>
      <w:r w:rsidRPr="00615350">
        <w:rPr>
          <w:rFonts w:ascii="Times New Roman" w:eastAsia="Times New Roman" w:hAnsi="Times New Roman" w:cs="Times New Roman"/>
          <w:bCs/>
          <w:sz w:val="24"/>
          <w:szCs w:val="24"/>
        </w:rPr>
        <w:t>Berane je naveden reciklažni centar</w:t>
      </w:r>
      <w:r w:rsidRPr="00615350">
        <w:rPr>
          <w:rFonts w:ascii="Times New Roman" w:eastAsia="Times New Roman" w:hAnsi="Times New Roman" w:cs="Times New Roman"/>
          <w:b/>
          <w:bCs/>
          <w:sz w:val="24"/>
          <w:szCs w:val="24"/>
        </w:rPr>
        <w:t xml:space="preserve">, </w:t>
      </w:r>
      <w:r w:rsidRPr="00615350">
        <w:rPr>
          <w:rFonts w:ascii="Times New Roman" w:eastAsia="Times New Roman" w:hAnsi="Times New Roman" w:cs="Times New Roman"/>
          <w:bCs/>
          <w:sz w:val="24"/>
          <w:szCs w:val="24"/>
        </w:rPr>
        <w:t>a ne posebna transfer stanica</w:t>
      </w:r>
      <w:r w:rsidRPr="00615350">
        <w:rPr>
          <w:rFonts w:ascii="Times New Roman" w:eastAsia="Times New Roman" w:hAnsi="Times New Roman" w:cs="Times New Roman"/>
          <w:sz w:val="24"/>
          <w:szCs w:val="24"/>
        </w:rPr>
        <w:t>. Ova činjenica je značajna prilikom razmatranja ranijih lokalnih planskih i projektnih rješenja i definisanja infrastrukture koja će se razvijati tokom perioda važenja ovog Plana.</w:t>
      </w:r>
    </w:p>
    <w:p w:rsidR="00615350" w:rsidRPr="00615350" w:rsidRDefault="00615350" w:rsidP="00900448">
      <w:pPr>
        <w:spacing w:before="100" w:beforeAutospacing="1" w:after="100" w:afterAutospacing="1"/>
        <w:jc w:val="both"/>
        <w:rPr>
          <w:rFonts w:ascii="Times New Roman" w:eastAsia="Times New Roman" w:hAnsi="Times New Roman" w:cs="Times New Roman"/>
          <w:sz w:val="24"/>
          <w:szCs w:val="24"/>
        </w:rPr>
      </w:pPr>
    </w:p>
    <w:p w:rsidR="00223D45" w:rsidRPr="00615350" w:rsidRDefault="00223D45" w:rsidP="00A10007">
      <w:pPr>
        <w:rPr>
          <w:rFonts w:ascii="Times New Roman" w:hAnsi="Times New Roman" w:cs="Times New Roman"/>
          <w:b/>
          <w:sz w:val="24"/>
        </w:rPr>
      </w:pPr>
      <w:r w:rsidRPr="00615350">
        <w:rPr>
          <w:rFonts w:ascii="Times New Roman" w:hAnsi="Times New Roman" w:cs="Times New Roman"/>
          <w:b/>
          <w:sz w:val="24"/>
        </w:rPr>
        <w:lastRenderedPageBreak/>
        <w:t>Sprječavanje nastanka otpada i cirkularna ekonomija</w:t>
      </w:r>
    </w:p>
    <w:p w:rsidR="00223D45" w:rsidRPr="00615350" w:rsidRDefault="00223D4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Važan sastavni dio DPUO predstavlja </w:t>
      </w:r>
      <w:r w:rsidRPr="00615350">
        <w:rPr>
          <w:rFonts w:ascii="Times New Roman" w:eastAsia="Times New Roman" w:hAnsi="Times New Roman" w:cs="Times New Roman"/>
          <w:bCs/>
          <w:sz w:val="24"/>
          <w:szCs w:val="24"/>
        </w:rPr>
        <w:t>Program sprječavanja nastanka otpada</w:t>
      </w:r>
      <w:r w:rsidRPr="00615350">
        <w:rPr>
          <w:rFonts w:ascii="Times New Roman" w:eastAsia="Times New Roman" w:hAnsi="Times New Roman" w:cs="Times New Roman"/>
          <w:sz w:val="24"/>
          <w:szCs w:val="24"/>
        </w:rPr>
        <w:t>, kojim se definišu mjere usmjerene na smanjenje nastanka otpada i efikasnije korišćenje resursa. Sprječavanje nastanka otpada predstavlja prvi prioritet u hijerarhiji upravljanja otpadom i podrazumijeva djelovanje prije nego što određeni materijal ili proizvod postane otpad.</w:t>
      </w:r>
    </w:p>
    <w:p w:rsidR="00223D45" w:rsidRPr="00615350" w:rsidRDefault="00223D4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Mjere predviđene DPUO usmjerene su, između ostalog, na podsticanje promjena obrazaca proizvodnje i potrošnje, produžavanje životnog vijeka proizvoda, ponovnu upotrebu, smanjenje nepotrebne potrošnje resursa, informisanje i podizanje svijesti javnosti i postepeni razvoj pristupa u kojem se materijali i proizvodi što duže zadržavaju u upotrebi, u skladu sa principima cirkularne ekonomije.</w:t>
      </w:r>
    </w:p>
    <w:p w:rsidR="00223D45" w:rsidRPr="00615350" w:rsidRDefault="00223D4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Ovakvo plansko usmjerenje zahtijeva da Lokalni plan </w:t>
      </w:r>
      <w:r w:rsidR="00D15DE1" w:rsidRPr="00615350">
        <w:rPr>
          <w:rFonts w:ascii="Times New Roman" w:eastAsia="Times New Roman" w:hAnsi="Times New Roman" w:cs="Times New Roman"/>
          <w:sz w:val="24"/>
          <w:szCs w:val="24"/>
        </w:rPr>
        <w:t>o</w:t>
      </w:r>
      <w:r w:rsidRPr="00615350">
        <w:rPr>
          <w:rFonts w:ascii="Times New Roman" w:eastAsia="Times New Roman" w:hAnsi="Times New Roman" w:cs="Times New Roman"/>
          <w:sz w:val="24"/>
          <w:szCs w:val="24"/>
        </w:rPr>
        <w:t>pštine Berane ne bude ograničen samo na organizovanje sakupljanja, transporta i daljeg postupanja sa već nastalim otpadom, već da obuhvati i konkretne mjere sprječavanja nastanka otpada i ponovne upotrebe. Na lokalnom nivou</w:t>
      </w:r>
      <w:r w:rsidR="00D15DE1" w:rsidRPr="00615350">
        <w:rPr>
          <w:rFonts w:ascii="Times New Roman" w:eastAsia="Times New Roman" w:hAnsi="Times New Roman" w:cs="Times New Roman"/>
          <w:sz w:val="24"/>
          <w:szCs w:val="24"/>
        </w:rPr>
        <w:t>,</w:t>
      </w:r>
      <w:r w:rsidRPr="00615350">
        <w:rPr>
          <w:rFonts w:ascii="Times New Roman" w:eastAsia="Times New Roman" w:hAnsi="Times New Roman" w:cs="Times New Roman"/>
          <w:sz w:val="24"/>
          <w:szCs w:val="24"/>
        </w:rPr>
        <w:t xml:space="preserve"> to podrazumijeva razvoj odgovarajućih programa informisanja i edukacije, podsticanje ponovne upotrebe proizvoda i materijala, kućnog kompostiranja gdje za to postoje odgovarajući uslovi, kao i razvoj sistema odvojenog sakupljanja kojim se materijali pogodni za ponovnu upotrebu i reciklažu izdvajaju iz toka miješanog komunalnog otpada.</w:t>
      </w:r>
    </w:p>
    <w:p w:rsidR="00C91256" w:rsidRPr="00615350" w:rsidRDefault="00C91256" w:rsidP="00900448">
      <w:pPr>
        <w:pStyle w:val="Heading3"/>
        <w:rPr>
          <w:rFonts w:eastAsia="Times New Roman"/>
          <w:noProof/>
          <w:lang w:val="sr-Latn-RS"/>
        </w:rPr>
      </w:pPr>
      <w:bookmarkStart w:id="10" w:name="_Toc240282269"/>
      <w:r w:rsidRPr="00615350">
        <w:rPr>
          <w:rFonts w:eastAsia="Times New Roman"/>
          <w:noProof/>
          <w:lang w:val="sr-Latn-RS"/>
        </w:rPr>
        <w:t>2.2.2. Strategija upravljanja otpadom do 2030. godine</w:t>
      </w:r>
      <w:bookmarkEnd w:id="10"/>
    </w:p>
    <w:p w:rsidR="00916543" w:rsidRPr="00615350" w:rsidRDefault="00916543" w:rsidP="00900448">
      <w:pPr>
        <w:pStyle w:val="pdq2pgselectionanchorcontainer"/>
        <w:spacing w:line="276" w:lineRule="auto"/>
        <w:jc w:val="both"/>
      </w:pPr>
      <w:r w:rsidRPr="00615350">
        <w:t>Strategija upravljanja otpadom Crne Gore do 2030. godine predstavlja dugoročni strateški okvir za razvoj sistema upravljanja otpadom i osnovu za dalje planiranje i unapređenje sistema upravljanja otpadom na državnom i lokalnom nivou.</w:t>
      </w:r>
    </w:p>
    <w:p w:rsidR="00916543" w:rsidRPr="00615350" w:rsidRDefault="00916543" w:rsidP="00900448">
      <w:pPr>
        <w:pStyle w:val="NormalWeb"/>
        <w:spacing w:line="276" w:lineRule="auto"/>
        <w:jc w:val="both"/>
      </w:pPr>
      <w:r w:rsidRPr="00615350">
        <w:t>Strategija se zasniva na principima održivog razvoja, predostrožnosti, „zagađivač plaća“, blizine i hijerarhije upravljanja otpadom, prema kojoj se prioritet daje sprječavanju nastanka otpada, pripremi za ponovnu upotrebu, reciklaži i drugim postupcima prerade, dok odstranjivanje otpada predstavlja posljednju opciju u hijerarhiji upravljanja otpadom.</w:t>
      </w:r>
    </w:p>
    <w:p w:rsidR="00916543" w:rsidRPr="00615350" w:rsidRDefault="00916543" w:rsidP="00900448">
      <w:pPr>
        <w:pStyle w:val="NormalWeb"/>
        <w:spacing w:line="276" w:lineRule="auto"/>
        <w:jc w:val="both"/>
      </w:pPr>
      <w:r w:rsidRPr="00615350">
        <w:t xml:space="preserve">Među ključnim pravcima razvoja sistema Strategija prepoznaje unapređenje primarne i sekundarne selekcije otpada, povećanje ponovne upotrebe i reciklaže, unapređenje upravljanja biorazgradivim otpadom, građevinskim otpadom i kanalizacionim muljem, smanjenje količina otpada koje se odlažu, razvoj odgovarajuće infrastrukture i regionalnog pristupa upravljanju otpadom, kao i jačanje informisanja i svijesti javnosti. Poseban značaj daje se postepenom prelasku sa linearnog modela upravljanja resursima i otpadom ka modelu zasnovanom na principima </w:t>
      </w:r>
      <w:r w:rsidRPr="00615350">
        <w:rPr>
          <w:rStyle w:val="Strong"/>
          <w:rFonts w:eastAsiaTheme="majorEastAsia"/>
          <w:b w:val="0"/>
        </w:rPr>
        <w:t>cirkularne ekonomije</w:t>
      </w:r>
      <w:r w:rsidRPr="00615350">
        <w:t>.</w:t>
      </w:r>
    </w:p>
    <w:p w:rsidR="00916543" w:rsidRPr="00615350" w:rsidRDefault="00916543" w:rsidP="00900448">
      <w:pPr>
        <w:pStyle w:val="NormalWeb"/>
        <w:spacing w:line="276" w:lineRule="auto"/>
        <w:jc w:val="both"/>
      </w:pPr>
      <w:r w:rsidRPr="00615350">
        <w:t>Navedena strateška opredjeljenja predstavlj</w:t>
      </w:r>
      <w:r w:rsidR="008C1121" w:rsidRPr="00615350">
        <w:t xml:space="preserve">aju širi okvir za Lokalni plan </w:t>
      </w:r>
      <w:r w:rsidRPr="00615350">
        <w:t xml:space="preserve">pštine Berane, dok su konkretni ciljevi, mjere, aktivnosti i infrastrukturna rješenja za planski period 2026–2029. godine definisani prvenstveno u skladu sa </w:t>
      </w:r>
      <w:r w:rsidRPr="00615350">
        <w:rPr>
          <w:rStyle w:val="Strong"/>
          <w:rFonts w:eastAsiaTheme="majorEastAsia"/>
          <w:b w:val="0"/>
        </w:rPr>
        <w:t>Zakonom o upravljanju otpadom i Državnim planom upravljanja otpadom za period 2025–2029. godine</w:t>
      </w:r>
      <w:r w:rsidRPr="00615350">
        <w:rPr>
          <w:b/>
        </w:rPr>
        <w:t>.</w:t>
      </w:r>
    </w:p>
    <w:p w:rsidR="00C91256" w:rsidRPr="00615350" w:rsidRDefault="00C91256" w:rsidP="00A10007">
      <w:pPr>
        <w:rPr>
          <w:rFonts w:ascii="Times New Roman" w:hAnsi="Times New Roman" w:cs="Times New Roman"/>
          <w:b/>
          <w:noProof/>
          <w:sz w:val="24"/>
          <w:lang w:val="sr-Latn-RS"/>
        </w:rPr>
      </w:pPr>
      <w:r w:rsidRPr="00615350">
        <w:rPr>
          <w:rFonts w:ascii="Times New Roman" w:hAnsi="Times New Roman" w:cs="Times New Roman"/>
          <w:b/>
          <w:noProof/>
          <w:sz w:val="24"/>
          <w:lang w:val="sr-Latn-RS"/>
        </w:rPr>
        <w:lastRenderedPageBreak/>
        <w:t>Značaj strateškog okvira za Lokalni plan Opštine Berane</w:t>
      </w:r>
    </w:p>
    <w:p w:rsidR="00916543" w:rsidRPr="00615350" w:rsidRDefault="00916543" w:rsidP="00900448">
      <w:pPr>
        <w:pStyle w:val="pdq2pgselectionanchorcontainer"/>
        <w:spacing w:line="276" w:lineRule="auto"/>
        <w:jc w:val="both"/>
      </w:pPr>
      <w:r w:rsidRPr="00615350">
        <w:t xml:space="preserve">Iz navedenog strateškog i planskog okvira proizilaze ključni pravci koje Lokalni plan </w:t>
      </w:r>
      <w:r w:rsidR="00E137BC" w:rsidRPr="00615350">
        <w:t>o</w:t>
      </w:r>
      <w:r w:rsidRPr="00615350">
        <w:t xml:space="preserve">pštine Berane za period 2026–2029. godine treba da operacionalizuje: povećanje obuhvata organizovanim sakupljanjem otpada; razvoj primarne selekcije i odvojenog sakupljanja; stvaranje uslova za povećanje ponovne upotrebe i reciklaže; unapređenje upravljanja biootpadom i neopasnim građevinskim otpadom; razvoj planirane lokalne infrastrukture; sanaciju neuređenih odlagališta i sprječavanje njihovog ponovnog nastanka; </w:t>
      </w:r>
      <w:r w:rsidRPr="00615350">
        <w:rPr>
          <w:rStyle w:val="Strong"/>
          <w:rFonts w:eastAsiaTheme="majorEastAsia"/>
          <w:b w:val="0"/>
        </w:rPr>
        <w:t>planiranje prestanka korišćenja i sanacije lokacije za privremeno skladištenje komunalnog otpada „Rujiške laze“, u skladu sa dinamikom uspostavljanja regionalnog sistema</w:t>
      </w:r>
      <w:r w:rsidRPr="00615350">
        <w:rPr>
          <w:b/>
        </w:rPr>
        <w:t xml:space="preserve">; </w:t>
      </w:r>
      <w:r w:rsidRPr="00615350">
        <w:t>kao i funkcionalno povezivanje lokalnog sistema sa planiranim Regionalnim centrom za upravljanje otpadom u Bijelom Polju.</w:t>
      </w:r>
    </w:p>
    <w:p w:rsidR="00916543" w:rsidRPr="00615350" w:rsidRDefault="00916543" w:rsidP="00900448">
      <w:pPr>
        <w:pStyle w:val="NormalWeb"/>
        <w:spacing w:line="276" w:lineRule="auto"/>
        <w:jc w:val="both"/>
      </w:pPr>
      <w:r w:rsidRPr="00615350">
        <w:t xml:space="preserve">Konkretne ciljeve, mjere i aktivnosti Lokalnog plana potrebno je definisati na osnovu </w:t>
      </w:r>
      <w:r w:rsidRPr="00615350">
        <w:rPr>
          <w:rStyle w:val="Strong"/>
          <w:rFonts w:eastAsiaTheme="majorEastAsia"/>
          <w:b w:val="0"/>
        </w:rPr>
        <w:t>utvrđenog postojećeg stanja, raspoloživih podataka i realnih organizacionih, tehničkih i finansijskih mogućnosti Opštine Berane</w:t>
      </w:r>
      <w:r w:rsidRPr="00615350">
        <w:t>, kako bi bili mjerljivi i ostvarivi u periodu do kraja 2029. godine. Na taj način</w:t>
      </w:r>
      <w:r w:rsidR="00E137BC" w:rsidRPr="00615350">
        <w:t>,</w:t>
      </w:r>
      <w:r w:rsidRPr="00615350">
        <w:t xml:space="preserve"> Lokalni plan predstavlja vezu između zakonskih obaveza i ciljeva i planskih opredjeljenja utvrđenih na državnom nivou, sa jedne strane, i konkretnih organizacionih, infrastrukturnih, finansijskih i edukativnih aktivnosti koje je potrebno sprovesti na teritoriji </w:t>
      </w:r>
      <w:r w:rsidR="00E137BC" w:rsidRPr="00615350">
        <w:t>o</w:t>
      </w:r>
      <w:r w:rsidRPr="00615350">
        <w:t>pštine Berane, sa druge strane</w:t>
      </w:r>
      <w:r w:rsidR="00E137BC" w:rsidRPr="00615350">
        <w:t>.</w:t>
      </w:r>
    </w:p>
    <w:p w:rsidR="00D02E3C" w:rsidRPr="00615350" w:rsidRDefault="00D02E3C" w:rsidP="00900448">
      <w:pPr>
        <w:pStyle w:val="Heading2"/>
        <w:rPr>
          <w:rFonts w:eastAsia="Times New Roman"/>
          <w:noProof/>
          <w:lang w:val="sr-Latn-RS"/>
        </w:rPr>
      </w:pPr>
      <w:bookmarkStart w:id="11" w:name="_Toc240282270"/>
      <w:r w:rsidRPr="00615350">
        <w:rPr>
          <w:rFonts w:eastAsia="Times New Roman"/>
          <w:noProof/>
          <w:lang w:val="sr-Latn-RS"/>
        </w:rPr>
        <w:t>2.3. Lokalni normativni okvir</w:t>
      </w:r>
      <w:bookmarkEnd w:id="11"/>
    </w:p>
    <w:p w:rsidR="00D17EA7" w:rsidRPr="00615350" w:rsidRDefault="00D17EA7" w:rsidP="00900448">
      <w:pPr>
        <w:pStyle w:val="pdq2pgselectionanchorcontainer"/>
        <w:spacing w:line="276" w:lineRule="auto"/>
        <w:jc w:val="both"/>
      </w:pPr>
      <w:r w:rsidRPr="00615350">
        <w:t>Lokalni normativni okvir upravljanja otpadom u Opštini Berane čine odluke kojima su uređeni način odvojenog sakupljanja komunalnog otpada, određivanje i način korišćenja lokacije za privremeno skladištenje komunalnog otpada, kao i određivanje lokacije za privremeno skladištenje neopasnog građevinskog otpada.</w:t>
      </w:r>
    </w:p>
    <w:p w:rsidR="00C44140" w:rsidRPr="00615350" w:rsidRDefault="00C44140" w:rsidP="00C44140">
      <w:pPr>
        <w:pStyle w:val="NormalWeb"/>
        <w:spacing w:line="276" w:lineRule="auto"/>
        <w:jc w:val="both"/>
      </w:pPr>
      <w:r w:rsidRPr="00615350">
        <w:t xml:space="preserve">Za postojeći sistem privremenog skladištenja komunalnog otpada od posebnog značaja je </w:t>
      </w:r>
      <w:r w:rsidRPr="00615350">
        <w:rPr>
          <w:rStyle w:val="Strong"/>
          <w:rFonts w:eastAsiaTheme="majorEastAsia"/>
          <w:b w:val="0"/>
          <w:i/>
        </w:rPr>
        <w:t>Odluka o određivanju lokacije za privremeno skladištenje komunalnog otpada za Opštinu Berane</w:t>
      </w:r>
      <w:r w:rsidRPr="00615350">
        <w:rPr>
          <w:rStyle w:val="Strong"/>
          <w:rFonts w:eastAsiaTheme="majorEastAsia"/>
          <w:b w:val="0"/>
        </w:rPr>
        <w:t xml:space="preserve"> ("Službeni list Crne Gore - opštinski propisi", br. 032/14 od 14.11.2014)</w:t>
      </w:r>
      <w:r w:rsidRPr="00615350">
        <w:rPr>
          <w:b/>
        </w:rPr>
        <w:t>,</w:t>
      </w:r>
      <w:r w:rsidRPr="00615350">
        <w:t xml:space="preserve"> kojom je za ovu namjenu određena lokacija </w:t>
      </w:r>
      <w:r w:rsidRPr="00615350">
        <w:rPr>
          <w:rStyle w:val="Strong"/>
          <w:rFonts w:eastAsiaTheme="majorEastAsia"/>
          <w:b w:val="0"/>
        </w:rPr>
        <w:t>„Rujiške laze“</w:t>
      </w:r>
      <w:r w:rsidRPr="00615350">
        <w:rPr>
          <w:b/>
        </w:rPr>
        <w:t>,</w:t>
      </w:r>
      <w:r w:rsidRPr="00615350">
        <w:t xml:space="preserve"> na dijelu katastarske parcele br. </w:t>
      </w:r>
      <w:r w:rsidRPr="00615350">
        <w:rPr>
          <w:rStyle w:val="Strong"/>
          <w:rFonts w:eastAsiaTheme="majorEastAsia"/>
          <w:b w:val="0"/>
        </w:rPr>
        <w:t>14/28/1 KO Rujišta</w:t>
      </w:r>
      <w:r w:rsidRPr="00615350">
        <w:rPr>
          <w:b/>
        </w:rPr>
        <w:t>,</w:t>
      </w:r>
      <w:r w:rsidRPr="00615350">
        <w:t xml:space="preserve"> površine </w:t>
      </w:r>
      <w:r w:rsidRPr="00615350">
        <w:rPr>
          <w:rStyle w:val="Strong"/>
          <w:rFonts w:eastAsiaTheme="majorEastAsia"/>
          <w:b w:val="0"/>
        </w:rPr>
        <w:t>7.000 m²</w:t>
      </w:r>
      <w:r w:rsidRPr="00615350">
        <w:rPr>
          <w:b/>
        </w:rPr>
        <w:t>.</w:t>
      </w:r>
      <w:r w:rsidRPr="00615350">
        <w:t xml:space="preserve"> Lokacija je data na upravljanje i održavanje DOO „Komunalno“ Berane. </w:t>
      </w:r>
    </w:p>
    <w:p w:rsidR="00C44140" w:rsidRPr="00615350" w:rsidRDefault="00C44140" w:rsidP="00C44140">
      <w:pPr>
        <w:pStyle w:val="NormalWeb"/>
        <w:spacing w:line="276" w:lineRule="auto"/>
        <w:jc w:val="both"/>
      </w:pPr>
      <w:r w:rsidRPr="00615350">
        <w:t xml:space="preserve">Način korišćenja lokacije „Rujiške laze“ detaljnije je uređen </w:t>
      </w:r>
      <w:r w:rsidRPr="00615350">
        <w:rPr>
          <w:rStyle w:val="Strong"/>
          <w:rFonts w:eastAsiaTheme="majorEastAsia"/>
          <w:b w:val="0"/>
          <w:i/>
        </w:rPr>
        <w:t>Odlukom o načinu privremenog skladištenja komunalnog otpada i uslovima zaštite životne sredine i zdravlja ljudi</w:t>
      </w:r>
      <w:r w:rsidRPr="00615350">
        <w:t xml:space="preserve"> ("Službeni list Crne Gore - opštinski propisi", br. 012/15 od 09.04.2015, 023/15 od 08.07.2015). Odlukom su uređeni organizacija prostora, čuvarska služba, prijem vozila, vođenje evidencije o količinama otpada, potrebni infrastrukturni sadržaji i mjere zaštite životne sredine i zdravlja ljudi. </w:t>
      </w:r>
    </w:p>
    <w:p w:rsidR="00C44140" w:rsidRPr="00615350" w:rsidRDefault="00C44140" w:rsidP="00C44140">
      <w:pPr>
        <w:pStyle w:val="NormalWeb"/>
        <w:spacing w:line="276" w:lineRule="auto"/>
        <w:jc w:val="both"/>
      </w:pPr>
      <w:r w:rsidRPr="00615350">
        <w:t xml:space="preserve">Prostor za privremeno skladištenje organizovan je kroz četiri funkcionalne cjeline: prijemno-otpremnu zonu, koja obuhvata kapiju, portirnicu, parking prostor i prostor za vagu; zonu za </w:t>
      </w:r>
      <w:r w:rsidRPr="00615350">
        <w:lastRenderedPageBreak/>
        <w:t xml:space="preserve">privremeno skladištenje komunalnog otpada; zonu za inertni materijal koji se koristi za prekrivanje privremeno skladištenog otpada; i zonu zaštitnog zelenog pojasa. </w:t>
      </w:r>
    </w:p>
    <w:p w:rsidR="00C44140" w:rsidRPr="00615350" w:rsidRDefault="00C44140" w:rsidP="00C44140">
      <w:pPr>
        <w:pStyle w:val="NormalWeb"/>
        <w:spacing w:line="276" w:lineRule="auto"/>
        <w:jc w:val="both"/>
      </w:pPr>
      <w:r w:rsidRPr="00615350">
        <w:t xml:space="preserve">Odlukom je uređeno i mjerenje i evidentiranje količina primljenog komunalnog otpada. Do postavljanja vage u prijemno-otpremnoj zoni na lokaciji „Rujiške laze“, bilo je predviđeno mjerenje na vagi na lokaciji </w:t>
      </w:r>
      <w:r w:rsidRPr="00615350">
        <w:rPr>
          <w:rStyle w:val="Strong"/>
          <w:rFonts w:eastAsiaTheme="majorEastAsia"/>
          <w:b w:val="0"/>
        </w:rPr>
        <w:t>Vasove vode, KO Dolac</w:t>
      </w:r>
      <w:r w:rsidRPr="00615350">
        <w:t xml:space="preserve">, uz vođenje propisane evidencije o količinama primljenog otpada. </w:t>
      </w:r>
    </w:p>
    <w:p w:rsidR="00D17EA7" w:rsidRPr="00615350" w:rsidRDefault="00D17EA7" w:rsidP="00900448">
      <w:pPr>
        <w:pStyle w:val="NormalWeb"/>
        <w:spacing w:line="276" w:lineRule="auto"/>
        <w:jc w:val="both"/>
      </w:pPr>
      <w:r w:rsidRPr="00615350">
        <w:t xml:space="preserve">Jedan od ključnih lokalnih akata je </w:t>
      </w:r>
      <w:r w:rsidRPr="00615350">
        <w:rPr>
          <w:rStyle w:val="Strong"/>
          <w:rFonts w:eastAsiaTheme="majorEastAsia"/>
          <w:b w:val="0"/>
          <w:i/>
        </w:rPr>
        <w:t>Odluka o načinu odvojenog sakupljanja i sakupljanja komunalnog otpada radi obrade na teritoriji opštine Berane</w:t>
      </w:r>
      <w:r w:rsidR="00E137BC" w:rsidRPr="00615350">
        <w:rPr>
          <w:rStyle w:val="Strong"/>
          <w:rFonts w:eastAsiaTheme="majorEastAsia"/>
          <w:b w:val="0"/>
        </w:rPr>
        <w:t xml:space="preserve"> ("Službeni list Crne Gore - opštinski propisi", br. 022/19 od 11.06.2019)</w:t>
      </w:r>
      <w:r w:rsidR="00E137BC" w:rsidRPr="00615350">
        <w:t xml:space="preserve">. </w:t>
      </w:r>
      <w:r w:rsidRPr="00615350">
        <w:t xml:space="preserve">Odlukom je uređen način odvojenog sakupljanja pojedinih frakcija komunalnog otpada i predviđena primjena sistema „dvije kante“, odnosno odvajanje suve i mokre frakcije, kao i sistema „od vrata do vrata“ za individualni tip stanovanja. Suvu frakciju čine papir i karton, plastika, metal i staklo, dok mokru frakciju čine ostale vrste komunalnog otpada koje nijesu obuhvaćene suvom frakcijom, uz izuzetak tokova za koje je predviđeno posebno sakupljanje. </w:t>
      </w:r>
    </w:p>
    <w:p w:rsidR="00D17EA7" w:rsidRPr="00615350" w:rsidRDefault="00D17EA7" w:rsidP="00900448">
      <w:pPr>
        <w:pStyle w:val="NormalWeb"/>
        <w:spacing w:line="276" w:lineRule="auto"/>
        <w:jc w:val="both"/>
      </w:pPr>
      <w:r w:rsidRPr="00615350">
        <w:t>Odlukom su utvrđene i obaveze sakupljača, koji je dužan da obezbijedi kontinuirano i pravovremeno pražnjenje posuda i odvoz otpada bez miješanja prethodno odvojenih frakcija, transport otpada do odgovarajuće lokacije za obradu, održavanje posuda i vođenje evidencije o količinama i vrstama sakupljenog otpada.</w:t>
      </w:r>
    </w:p>
    <w:p w:rsidR="00D17EA7" w:rsidRPr="00615350" w:rsidRDefault="00D17EA7" w:rsidP="00900448">
      <w:pPr>
        <w:pStyle w:val="NormalWeb"/>
        <w:spacing w:line="276" w:lineRule="auto"/>
        <w:jc w:val="both"/>
      </w:pPr>
      <w:r w:rsidRPr="00615350">
        <w:t xml:space="preserve">Posebno je predviđeno proširenje organizovanog sakupljanja na ruralna područja koja u vrijeme donošenja Odluke nijesu bila obuhvaćena uslugom. Kao takva područja navedena su sela </w:t>
      </w:r>
      <w:r w:rsidRPr="00615350">
        <w:rPr>
          <w:rStyle w:val="Strong"/>
          <w:rFonts w:eastAsiaTheme="majorEastAsia"/>
          <w:b w:val="0"/>
        </w:rPr>
        <w:t>Zagorje, Dapsiće, Polica, Crni Vrh, Kaludra, Rovca, Donje Zaostro i Gornje Zaostro</w:t>
      </w:r>
      <w:r w:rsidRPr="00615350">
        <w:t xml:space="preserve">, za koja je predviđeno uvođenje odvojenog sakupljanja suve i mokre frakcije ili sistema „od vrata do vrata“, u skladu sa tehničkim mogućnostima. </w:t>
      </w:r>
    </w:p>
    <w:p w:rsidR="00D17EA7" w:rsidRPr="00615350" w:rsidRDefault="00D17EA7" w:rsidP="00900448">
      <w:pPr>
        <w:pStyle w:val="NormalWeb"/>
        <w:spacing w:line="276" w:lineRule="auto"/>
        <w:jc w:val="both"/>
      </w:pPr>
      <w:r w:rsidRPr="00615350">
        <w:t xml:space="preserve">Odlukom je uređeno i odvojeno sakupljanje biorazgradivog, odnosno zelenog otpada iz vrtova i parkova, uključujući grobljanski otpad, kao i poseban način sakupljanja kabastog otpada. Dinamiku i učestalost sakupljanja utvrđuje sakupljač Planom sakupljanja otpada, uz obavezu informisanja javnosti, odnosno korisnika usluga, o načinu i dinamici sakupljanja. </w:t>
      </w:r>
    </w:p>
    <w:p w:rsidR="00D17EA7" w:rsidRPr="00615350" w:rsidRDefault="00D17EA7" w:rsidP="00900448">
      <w:pPr>
        <w:pStyle w:val="NormalWeb"/>
        <w:spacing w:line="276" w:lineRule="auto"/>
        <w:jc w:val="both"/>
      </w:pPr>
      <w:r w:rsidRPr="00615350">
        <w:t xml:space="preserve">Za oblast neopasnog građevinskog otpada relevantna je </w:t>
      </w:r>
      <w:r w:rsidRPr="00615350">
        <w:rPr>
          <w:rStyle w:val="Strong"/>
          <w:rFonts w:eastAsiaTheme="majorEastAsia"/>
          <w:b w:val="0"/>
          <w:i/>
        </w:rPr>
        <w:t>Odluka o određivanju lokacije za privremeno skladištenje neopasnog građevinskog otpada</w:t>
      </w:r>
      <w:r w:rsidR="00AA2AED" w:rsidRPr="00615350">
        <w:rPr>
          <w:rStyle w:val="Strong"/>
          <w:rFonts w:eastAsiaTheme="majorEastAsia"/>
          <w:b w:val="0"/>
        </w:rPr>
        <w:t xml:space="preserve"> ("Službeni list Crne Gore - opštinski propisi", br. 004/19 od 22.01.2019)</w:t>
      </w:r>
      <w:r w:rsidRPr="00615350">
        <w:rPr>
          <w:b/>
        </w:rPr>
        <w:t xml:space="preserve">, </w:t>
      </w:r>
      <w:r w:rsidRPr="00615350">
        <w:t xml:space="preserve">kojom je određena lokacija </w:t>
      </w:r>
      <w:r w:rsidRPr="00615350">
        <w:rPr>
          <w:rStyle w:val="Strong"/>
          <w:rFonts w:eastAsiaTheme="majorEastAsia"/>
          <w:b w:val="0"/>
        </w:rPr>
        <w:t>„Gradinsko polje“</w:t>
      </w:r>
      <w:r w:rsidRPr="00615350">
        <w:rPr>
          <w:b/>
        </w:rPr>
        <w:t>,</w:t>
      </w:r>
      <w:r w:rsidRPr="00615350">
        <w:t xml:space="preserve"> na djelovima katastarskih parcela br. </w:t>
      </w:r>
      <w:r w:rsidRPr="00615350">
        <w:rPr>
          <w:rStyle w:val="Strong"/>
          <w:rFonts w:eastAsiaTheme="majorEastAsia"/>
          <w:b w:val="0"/>
        </w:rPr>
        <w:t>1794 i 1795/1 KO Buče I</w:t>
      </w:r>
      <w:r w:rsidRPr="00615350">
        <w:rPr>
          <w:b/>
        </w:rPr>
        <w:t>,</w:t>
      </w:r>
      <w:r w:rsidRPr="00615350">
        <w:t xml:space="preserve"> ukupne površine oko </w:t>
      </w:r>
      <w:r w:rsidRPr="00615350">
        <w:rPr>
          <w:rStyle w:val="Strong"/>
          <w:rFonts w:eastAsiaTheme="majorEastAsia"/>
          <w:b w:val="0"/>
        </w:rPr>
        <w:t>11.000 m²</w:t>
      </w:r>
      <w:r w:rsidRPr="00615350">
        <w:rPr>
          <w:b/>
        </w:rPr>
        <w:t>.</w:t>
      </w:r>
      <w:r w:rsidRPr="00615350">
        <w:t xml:space="preserve"> Lokacija je određena kao normativna osnova za privremeno skladištenje neopasnog građevinskog otpada i data je na upravljanje i održavanje DOO „Komunalno“ Berane. </w:t>
      </w:r>
      <w:r w:rsidR="00AA2AED" w:rsidRPr="00615350">
        <w:t xml:space="preserve"> Tokom 2026. godine, komisija određena od strane Predsjednika opštine je predložila tačnu geografsku pozicioniranost budućeg privremenog skladišta neopasnog građevinskog otpada, koja se nalazi na samoj južnoj granici predmetne parcele I za istu dala orjentacionu skicu, naglašavajući da će tačnu lokaciju I grafički prilog dostaviti ovlašćena geodestka kuća.</w:t>
      </w:r>
    </w:p>
    <w:p w:rsidR="00216FDC" w:rsidRPr="00615350" w:rsidRDefault="00D02E3C"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lastRenderedPageBreak/>
        <w:t>Pregled relevantnih lokalnih odluka dat je u narednoj tabeli.</w:t>
      </w:r>
    </w:p>
    <w:p w:rsidR="00D02E3C" w:rsidRPr="00615350" w:rsidRDefault="00D02E3C" w:rsidP="00C44140">
      <w:pPr>
        <w:spacing w:before="100" w:beforeAutospacing="1" w:after="100" w:afterAutospacing="1"/>
        <w:jc w:val="center"/>
        <w:rPr>
          <w:rFonts w:ascii="Times New Roman" w:eastAsia="Times New Roman" w:hAnsi="Times New Roman" w:cs="Times New Roman"/>
          <w:bCs/>
          <w:noProof/>
          <w:sz w:val="24"/>
          <w:szCs w:val="24"/>
          <w:lang w:val="sr-Latn-RS"/>
        </w:rPr>
      </w:pPr>
      <w:r w:rsidRPr="00615350">
        <w:rPr>
          <w:rFonts w:ascii="Times New Roman" w:eastAsia="Times New Roman" w:hAnsi="Times New Roman" w:cs="Times New Roman"/>
          <w:bCs/>
          <w:noProof/>
          <w:sz w:val="24"/>
          <w:szCs w:val="24"/>
          <w:lang w:val="sr-Latn-RS"/>
        </w:rPr>
        <w:t xml:space="preserve">Tabela </w:t>
      </w:r>
      <w:r w:rsidR="007C1F22" w:rsidRPr="00615350">
        <w:rPr>
          <w:rFonts w:ascii="Times New Roman" w:eastAsia="Times New Roman" w:hAnsi="Times New Roman" w:cs="Times New Roman"/>
          <w:bCs/>
          <w:noProof/>
          <w:sz w:val="24"/>
          <w:szCs w:val="24"/>
          <w:lang w:val="sr-Latn-RS"/>
        </w:rPr>
        <w:t>br. 1</w:t>
      </w:r>
      <w:r w:rsidRPr="00615350">
        <w:rPr>
          <w:rFonts w:ascii="Times New Roman" w:eastAsia="Times New Roman" w:hAnsi="Times New Roman" w:cs="Times New Roman"/>
          <w:bCs/>
          <w:noProof/>
          <w:sz w:val="24"/>
          <w:szCs w:val="24"/>
          <w:lang w:val="sr-Latn-RS"/>
        </w:rPr>
        <w:t xml:space="preserve"> Pregled relevantnih lokalnih odluka u oblasti upravljanja otpadom</w:t>
      </w:r>
    </w:p>
    <w:tbl>
      <w:tblPr>
        <w:tblStyle w:val="LightShading-Accent1"/>
        <w:tblW w:w="9595" w:type="dxa"/>
        <w:tblLook w:val="04A0" w:firstRow="1" w:lastRow="0" w:firstColumn="1" w:lastColumn="0" w:noHBand="0" w:noVBand="1"/>
      </w:tblPr>
      <w:tblGrid>
        <w:gridCol w:w="2834"/>
        <w:gridCol w:w="3945"/>
        <w:gridCol w:w="2816"/>
      </w:tblGrid>
      <w:tr w:rsidR="008F053E" w:rsidRPr="00615350" w:rsidTr="005F5F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F053E" w:rsidRPr="00615350" w:rsidRDefault="008F053E" w:rsidP="00900448">
            <w:pPr>
              <w:jc w:val="both"/>
              <w:rPr>
                <w:rFonts w:ascii="Times New Roman" w:eastAsia="Times New Roman" w:hAnsi="Times New Roman" w:cs="Times New Roman"/>
                <w:bCs w:val="0"/>
                <w:sz w:val="20"/>
                <w:szCs w:val="24"/>
              </w:rPr>
            </w:pPr>
            <w:r w:rsidRPr="00615350">
              <w:rPr>
                <w:rFonts w:ascii="Times New Roman" w:eastAsia="Times New Roman" w:hAnsi="Times New Roman" w:cs="Times New Roman"/>
                <w:bCs w:val="0"/>
                <w:sz w:val="20"/>
                <w:szCs w:val="24"/>
              </w:rPr>
              <w:t>Lokalni akt</w:t>
            </w:r>
          </w:p>
        </w:tc>
        <w:tc>
          <w:tcPr>
            <w:tcW w:w="0" w:type="auto"/>
            <w:hideMark/>
          </w:tcPr>
          <w:p w:rsidR="008F053E" w:rsidRPr="00615350" w:rsidRDefault="008F053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4"/>
              </w:rPr>
            </w:pPr>
            <w:r w:rsidRPr="00615350">
              <w:rPr>
                <w:rFonts w:ascii="Times New Roman" w:eastAsia="Times New Roman" w:hAnsi="Times New Roman" w:cs="Times New Roman"/>
                <w:bCs w:val="0"/>
                <w:sz w:val="20"/>
                <w:szCs w:val="24"/>
              </w:rPr>
              <w:t>Oblast koju uređuje</w:t>
            </w:r>
          </w:p>
        </w:tc>
        <w:tc>
          <w:tcPr>
            <w:tcW w:w="2816" w:type="dxa"/>
            <w:hideMark/>
          </w:tcPr>
          <w:p w:rsidR="008F053E" w:rsidRPr="00615350" w:rsidRDefault="008F053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4"/>
              </w:rPr>
            </w:pPr>
            <w:r w:rsidRPr="00615350">
              <w:rPr>
                <w:rFonts w:ascii="Times New Roman" w:eastAsia="Times New Roman" w:hAnsi="Times New Roman" w:cs="Times New Roman"/>
                <w:bCs w:val="0"/>
                <w:sz w:val="20"/>
                <w:szCs w:val="24"/>
              </w:rPr>
              <w:t>Značaj za LPUO 2026–2029.</w:t>
            </w:r>
          </w:p>
        </w:tc>
      </w:tr>
      <w:tr w:rsidR="008F053E" w:rsidRPr="00615350" w:rsidTr="005F5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F053E" w:rsidRPr="00615350" w:rsidRDefault="008F053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b w:val="0"/>
                <w:bCs w:val="0"/>
                <w:sz w:val="20"/>
                <w:szCs w:val="24"/>
              </w:rPr>
              <w:t>Odluka o načinu odvojenog sakupljanja i sakupljanja komunalnog otpada radi obrade na teritoriji opštine Berane</w:t>
            </w:r>
          </w:p>
        </w:tc>
        <w:tc>
          <w:tcPr>
            <w:tcW w:w="0" w:type="auto"/>
            <w:hideMark/>
          </w:tcPr>
          <w:p w:rsidR="008F053E" w:rsidRPr="00615350" w:rsidRDefault="008F053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Odvojeno sakupljanje komunalnog otpada; sistem suve i mokre frakcije; sistem „od vrata do vrata“; odvojeno sakupljanje zelenog i kabastog otpada; obaveze učesnika u sistemu</w:t>
            </w:r>
          </w:p>
        </w:tc>
        <w:tc>
          <w:tcPr>
            <w:tcW w:w="2816" w:type="dxa"/>
            <w:hideMark/>
          </w:tcPr>
          <w:p w:rsidR="008F053E" w:rsidRPr="00615350" w:rsidRDefault="008F053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Normativna osnova za organizovanje i dalje unapređenje sistema odvojenog sakupljanja komunalnog otpada</w:t>
            </w:r>
          </w:p>
        </w:tc>
      </w:tr>
      <w:tr w:rsidR="008F053E" w:rsidRPr="00615350" w:rsidTr="005F5F75">
        <w:tc>
          <w:tcPr>
            <w:cnfStyle w:val="001000000000" w:firstRow="0" w:lastRow="0" w:firstColumn="1" w:lastColumn="0" w:oddVBand="0" w:evenVBand="0" w:oddHBand="0" w:evenHBand="0" w:firstRowFirstColumn="0" w:firstRowLastColumn="0" w:lastRowFirstColumn="0" w:lastRowLastColumn="0"/>
            <w:tcW w:w="0" w:type="auto"/>
            <w:hideMark/>
          </w:tcPr>
          <w:p w:rsidR="008F053E" w:rsidRPr="00615350" w:rsidRDefault="008F053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b w:val="0"/>
                <w:bCs w:val="0"/>
                <w:sz w:val="20"/>
                <w:szCs w:val="24"/>
              </w:rPr>
              <w:t>Odluka o određivanju lokacije za privremeno skladištenje komunalnog otpada za Opštinu Berane</w:t>
            </w:r>
          </w:p>
        </w:tc>
        <w:tc>
          <w:tcPr>
            <w:tcW w:w="0" w:type="auto"/>
            <w:hideMark/>
          </w:tcPr>
          <w:p w:rsidR="008F053E" w:rsidRPr="00615350" w:rsidRDefault="008F053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Određivanje lokacije „Rujiške laze“, na dijelu k.p. br. 14/28/1 KO Rujišta, površine 7.000 m²</w:t>
            </w:r>
          </w:p>
        </w:tc>
        <w:tc>
          <w:tcPr>
            <w:tcW w:w="2816" w:type="dxa"/>
            <w:hideMark/>
          </w:tcPr>
          <w:p w:rsidR="008F053E" w:rsidRPr="00615350" w:rsidRDefault="008F053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Normativna osnova za postojeću lokaciju za privremeno skladištenje komunalnog otpada</w:t>
            </w:r>
          </w:p>
        </w:tc>
      </w:tr>
      <w:tr w:rsidR="008F053E" w:rsidRPr="00615350" w:rsidTr="005F5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F053E" w:rsidRPr="00615350" w:rsidRDefault="008F053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b w:val="0"/>
                <w:bCs w:val="0"/>
                <w:sz w:val="20"/>
                <w:szCs w:val="24"/>
              </w:rPr>
              <w:t>Odluka o načinu privremenog skladištenja komunalnog otpada i uslovima zaštite životne sredine i zdravlja ljudi</w:t>
            </w:r>
          </w:p>
        </w:tc>
        <w:tc>
          <w:tcPr>
            <w:tcW w:w="0" w:type="auto"/>
            <w:hideMark/>
          </w:tcPr>
          <w:p w:rsidR="008F053E" w:rsidRPr="00615350" w:rsidRDefault="008F053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Organizacija i način korišćenja lokacije za privremeno skladištenje; prijem, mjerenje i evidentiranje otpada; tehnički i organizacioni uslovi; mjere zaštite životne sredine i zdravlja ljudi</w:t>
            </w:r>
          </w:p>
        </w:tc>
        <w:tc>
          <w:tcPr>
            <w:tcW w:w="2816" w:type="dxa"/>
            <w:hideMark/>
          </w:tcPr>
          <w:p w:rsidR="008F053E" w:rsidRPr="00615350" w:rsidRDefault="008F053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Normativna osnova za organizaciju i način korišćenja lokacije „Rujiške laze“</w:t>
            </w:r>
          </w:p>
        </w:tc>
      </w:tr>
      <w:tr w:rsidR="008F053E" w:rsidRPr="00615350" w:rsidTr="005F5F75">
        <w:tc>
          <w:tcPr>
            <w:cnfStyle w:val="001000000000" w:firstRow="0" w:lastRow="0" w:firstColumn="1" w:lastColumn="0" w:oddVBand="0" w:evenVBand="0" w:oddHBand="0" w:evenHBand="0" w:firstRowFirstColumn="0" w:firstRowLastColumn="0" w:lastRowFirstColumn="0" w:lastRowLastColumn="0"/>
            <w:tcW w:w="0" w:type="auto"/>
            <w:hideMark/>
          </w:tcPr>
          <w:p w:rsidR="008F053E" w:rsidRPr="00615350" w:rsidRDefault="008F053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b w:val="0"/>
                <w:bCs w:val="0"/>
                <w:sz w:val="20"/>
                <w:szCs w:val="24"/>
              </w:rPr>
              <w:t>Odluka o određivanju lokacije za privremeno skladištenje neopasnog građevinskog otpada</w:t>
            </w:r>
          </w:p>
        </w:tc>
        <w:tc>
          <w:tcPr>
            <w:tcW w:w="0" w:type="auto"/>
            <w:hideMark/>
          </w:tcPr>
          <w:p w:rsidR="008F053E" w:rsidRPr="00615350" w:rsidRDefault="008F053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Određivanje lokacije „Gradinsko polje“, na djelovima k.p. br. 1794 i 1795/1 KO Buče I, ukupne površine oko 11.000 m²</w:t>
            </w:r>
          </w:p>
        </w:tc>
        <w:tc>
          <w:tcPr>
            <w:tcW w:w="2816" w:type="dxa"/>
            <w:hideMark/>
          </w:tcPr>
          <w:p w:rsidR="008F053E" w:rsidRPr="00615350" w:rsidRDefault="008F053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Normativna osnova za lokaciju namijenjenu privremenom skladištenju neopasnog građevinskog otpada</w:t>
            </w:r>
          </w:p>
        </w:tc>
      </w:tr>
    </w:tbl>
    <w:p w:rsidR="00D02E3C" w:rsidRPr="00615350" w:rsidRDefault="008F053E"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hAnsi="Times New Roman" w:cs="Times New Roman"/>
          <w:sz w:val="24"/>
          <w:szCs w:val="24"/>
        </w:rPr>
        <w:t>Navedene odluke predstavljaju normativnu osnovu postojećeg lokalnog sistema upravljanja komunalnim i neopasnim građevinskim otpadom. S obzirom na to da su pojedini lokalni akti doneseni u okviru ranijeg zakonskog sistema, u periodu sprovođenja ovog Plana potrebno je preispitati njihovu usklađenost sa važećim Zakonom o upravljanju otpadom, posebno u dijelu organizovanja odvojenog sakupljanja komunalnog otpada, uslova za privremeno skladištenje komunalnog otpada i upravljanja neopasnim građevinskim otpadom</w:t>
      </w:r>
      <w:r w:rsidR="00D02E3C" w:rsidRPr="00615350">
        <w:rPr>
          <w:rFonts w:ascii="Times New Roman" w:eastAsia="Times New Roman" w:hAnsi="Times New Roman" w:cs="Times New Roman"/>
          <w:noProof/>
          <w:sz w:val="24"/>
          <w:szCs w:val="24"/>
          <w:lang w:val="sr-Latn-RS"/>
        </w:rPr>
        <w:t>.</w:t>
      </w:r>
    </w:p>
    <w:p w:rsidR="00B64FF2" w:rsidRPr="00615350" w:rsidRDefault="00B64FF2" w:rsidP="00900448">
      <w:pPr>
        <w:pStyle w:val="Heading2"/>
        <w:rPr>
          <w:rFonts w:eastAsia="Times New Roman"/>
          <w:noProof/>
          <w:lang w:val="sr-Latn-RS"/>
        </w:rPr>
      </w:pPr>
      <w:bookmarkStart w:id="12" w:name="_Toc240282271"/>
      <w:r w:rsidRPr="00615350">
        <w:rPr>
          <w:rFonts w:eastAsia="Times New Roman"/>
          <w:noProof/>
          <w:lang w:val="sr-Latn-RS"/>
        </w:rPr>
        <w:t>2.4. Analiza realizacije prethodnog Lokalnog plana upravljanja otpadom</w:t>
      </w:r>
      <w:bookmarkEnd w:id="12"/>
    </w:p>
    <w:p w:rsidR="005F5F75" w:rsidRPr="00615350" w:rsidRDefault="005F5F75" w:rsidP="005F5F75">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Prethodni </w:t>
      </w:r>
      <w:r w:rsidRPr="00615350">
        <w:rPr>
          <w:rFonts w:ascii="Times New Roman" w:eastAsia="Times New Roman" w:hAnsi="Times New Roman" w:cs="Times New Roman"/>
          <w:b/>
          <w:bCs/>
          <w:sz w:val="24"/>
          <w:szCs w:val="24"/>
        </w:rPr>
        <w:t>Plan upravljanja komunalnim i neopasnim građevinskim otpadom u Opštini Berane za period 2016–2020. godine</w:t>
      </w:r>
      <w:r w:rsidRPr="00615350">
        <w:rPr>
          <w:rFonts w:ascii="Times New Roman" w:eastAsia="Times New Roman" w:hAnsi="Times New Roman" w:cs="Times New Roman"/>
          <w:sz w:val="24"/>
          <w:szCs w:val="24"/>
        </w:rPr>
        <w:t xml:space="preserve"> donijela je Skupština opštine Berane u decembru 2016. godine. Planom su, između ostalog, predviđeni uspostavljanje primarne selekcije po modelu „suve“ i „mokre“ frakcije, podizanje javne svijesti, izgradnja planiranih postrojenja, nabavka potrebne mehanizacije i opreme i smanjenje količine otpada koja se odlaže na privremenom odlagalištu u Rujištima. </w:t>
      </w:r>
    </w:p>
    <w:p w:rsidR="005F5F75" w:rsidRPr="00615350" w:rsidRDefault="005F5F75" w:rsidP="005F5F75">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Među značajnijim infrastrukturnim projektima bili su transfer stanica i reciklažno dvorište sa sortirnicom.</w:t>
      </w:r>
      <w:r w:rsidRPr="00615350">
        <w:rPr>
          <w:rFonts w:ascii="Times New Roman" w:eastAsia="Times New Roman" w:hAnsi="Times New Roman" w:cs="Times New Roman"/>
          <w:sz w:val="24"/>
          <w:szCs w:val="24"/>
        </w:rPr>
        <w:br/>
        <w:t>Iako je Plan formalno važio do 2020. godine, njegova primjena nastavljena je i nakon isteka planskog perioda, jer novi lokalni plan nije bio donijet. Takvo stanje potvrđuju i godišnji izvještaji, uključujući Izvještaj za 2025. godinu.</w:t>
      </w:r>
      <w:r w:rsidRPr="00615350">
        <w:rPr>
          <w:rFonts w:ascii="Times New Roman" w:eastAsia="Times New Roman" w:hAnsi="Times New Roman" w:cs="Times New Roman"/>
          <w:sz w:val="24"/>
          <w:szCs w:val="24"/>
        </w:rPr>
        <w:br/>
        <w:t xml:space="preserve">Organizovano sakupljanje komunalnog otpada održano je na relativno visokom nivou. U 2022. godini uslugom je bilo obuhvaćeno </w:t>
      </w:r>
      <w:r w:rsidRPr="00615350">
        <w:rPr>
          <w:rFonts w:ascii="Times New Roman" w:eastAsia="Times New Roman" w:hAnsi="Times New Roman" w:cs="Times New Roman"/>
          <w:b/>
          <w:bCs/>
          <w:sz w:val="24"/>
          <w:szCs w:val="24"/>
        </w:rPr>
        <w:t>79,79% stanovništva</w:t>
      </w:r>
      <w:r w:rsidRPr="00615350">
        <w:rPr>
          <w:rFonts w:ascii="Times New Roman" w:eastAsia="Times New Roman" w:hAnsi="Times New Roman" w:cs="Times New Roman"/>
          <w:sz w:val="24"/>
          <w:szCs w:val="24"/>
        </w:rPr>
        <w:t xml:space="preserve">, uz 100% obuhvata gradskog područja, dok je u 2023. godini obuhvat povećan na </w:t>
      </w:r>
      <w:r w:rsidRPr="00615350">
        <w:rPr>
          <w:rFonts w:ascii="Times New Roman" w:eastAsia="Times New Roman" w:hAnsi="Times New Roman" w:cs="Times New Roman"/>
          <w:b/>
          <w:bCs/>
          <w:sz w:val="24"/>
          <w:szCs w:val="24"/>
        </w:rPr>
        <w:t>81,23%</w:t>
      </w:r>
      <w:r w:rsidRPr="00615350">
        <w:rPr>
          <w:rFonts w:ascii="Times New Roman" w:eastAsia="Times New Roman" w:hAnsi="Times New Roman" w:cs="Times New Roman"/>
          <w:sz w:val="24"/>
          <w:szCs w:val="24"/>
        </w:rPr>
        <w:t>. Isti procenat evidentiran je i 2025. godine. Broj korisnika u 2025. godini iznosio je 6.845 fizičkih lica i 785 privrednih društava.</w:t>
      </w:r>
    </w:p>
    <w:p w:rsidR="005F5F75" w:rsidRPr="00615350" w:rsidRDefault="005F5F75" w:rsidP="005F5F75">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Ukupna količina sakupljenog otpada iznosila je </w:t>
      </w:r>
      <w:r w:rsidRPr="00615350">
        <w:rPr>
          <w:rFonts w:ascii="Times New Roman" w:eastAsia="Times New Roman" w:hAnsi="Times New Roman" w:cs="Times New Roman"/>
          <w:b/>
          <w:bCs/>
          <w:sz w:val="24"/>
          <w:szCs w:val="24"/>
        </w:rPr>
        <w:t>9.980 t u 2022.</w:t>
      </w:r>
      <w:r w:rsidRPr="00615350">
        <w:rPr>
          <w:rFonts w:ascii="Times New Roman" w:eastAsia="Times New Roman" w:hAnsi="Times New Roman" w:cs="Times New Roman"/>
          <w:sz w:val="24"/>
          <w:szCs w:val="24"/>
        </w:rPr>
        <w:t xml:space="preserve">, oko </w:t>
      </w:r>
      <w:r w:rsidRPr="00615350">
        <w:rPr>
          <w:rFonts w:ascii="Times New Roman" w:eastAsia="Times New Roman" w:hAnsi="Times New Roman" w:cs="Times New Roman"/>
          <w:b/>
          <w:bCs/>
          <w:sz w:val="24"/>
          <w:szCs w:val="24"/>
        </w:rPr>
        <w:t>10.000 t u 2023.</w:t>
      </w:r>
      <w:r w:rsidRPr="00615350">
        <w:rPr>
          <w:rFonts w:ascii="Times New Roman" w:eastAsia="Times New Roman" w:hAnsi="Times New Roman" w:cs="Times New Roman"/>
          <w:sz w:val="24"/>
          <w:szCs w:val="24"/>
        </w:rPr>
        <w:t xml:space="preserve"> i </w:t>
      </w:r>
      <w:r w:rsidRPr="00615350">
        <w:rPr>
          <w:rFonts w:ascii="Times New Roman" w:eastAsia="Times New Roman" w:hAnsi="Times New Roman" w:cs="Times New Roman"/>
          <w:b/>
          <w:bCs/>
          <w:sz w:val="24"/>
          <w:szCs w:val="24"/>
        </w:rPr>
        <w:t>9.930 t u 2025. godini</w:t>
      </w:r>
      <w:r w:rsidRPr="00615350">
        <w:rPr>
          <w:rFonts w:ascii="Times New Roman" w:eastAsia="Times New Roman" w:hAnsi="Times New Roman" w:cs="Times New Roman"/>
          <w:sz w:val="24"/>
          <w:szCs w:val="24"/>
        </w:rPr>
        <w:t>. U izvještajima postoje određene neusaglašenosti između apsolutnih količina i navedenih procenata promjene u odnosu na prethodne godine, zbog čega je za potrebe ovog Plana pouzdanije koristiti prijavljene apsolutne vrijednosti.</w:t>
      </w:r>
      <w:r w:rsidRPr="00615350">
        <w:rPr>
          <w:rFonts w:ascii="Times New Roman" w:eastAsia="Times New Roman" w:hAnsi="Times New Roman" w:cs="Times New Roman"/>
          <w:sz w:val="24"/>
          <w:szCs w:val="24"/>
        </w:rPr>
        <w:br/>
        <w:t xml:space="preserve">Komunalni otpad se i dalje transportuje na privremeno odlagalište </w:t>
      </w:r>
      <w:r w:rsidRPr="00615350">
        <w:rPr>
          <w:rFonts w:ascii="Times New Roman" w:eastAsia="Times New Roman" w:hAnsi="Times New Roman" w:cs="Times New Roman"/>
          <w:b/>
          <w:bCs/>
          <w:sz w:val="24"/>
          <w:szCs w:val="24"/>
        </w:rPr>
        <w:t>„Rujiški lazi“</w:t>
      </w:r>
      <w:r w:rsidRPr="00615350">
        <w:rPr>
          <w:rFonts w:ascii="Times New Roman" w:eastAsia="Times New Roman" w:hAnsi="Times New Roman" w:cs="Times New Roman"/>
          <w:sz w:val="24"/>
          <w:szCs w:val="24"/>
        </w:rPr>
        <w:t>, udaljeno oko 25 km od grada, kojim upravlja DOO „Komunalno“ Berane. Odlagalište je opremljeno buldožerom i stražarskom službom sa 24-časovnim nadzorom, dok je pristupni put samo djelimično asfaltiran.</w:t>
      </w:r>
    </w:p>
    <w:p w:rsidR="005F5F75" w:rsidRPr="00615350" w:rsidRDefault="005F5F75" w:rsidP="005F5F75">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Određeni preduslovi za primarnu selekciju su uspostavljeni. Evidentirano je </w:t>
      </w:r>
      <w:r w:rsidRPr="00615350">
        <w:rPr>
          <w:rFonts w:ascii="Times New Roman" w:eastAsia="Times New Roman" w:hAnsi="Times New Roman" w:cs="Times New Roman"/>
          <w:b/>
          <w:bCs/>
          <w:sz w:val="24"/>
          <w:szCs w:val="24"/>
        </w:rPr>
        <w:t>2.161 plastičnih kanti od 120 l za suvi i mokri otpad</w:t>
      </w:r>
      <w:r w:rsidRPr="00615350">
        <w:rPr>
          <w:rFonts w:ascii="Times New Roman" w:eastAsia="Times New Roman" w:hAnsi="Times New Roman" w:cs="Times New Roman"/>
          <w:sz w:val="24"/>
          <w:szCs w:val="24"/>
        </w:rPr>
        <w:t xml:space="preserve"> i </w:t>
      </w:r>
      <w:r w:rsidRPr="00615350">
        <w:rPr>
          <w:rFonts w:ascii="Times New Roman" w:eastAsia="Times New Roman" w:hAnsi="Times New Roman" w:cs="Times New Roman"/>
          <w:b/>
          <w:bCs/>
          <w:sz w:val="24"/>
          <w:szCs w:val="24"/>
        </w:rPr>
        <w:t>osam natkrivenih zelenih ostrva</w:t>
      </w:r>
      <w:r w:rsidRPr="00615350">
        <w:rPr>
          <w:rFonts w:ascii="Times New Roman" w:eastAsia="Times New Roman" w:hAnsi="Times New Roman" w:cs="Times New Roman"/>
          <w:sz w:val="24"/>
          <w:szCs w:val="24"/>
        </w:rPr>
        <w:t xml:space="preserve"> sa kontejnerima za selektivno odlaganje. Ipak, raspoloživi izvještaji ne potvrđuju da je uspostavljen cjelovit i funkcionalan sistem odvojenog sakupljanja i daljeg tretmana otpada, zbog čega se realizacija ovog cilja može ocijeniti kao djelimična.</w:t>
      </w:r>
    </w:p>
    <w:p w:rsidR="005F5F75" w:rsidRPr="00615350" w:rsidRDefault="005F5F75" w:rsidP="005F5F75">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Ključni nerealizovani infrastrukturni projekat ostaje </w:t>
      </w:r>
      <w:r w:rsidRPr="00615350">
        <w:rPr>
          <w:rFonts w:ascii="Times New Roman" w:eastAsia="Times New Roman" w:hAnsi="Times New Roman" w:cs="Times New Roman"/>
          <w:b/>
          <w:bCs/>
          <w:sz w:val="24"/>
          <w:szCs w:val="24"/>
        </w:rPr>
        <w:t>reciklažno dvorište sa sortirnicom</w:t>
      </w:r>
      <w:r w:rsidRPr="00615350">
        <w:rPr>
          <w:rFonts w:ascii="Times New Roman" w:eastAsia="Times New Roman" w:hAnsi="Times New Roman" w:cs="Times New Roman"/>
          <w:sz w:val="24"/>
          <w:szCs w:val="24"/>
        </w:rPr>
        <w:t xml:space="preserve">. Izrađen je glavni revidovani projekat, a ugovor o izvođenju radova zaključen je 1. aprila 2020. godine u vrijednosti od </w:t>
      </w:r>
      <w:r w:rsidRPr="00615350">
        <w:rPr>
          <w:rFonts w:ascii="Times New Roman" w:eastAsia="Times New Roman" w:hAnsi="Times New Roman" w:cs="Times New Roman"/>
          <w:b/>
          <w:bCs/>
          <w:sz w:val="24"/>
          <w:szCs w:val="24"/>
        </w:rPr>
        <w:t>1.285.487,09 eura</w:t>
      </w:r>
      <w:r w:rsidRPr="00615350">
        <w:rPr>
          <w:rFonts w:ascii="Times New Roman" w:eastAsia="Times New Roman" w:hAnsi="Times New Roman" w:cs="Times New Roman"/>
          <w:sz w:val="24"/>
          <w:szCs w:val="24"/>
        </w:rPr>
        <w:t>. Radovi nijesu započeti zbog postupka raskida ugovora, izvođač nije uveden u posao i nije bilo finansijske realizacije. Izvještaji za 2023. i 2025. godinu potvrđuju da u ovom projektu nije bilo promjena i da se i dalje čekao sudski epilog.</w:t>
      </w:r>
      <w:r w:rsidRPr="00615350">
        <w:rPr>
          <w:rFonts w:ascii="Times New Roman" w:eastAsia="Times New Roman" w:hAnsi="Times New Roman" w:cs="Times New Roman"/>
          <w:sz w:val="24"/>
          <w:szCs w:val="24"/>
        </w:rPr>
        <w:br/>
        <w:t xml:space="preserve">Problem nelegalnog odlaganja otpada ostao je izražen. Popisom iz 2021. godine evidentirano je </w:t>
      </w:r>
      <w:r w:rsidRPr="00615350">
        <w:rPr>
          <w:rFonts w:ascii="Times New Roman" w:eastAsia="Times New Roman" w:hAnsi="Times New Roman" w:cs="Times New Roman"/>
          <w:b/>
          <w:bCs/>
          <w:sz w:val="24"/>
          <w:szCs w:val="24"/>
        </w:rPr>
        <w:t>35 lokacija</w:t>
      </w:r>
      <w:r w:rsidRPr="00615350">
        <w:rPr>
          <w:rFonts w:ascii="Times New Roman" w:eastAsia="Times New Roman" w:hAnsi="Times New Roman" w:cs="Times New Roman"/>
          <w:sz w:val="24"/>
          <w:szCs w:val="24"/>
        </w:rPr>
        <w:t xml:space="preserve">, krajem 2023. godine </w:t>
      </w:r>
      <w:r w:rsidRPr="00615350">
        <w:rPr>
          <w:rFonts w:ascii="Times New Roman" w:eastAsia="Times New Roman" w:hAnsi="Times New Roman" w:cs="Times New Roman"/>
          <w:b/>
          <w:bCs/>
          <w:sz w:val="24"/>
          <w:szCs w:val="24"/>
        </w:rPr>
        <w:t>38 lokacija</w:t>
      </w:r>
      <w:r w:rsidRPr="00615350">
        <w:rPr>
          <w:rFonts w:ascii="Times New Roman" w:eastAsia="Times New Roman" w:hAnsi="Times New Roman" w:cs="Times New Roman"/>
          <w:sz w:val="24"/>
          <w:szCs w:val="24"/>
        </w:rPr>
        <w:t xml:space="preserve">, a u 2025. godini </w:t>
      </w:r>
      <w:r w:rsidRPr="00615350">
        <w:rPr>
          <w:rFonts w:ascii="Times New Roman" w:eastAsia="Times New Roman" w:hAnsi="Times New Roman" w:cs="Times New Roman"/>
          <w:b/>
          <w:bCs/>
          <w:sz w:val="24"/>
          <w:szCs w:val="24"/>
        </w:rPr>
        <w:t>32 lokacije</w:t>
      </w:r>
      <w:r w:rsidRPr="00615350">
        <w:rPr>
          <w:rFonts w:ascii="Times New Roman" w:eastAsia="Times New Roman" w:hAnsi="Times New Roman" w:cs="Times New Roman"/>
          <w:sz w:val="24"/>
          <w:szCs w:val="24"/>
        </w:rPr>
        <w:t xml:space="preserve">. Istovremeno su sprovođene brojne aktivnosti sanacije. U 2025. godini DOO „Komunalno“ je sa neuređenih lokacija sakupilo i odvezlo </w:t>
      </w:r>
      <w:r w:rsidRPr="00615350">
        <w:rPr>
          <w:rFonts w:ascii="Times New Roman" w:eastAsia="Times New Roman" w:hAnsi="Times New Roman" w:cs="Times New Roman"/>
          <w:b/>
          <w:bCs/>
          <w:sz w:val="24"/>
          <w:szCs w:val="24"/>
        </w:rPr>
        <w:t>preko 4.000 m³ otpada</w:t>
      </w:r>
      <w:r w:rsidRPr="00615350">
        <w:rPr>
          <w:rFonts w:ascii="Times New Roman" w:eastAsia="Times New Roman" w:hAnsi="Times New Roman" w:cs="Times New Roman"/>
          <w:sz w:val="24"/>
          <w:szCs w:val="24"/>
        </w:rPr>
        <w:t>, najvećim dijelom građevinskog.</w:t>
      </w:r>
      <w:r w:rsidRPr="00615350">
        <w:rPr>
          <w:rFonts w:ascii="Times New Roman" w:eastAsia="Times New Roman" w:hAnsi="Times New Roman" w:cs="Times New Roman"/>
          <w:sz w:val="24"/>
          <w:szCs w:val="24"/>
        </w:rPr>
        <w:br/>
        <w:t xml:space="preserve">Na osnovu raspoložive dokumentacije može se zaključiti da </w:t>
      </w:r>
      <w:r w:rsidRPr="00615350">
        <w:rPr>
          <w:rFonts w:ascii="Times New Roman" w:eastAsia="Times New Roman" w:hAnsi="Times New Roman" w:cs="Times New Roman"/>
          <w:b/>
          <w:bCs/>
          <w:sz w:val="24"/>
          <w:szCs w:val="24"/>
        </w:rPr>
        <w:t>ključni infrastrukturni i organizacioni ciljevi prethodnog Plana nijesu u potpunosti realizovani</w:t>
      </w:r>
      <w:r w:rsidRPr="00615350">
        <w:rPr>
          <w:rFonts w:ascii="Times New Roman" w:eastAsia="Times New Roman" w:hAnsi="Times New Roman" w:cs="Times New Roman"/>
          <w:sz w:val="24"/>
          <w:szCs w:val="24"/>
        </w:rPr>
        <w:t>. Najveći kontinuitet ostvaren je u organizovanom sakupljanju i transportu otpada, dok razvoj infrastrukture za odvojeno sakupljanje, sortiranje i druge oblike tretmana nije realizovan u predviđenom obimu.</w:t>
      </w:r>
    </w:p>
    <w:p w:rsidR="005F5F75" w:rsidRPr="00615350" w:rsidRDefault="005F5F75" w:rsidP="005F5F75">
      <w:pPr>
        <w:spacing w:before="100" w:beforeAutospacing="1" w:after="100" w:afterAutospacing="1" w:line="240" w:lineRule="auto"/>
        <w:jc w:val="center"/>
        <w:rPr>
          <w:rFonts w:ascii="Times New Roman" w:eastAsia="Times New Roman" w:hAnsi="Times New Roman" w:cs="Times New Roman"/>
          <w:sz w:val="24"/>
          <w:szCs w:val="24"/>
        </w:rPr>
      </w:pPr>
      <w:r w:rsidRPr="00615350">
        <w:rPr>
          <w:rFonts w:ascii="Times New Roman" w:eastAsia="Times New Roman" w:hAnsi="Times New Roman" w:cs="Times New Roman"/>
          <w:bCs/>
          <w:sz w:val="24"/>
          <w:szCs w:val="24"/>
        </w:rPr>
        <w:t>Tabela br. 2. Ocjena realizacije ključnih pravaca prethodnog Plana</w:t>
      </w:r>
    </w:p>
    <w:tbl>
      <w:tblPr>
        <w:tblStyle w:val="LightShading-Accent1"/>
        <w:tblW w:w="0" w:type="auto"/>
        <w:tblLook w:val="04A0" w:firstRow="1" w:lastRow="0" w:firstColumn="1" w:lastColumn="0" w:noHBand="0" w:noVBand="1"/>
      </w:tblPr>
      <w:tblGrid>
        <w:gridCol w:w="2637"/>
        <w:gridCol w:w="3865"/>
        <w:gridCol w:w="2741"/>
      </w:tblGrid>
      <w:tr w:rsidR="005F5F75" w:rsidRPr="00615350" w:rsidTr="005F5F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F5F75" w:rsidRPr="00615350" w:rsidRDefault="005F5F75" w:rsidP="005F5F75">
            <w:pPr>
              <w:jc w:val="cente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Ključni cilj/mjera</w:t>
            </w:r>
          </w:p>
        </w:tc>
        <w:tc>
          <w:tcPr>
            <w:tcW w:w="0" w:type="auto"/>
            <w:hideMark/>
          </w:tcPr>
          <w:p w:rsidR="005F5F75" w:rsidRPr="00615350" w:rsidRDefault="005F5F75" w:rsidP="005F5F7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Ocjena realizacije</w:t>
            </w:r>
          </w:p>
        </w:tc>
        <w:tc>
          <w:tcPr>
            <w:tcW w:w="0" w:type="auto"/>
            <w:hideMark/>
          </w:tcPr>
          <w:p w:rsidR="005F5F75" w:rsidRPr="00615350" w:rsidRDefault="005F5F75" w:rsidP="005F5F7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Značaj za LPUO 2026–2029.</w:t>
            </w:r>
          </w:p>
        </w:tc>
      </w:tr>
      <w:tr w:rsidR="005F5F75" w:rsidRPr="00615350" w:rsidTr="005F5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F5F75" w:rsidRPr="00615350" w:rsidRDefault="005F5F75" w:rsidP="005F5F75">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Primarna selekcija „suve“ i „mokre“ frakcije</w:t>
            </w:r>
          </w:p>
        </w:tc>
        <w:tc>
          <w:tcPr>
            <w:tcW w:w="0" w:type="auto"/>
            <w:hideMark/>
          </w:tcPr>
          <w:p w:rsidR="005F5F75" w:rsidRPr="00615350" w:rsidRDefault="005F5F75" w:rsidP="005F5F7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Djelimično realizovano</w:t>
            </w:r>
            <w:r w:rsidRPr="00615350">
              <w:rPr>
                <w:rFonts w:ascii="Times New Roman" w:eastAsia="Times New Roman" w:hAnsi="Times New Roman" w:cs="Times New Roman"/>
                <w:sz w:val="20"/>
                <w:szCs w:val="24"/>
              </w:rPr>
              <w:t xml:space="preserve"> – obezbijeđene kante i zelena ostrva, ali nije uspostavljen cjelovit sistem</w:t>
            </w:r>
          </w:p>
        </w:tc>
        <w:tc>
          <w:tcPr>
            <w:tcW w:w="0" w:type="auto"/>
            <w:hideMark/>
          </w:tcPr>
          <w:p w:rsidR="005F5F75" w:rsidRPr="00615350" w:rsidRDefault="005F5F75" w:rsidP="005F5F7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Dalji razvoj odvojenog sakupljanja ostaje prioritet</w:t>
            </w:r>
          </w:p>
        </w:tc>
      </w:tr>
      <w:tr w:rsidR="005F5F75" w:rsidRPr="00615350" w:rsidTr="005F5F75">
        <w:tc>
          <w:tcPr>
            <w:cnfStyle w:val="001000000000" w:firstRow="0" w:lastRow="0" w:firstColumn="1" w:lastColumn="0" w:oddVBand="0" w:evenVBand="0" w:oddHBand="0" w:evenHBand="0" w:firstRowFirstColumn="0" w:firstRowLastColumn="0" w:lastRowFirstColumn="0" w:lastRowLastColumn="0"/>
            <w:tcW w:w="0" w:type="auto"/>
            <w:hideMark/>
          </w:tcPr>
          <w:p w:rsidR="005F5F75" w:rsidRPr="00615350" w:rsidRDefault="005F5F75" w:rsidP="005F5F75">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Povećanje obuhvata organizovanim sakupljanjem</w:t>
            </w:r>
          </w:p>
        </w:tc>
        <w:tc>
          <w:tcPr>
            <w:tcW w:w="0" w:type="auto"/>
            <w:hideMark/>
          </w:tcPr>
          <w:p w:rsidR="005F5F75" w:rsidRPr="00615350" w:rsidRDefault="005F5F75" w:rsidP="005F5F7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Djelimično realizovano</w:t>
            </w:r>
            <w:r w:rsidRPr="00615350">
              <w:rPr>
                <w:rFonts w:ascii="Times New Roman" w:eastAsia="Times New Roman" w:hAnsi="Times New Roman" w:cs="Times New Roman"/>
                <w:sz w:val="20"/>
                <w:szCs w:val="24"/>
              </w:rPr>
              <w:t xml:space="preserve"> – obuhvat povećan na 81,23%</w:t>
            </w:r>
          </w:p>
        </w:tc>
        <w:tc>
          <w:tcPr>
            <w:tcW w:w="0" w:type="auto"/>
            <w:hideMark/>
          </w:tcPr>
          <w:p w:rsidR="005F5F75" w:rsidRPr="00615350" w:rsidRDefault="005F5F75" w:rsidP="005F5F7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Potrebno dalje proširenje, posebno u ruralnim područjima</w:t>
            </w:r>
          </w:p>
        </w:tc>
      </w:tr>
      <w:tr w:rsidR="005F5F75" w:rsidRPr="00615350" w:rsidTr="005F5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F5F75" w:rsidRPr="00615350" w:rsidRDefault="005F5F75" w:rsidP="005F5F75">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Podizanje javne svijesti</w:t>
            </w:r>
          </w:p>
        </w:tc>
        <w:tc>
          <w:tcPr>
            <w:tcW w:w="0" w:type="auto"/>
            <w:hideMark/>
          </w:tcPr>
          <w:p w:rsidR="005F5F75" w:rsidRPr="00615350" w:rsidRDefault="005F5F75" w:rsidP="005F5F7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Nije moguće pouzdano ocijeniti na osnovu izvještaja</w:t>
            </w:r>
          </w:p>
        </w:tc>
        <w:tc>
          <w:tcPr>
            <w:tcW w:w="0" w:type="auto"/>
            <w:hideMark/>
          </w:tcPr>
          <w:p w:rsidR="005F5F75" w:rsidRPr="00615350" w:rsidRDefault="005F5F75" w:rsidP="005F5F7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Potrebno jačanje edukacije i informisanja</w:t>
            </w:r>
          </w:p>
        </w:tc>
      </w:tr>
      <w:tr w:rsidR="005F5F75" w:rsidRPr="00615350" w:rsidTr="005F5F75">
        <w:tc>
          <w:tcPr>
            <w:cnfStyle w:val="001000000000" w:firstRow="0" w:lastRow="0" w:firstColumn="1" w:lastColumn="0" w:oddVBand="0" w:evenVBand="0" w:oddHBand="0" w:evenHBand="0" w:firstRowFirstColumn="0" w:firstRowLastColumn="0" w:lastRowFirstColumn="0" w:lastRowLastColumn="0"/>
            <w:tcW w:w="0" w:type="auto"/>
            <w:hideMark/>
          </w:tcPr>
          <w:p w:rsidR="005F5F75" w:rsidRPr="00615350" w:rsidRDefault="005F5F75" w:rsidP="005F5F75">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Nabavka mehanizacije i opreme</w:t>
            </w:r>
          </w:p>
        </w:tc>
        <w:tc>
          <w:tcPr>
            <w:tcW w:w="0" w:type="auto"/>
            <w:hideMark/>
          </w:tcPr>
          <w:p w:rsidR="005F5F75" w:rsidRPr="00615350" w:rsidRDefault="005F5F75" w:rsidP="005F5F7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Djelimično realizovano</w:t>
            </w:r>
          </w:p>
        </w:tc>
        <w:tc>
          <w:tcPr>
            <w:tcW w:w="0" w:type="auto"/>
            <w:hideMark/>
          </w:tcPr>
          <w:p w:rsidR="005F5F75" w:rsidRPr="00615350" w:rsidRDefault="005F5F75" w:rsidP="005F5F7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Potrebno dalje obnavljanje vozila, posuda i opreme</w:t>
            </w:r>
          </w:p>
        </w:tc>
      </w:tr>
      <w:tr w:rsidR="005F5F75" w:rsidRPr="00615350" w:rsidTr="005F5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F5F75" w:rsidRPr="00615350" w:rsidRDefault="005F5F75" w:rsidP="005F5F75">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Reciklažno dvorište sa sortirnicom</w:t>
            </w:r>
          </w:p>
        </w:tc>
        <w:tc>
          <w:tcPr>
            <w:tcW w:w="0" w:type="auto"/>
            <w:hideMark/>
          </w:tcPr>
          <w:p w:rsidR="005F5F75" w:rsidRPr="00615350" w:rsidRDefault="005F5F75" w:rsidP="005F5F7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Nije realizovano</w:t>
            </w:r>
          </w:p>
        </w:tc>
        <w:tc>
          <w:tcPr>
            <w:tcW w:w="0" w:type="auto"/>
            <w:hideMark/>
          </w:tcPr>
          <w:p w:rsidR="005F5F75" w:rsidRPr="00615350" w:rsidRDefault="005F5F75" w:rsidP="005F5F7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Projekat preispitati i uskladiti sa novim planskim rješenjima</w:t>
            </w:r>
          </w:p>
        </w:tc>
      </w:tr>
      <w:tr w:rsidR="005F5F75" w:rsidRPr="00615350" w:rsidTr="005F5F75">
        <w:tc>
          <w:tcPr>
            <w:cnfStyle w:val="001000000000" w:firstRow="0" w:lastRow="0" w:firstColumn="1" w:lastColumn="0" w:oddVBand="0" w:evenVBand="0" w:oddHBand="0" w:evenHBand="0" w:firstRowFirstColumn="0" w:firstRowLastColumn="0" w:lastRowFirstColumn="0" w:lastRowLastColumn="0"/>
            <w:tcW w:w="0" w:type="auto"/>
            <w:hideMark/>
          </w:tcPr>
          <w:p w:rsidR="005F5F75" w:rsidRPr="00615350" w:rsidRDefault="005F5F75" w:rsidP="005F5F75">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Transfer stanica</w:t>
            </w:r>
          </w:p>
        </w:tc>
        <w:tc>
          <w:tcPr>
            <w:tcW w:w="0" w:type="auto"/>
            <w:hideMark/>
          </w:tcPr>
          <w:p w:rsidR="005F5F75" w:rsidRPr="00615350" w:rsidRDefault="005F5F75" w:rsidP="005F5F7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Realizacija nije potvrđena</w:t>
            </w:r>
          </w:p>
        </w:tc>
        <w:tc>
          <w:tcPr>
            <w:tcW w:w="0" w:type="auto"/>
            <w:hideMark/>
          </w:tcPr>
          <w:p w:rsidR="005F5F75" w:rsidRPr="00615350" w:rsidRDefault="005F5F75" w:rsidP="005F5F7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 xml:space="preserve">Potrebu ponovo ocijeniti u </w:t>
            </w:r>
            <w:r w:rsidRPr="00615350">
              <w:rPr>
                <w:rFonts w:ascii="Times New Roman" w:eastAsia="Times New Roman" w:hAnsi="Times New Roman" w:cs="Times New Roman"/>
                <w:sz w:val="20"/>
                <w:szCs w:val="24"/>
              </w:rPr>
              <w:lastRenderedPageBreak/>
              <w:t>skladu sa regionalnim konceptom</w:t>
            </w:r>
          </w:p>
        </w:tc>
      </w:tr>
      <w:tr w:rsidR="005F5F75" w:rsidRPr="00615350" w:rsidTr="005F5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5F5F75" w:rsidRPr="00615350" w:rsidRDefault="005F5F75" w:rsidP="005F5F75">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lastRenderedPageBreak/>
              <w:t>Smanjenje odlaganja u Rujištima</w:t>
            </w:r>
          </w:p>
        </w:tc>
        <w:tc>
          <w:tcPr>
            <w:tcW w:w="0" w:type="auto"/>
            <w:hideMark/>
          </w:tcPr>
          <w:p w:rsidR="005F5F75" w:rsidRPr="00615350" w:rsidRDefault="005F5F75" w:rsidP="005F5F7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Nije ostvareno u planiranom obimu</w:t>
            </w:r>
          </w:p>
        </w:tc>
        <w:tc>
          <w:tcPr>
            <w:tcW w:w="0" w:type="auto"/>
            <w:hideMark/>
          </w:tcPr>
          <w:p w:rsidR="005F5F75" w:rsidRPr="00615350" w:rsidRDefault="005F5F75" w:rsidP="005F5F7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Smanjenje rezidualnog otpada ostaje važan zadatak</w:t>
            </w:r>
          </w:p>
        </w:tc>
      </w:tr>
      <w:tr w:rsidR="005F5F75" w:rsidRPr="00615350" w:rsidTr="005F5F75">
        <w:tc>
          <w:tcPr>
            <w:cnfStyle w:val="001000000000" w:firstRow="0" w:lastRow="0" w:firstColumn="1" w:lastColumn="0" w:oddVBand="0" w:evenVBand="0" w:oddHBand="0" w:evenHBand="0" w:firstRowFirstColumn="0" w:firstRowLastColumn="0" w:lastRowFirstColumn="0" w:lastRowLastColumn="0"/>
            <w:tcW w:w="0" w:type="auto"/>
            <w:hideMark/>
          </w:tcPr>
          <w:p w:rsidR="005F5F75" w:rsidRPr="00615350" w:rsidRDefault="005F5F75" w:rsidP="005F5F75">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Sanacija nelegalnih odlagališta</w:t>
            </w:r>
          </w:p>
        </w:tc>
        <w:tc>
          <w:tcPr>
            <w:tcW w:w="0" w:type="auto"/>
            <w:hideMark/>
          </w:tcPr>
          <w:p w:rsidR="005F5F75" w:rsidRPr="00615350" w:rsidRDefault="005F5F75" w:rsidP="005F5F7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Djelimično realizovano</w:t>
            </w:r>
            <w:r w:rsidRPr="00615350">
              <w:rPr>
                <w:rFonts w:ascii="Times New Roman" w:eastAsia="Times New Roman" w:hAnsi="Times New Roman" w:cs="Times New Roman"/>
                <w:sz w:val="20"/>
                <w:szCs w:val="24"/>
              </w:rPr>
              <w:t xml:space="preserve"> – sanacije su vršene, ali se lokacije ponovo pojavljuju</w:t>
            </w:r>
          </w:p>
        </w:tc>
        <w:tc>
          <w:tcPr>
            <w:tcW w:w="0" w:type="auto"/>
            <w:hideMark/>
          </w:tcPr>
          <w:p w:rsidR="005F5F75" w:rsidRPr="00615350" w:rsidRDefault="005F5F75" w:rsidP="005F5F7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Potrebno povezati sanaciju sa preventivnim mjerama</w:t>
            </w:r>
          </w:p>
        </w:tc>
      </w:tr>
    </w:tbl>
    <w:p w:rsidR="005F5F75" w:rsidRPr="00615350" w:rsidRDefault="005F5F75" w:rsidP="005F5F75">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Nerealizovane i djelimično realizovane mjere potrebno je ponovo sagledati u odnosu na </w:t>
      </w:r>
      <w:r w:rsidRPr="00615350">
        <w:rPr>
          <w:rFonts w:ascii="Times New Roman" w:eastAsia="Times New Roman" w:hAnsi="Times New Roman" w:cs="Times New Roman"/>
          <w:b/>
          <w:bCs/>
          <w:sz w:val="24"/>
          <w:szCs w:val="24"/>
        </w:rPr>
        <w:t>važeći Zakon o upravljanju otpadom, Državni plan upravljanja otpadom 2025–2029. godine, stvarno stanje sistema i aktuelne potrebe Opštine Berane</w:t>
      </w:r>
      <w:r w:rsidRPr="00615350">
        <w:rPr>
          <w:rFonts w:ascii="Times New Roman" w:eastAsia="Times New Roman" w:hAnsi="Times New Roman" w:cs="Times New Roman"/>
          <w:sz w:val="24"/>
          <w:szCs w:val="24"/>
        </w:rPr>
        <w:t xml:space="preserve">. Posebno je potrebno preispitati ranije planirani projekat reciklažnog dvorišta sa sortirnicom i njegovo usklađivanje sa planskim rješenjem DPUO kojim je za Berane predviđen </w:t>
      </w:r>
      <w:r w:rsidRPr="00615350">
        <w:rPr>
          <w:rFonts w:ascii="Times New Roman" w:eastAsia="Times New Roman" w:hAnsi="Times New Roman" w:cs="Times New Roman"/>
          <w:b/>
          <w:bCs/>
          <w:sz w:val="24"/>
          <w:szCs w:val="24"/>
        </w:rPr>
        <w:t>reciklažni centar</w:t>
      </w:r>
      <w:r w:rsidRPr="00615350">
        <w:rPr>
          <w:rFonts w:ascii="Times New Roman" w:eastAsia="Times New Roman" w:hAnsi="Times New Roman" w:cs="Times New Roman"/>
          <w:sz w:val="24"/>
          <w:szCs w:val="24"/>
        </w:rPr>
        <w:t>.</w:t>
      </w:r>
    </w:p>
    <w:p w:rsidR="00B64FF2" w:rsidRPr="00615350" w:rsidRDefault="00B64FF2" w:rsidP="00900448">
      <w:pPr>
        <w:pStyle w:val="Heading1"/>
        <w:rPr>
          <w:rFonts w:eastAsia="Times New Roman"/>
          <w:noProof/>
          <w:lang w:val="sr-Latn-RS"/>
        </w:rPr>
      </w:pPr>
      <w:bookmarkStart w:id="13" w:name="_Toc240282272"/>
      <w:r w:rsidRPr="00615350">
        <w:rPr>
          <w:rFonts w:eastAsia="Times New Roman"/>
          <w:noProof/>
          <w:lang w:val="sr-Latn-RS"/>
        </w:rPr>
        <w:t>3. POSTOJEĆE STANJE UPRAVLJANJA OTPADOM NA TERITORIJI OPŠTINE BERANE</w:t>
      </w:r>
      <w:bookmarkEnd w:id="13"/>
    </w:p>
    <w:p w:rsidR="009754B4" w:rsidRPr="00615350" w:rsidRDefault="009754B4" w:rsidP="00900448">
      <w:pPr>
        <w:pStyle w:val="Heading2"/>
        <w:rPr>
          <w:rFonts w:eastAsia="Times New Roman"/>
          <w:noProof/>
          <w:lang w:val="sr-Latn-RS"/>
        </w:rPr>
      </w:pPr>
      <w:bookmarkStart w:id="14" w:name="_Toc240282273"/>
      <w:r w:rsidRPr="00615350">
        <w:rPr>
          <w:rFonts w:eastAsia="Times New Roman"/>
          <w:noProof/>
          <w:lang w:val="sr-Latn-RS"/>
        </w:rPr>
        <w:t>3.1. Osnovne karakteristike Opštine Berane</w:t>
      </w:r>
      <w:bookmarkEnd w:id="14"/>
    </w:p>
    <w:p w:rsidR="009754B4" w:rsidRPr="00615350" w:rsidRDefault="009754B4"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Opština Berane nalazi se u istočnom dijelu Crne Gore i obuhvata sjeverni dio oblasti Gornje Polimlje. Teritoriju karakterišu Beranska kotlina, dolina rijeke Lim i okolni planinski prostor. Beranska kotlina prostire se pravcem jugoistok–sjeverozapad, u dužini od oko 9 km i širini od 3 do 5 km. Kroz njen središnji dio protiče rijeka Lim, sa brojnim pritokama. </w:t>
      </w:r>
    </w:p>
    <w:p w:rsidR="009754B4" w:rsidRPr="00615350" w:rsidRDefault="009754B4"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Prema rezultatima Popisa stanovništva iz 2023. godine, na teritoriji opštine Berane živi </w:t>
      </w:r>
      <w:r w:rsidRPr="00615350">
        <w:rPr>
          <w:rFonts w:ascii="Times New Roman" w:eastAsia="Times New Roman" w:hAnsi="Times New Roman" w:cs="Times New Roman"/>
          <w:bCs/>
          <w:noProof/>
          <w:sz w:val="24"/>
          <w:szCs w:val="24"/>
          <w:lang w:val="sr-Latn-RS"/>
        </w:rPr>
        <w:t>25.162 stanovnika</w:t>
      </w:r>
      <w:r w:rsidRPr="00615350">
        <w:rPr>
          <w:rFonts w:ascii="Times New Roman" w:eastAsia="Times New Roman" w:hAnsi="Times New Roman" w:cs="Times New Roman"/>
          <w:noProof/>
          <w:sz w:val="24"/>
          <w:szCs w:val="24"/>
          <w:lang w:val="sr-Latn-RS"/>
        </w:rPr>
        <w:t xml:space="preserve">, što predstavlja smanjenje od oko </w:t>
      </w:r>
      <w:r w:rsidRPr="00615350">
        <w:rPr>
          <w:rFonts w:ascii="Times New Roman" w:eastAsia="Times New Roman" w:hAnsi="Times New Roman" w:cs="Times New Roman"/>
          <w:bCs/>
          <w:noProof/>
          <w:sz w:val="24"/>
          <w:szCs w:val="24"/>
          <w:lang w:val="sr-Latn-RS"/>
        </w:rPr>
        <w:t>11,7%</w:t>
      </w:r>
      <w:r w:rsidRPr="00615350">
        <w:rPr>
          <w:rFonts w:ascii="Times New Roman" w:eastAsia="Times New Roman" w:hAnsi="Times New Roman" w:cs="Times New Roman"/>
          <w:noProof/>
          <w:sz w:val="24"/>
          <w:szCs w:val="24"/>
          <w:lang w:val="sr-Latn-RS"/>
        </w:rPr>
        <w:t xml:space="preserve"> u odnosu na 2011. godinu, kada je evidentirano 28.488 stanovnika. U </w:t>
      </w:r>
      <w:r w:rsidR="00D17F6B" w:rsidRPr="00615350">
        <w:rPr>
          <w:rFonts w:ascii="Times New Roman" w:eastAsia="Times New Roman" w:hAnsi="Times New Roman" w:cs="Times New Roman"/>
          <w:noProof/>
          <w:sz w:val="24"/>
          <w:szCs w:val="24"/>
          <w:lang w:val="sr-Latn-RS"/>
        </w:rPr>
        <w:t>o</w:t>
      </w:r>
      <w:r w:rsidRPr="00615350">
        <w:rPr>
          <w:rFonts w:ascii="Times New Roman" w:eastAsia="Times New Roman" w:hAnsi="Times New Roman" w:cs="Times New Roman"/>
          <w:noProof/>
          <w:sz w:val="24"/>
          <w:szCs w:val="24"/>
          <w:lang w:val="sr-Latn-RS"/>
        </w:rPr>
        <w:t xml:space="preserve">pštini je evidentirano </w:t>
      </w:r>
      <w:r w:rsidRPr="00615350">
        <w:rPr>
          <w:rFonts w:ascii="Times New Roman" w:eastAsia="Times New Roman" w:hAnsi="Times New Roman" w:cs="Times New Roman"/>
          <w:bCs/>
          <w:noProof/>
          <w:sz w:val="24"/>
          <w:szCs w:val="24"/>
          <w:lang w:val="sr-Latn-RS"/>
        </w:rPr>
        <w:t>8.096 domaćinstava i 12.422 stana</w:t>
      </w:r>
      <w:r w:rsidRPr="00615350">
        <w:rPr>
          <w:rFonts w:ascii="Times New Roman" w:eastAsia="Times New Roman" w:hAnsi="Times New Roman" w:cs="Times New Roman"/>
          <w:noProof/>
          <w:sz w:val="24"/>
          <w:szCs w:val="24"/>
          <w:lang w:val="sr-Latn-RS"/>
        </w:rPr>
        <w:t xml:space="preserve">. </w:t>
      </w:r>
    </w:p>
    <w:p w:rsidR="009754B4" w:rsidRPr="00615350" w:rsidRDefault="009754B4"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Značajan dio stanovništva živi izvan gradskog područja, zbog čega prostorna disperzija stanovništva predstavlja važan faktor pri organizovanju sistema sakupljanja i transporta komunalnog otpada. Različita gustina naseljenosti gradskih, prigradskih i ruralnih područja zahtijeva prilagođavanje načina i učestalosti pružanja usluge sakupljanja otpada karakteristikama pojedinih naselja. </w:t>
      </w:r>
    </w:p>
    <w:p w:rsidR="009754B4" w:rsidRPr="00615350" w:rsidRDefault="009754B4"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Privredu opštine karakteriše značajno učešće mikro i malih preduzeća, dok su među zastupljenijim djelatnostima trgovina, prerađivačka industrija, građevinarstvo, saobraćaj i uslužne djelatnosti. P</w:t>
      </w:r>
      <w:r w:rsidR="004E4FA5" w:rsidRPr="00615350">
        <w:rPr>
          <w:rFonts w:ascii="Times New Roman" w:eastAsia="Times New Roman" w:hAnsi="Times New Roman" w:cs="Times New Roman"/>
          <w:noProof/>
          <w:sz w:val="24"/>
          <w:szCs w:val="24"/>
          <w:lang w:val="sr-Latn-RS"/>
        </w:rPr>
        <w:t>oljoprivreda ima značajnu ulogu.</w:t>
      </w:r>
      <w:r w:rsidRPr="00615350">
        <w:rPr>
          <w:rFonts w:ascii="Times New Roman" w:eastAsia="Times New Roman" w:hAnsi="Times New Roman" w:cs="Times New Roman"/>
          <w:noProof/>
          <w:sz w:val="24"/>
          <w:szCs w:val="24"/>
          <w:lang w:val="sr-Latn-RS"/>
        </w:rPr>
        <w:t xml:space="preserve"> </w:t>
      </w:r>
      <w:r w:rsidR="004E4FA5" w:rsidRPr="00615350">
        <w:rPr>
          <w:rFonts w:ascii="Times New Roman" w:eastAsia="Times New Roman" w:hAnsi="Times New Roman" w:cs="Times New Roman"/>
          <w:noProof/>
          <w:sz w:val="24"/>
          <w:szCs w:val="24"/>
          <w:lang w:val="sr-Latn-RS"/>
        </w:rPr>
        <w:t>Prema konačnim rezultatima Popisa poljoprivrede 2024. godine, na teritoriji opštine Berane evidentirano je 2.060 poljoprivrednih gazdinstava</w:t>
      </w:r>
      <w:r w:rsidRPr="00615350">
        <w:rPr>
          <w:rFonts w:ascii="Times New Roman" w:eastAsia="Times New Roman" w:hAnsi="Times New Roman" w:cs="Times New Roman"/>
          <w:noProof/>
          <w:sz w:val="24"/>
          <w:szCs w:val="24"/>
          <w:lang w:val="sr-Latn-RS"/>
        </w:rPr>
        <w:t>. Izražen ruralni karakter i zastupljenost poljoprivrednih domaćinstava predstavljaju značajan potencijal za primjenu kućnog kompostiranja i smanjenje količine biootpada koji ulazi u sistem organizovanog sakupljanja.</w:t>
      </w:r>
    </w:p>
    <w:p w:rsidR="009754B4" w:rsidRPr="00615350" w:rsidRDefault="009754B4" w:rsidP="00900448">
      <w:pPr>
        <w:spacing w:before="100" w:beforeAutospacing="1" w:after="100" w:afterAutospacing="1"/>
        <w:jc w:val="both"/>
        <w:rPr>
          <w:rFonts w:ascii="Times New Roman" w:eastAsia="Times New Roman" w:hAnsi="Times New Roman" w:cs="Times New Roman"/>
          <w:noProof/>
          <w:sz w:val="24"/>
          <w:szCs w:val="24"/>
          <w:lang w:val="sr-Latn-RS"/>
        </w:rPr>
      </w:pPr>
      <w:r w:rsidRPr="00615350">
        <w:rPr>
          <w:rFonts w:ascii="Times New Roman" w:eastAsia="Times New Roman" w:hAnsi="Times New Roman" w:cs="Times New Roman"/>
          <w:noProof/>
          <w:sz w:val="24"/>
          <w:szCs w:val="24"/>
          <w:lang w:val="sr-Latn-RS"/>
        </w:rPr>
        <w:t xml:space="preserve">Navedene demografske, prostorne i privredne karakteristike neposredno utiču na organizaciju sistema upravljanja otpadom, posebno na planiranje obuhvata stanovništva uslugom </w:t>
      </w:r>
      <w:r w:rsidRPr="00615350">
        <w:rPr>
          <w:rFonts w:ascii="Times New Roman" w:eastAsia="Times New Roman" w:hAnsi="Times New Roman" w:cs="Times New Roman"/>
          <w:noProof/>
          <w:sz w:val="24"/>
          <w:szCs w:val="24"/>
          <w:lang w:val="sr-Latn-RS"/>
        </w:rPr>
        <w:lastRenderedPageBreak/>
        <w:t>sakupljanja, potrebne infrastrukture i opreme, optimizaciju transporta, razvoj odvojenog sakupljanja i primjenu kompostiranja u ruralnim područjima.</w:t>
      </w:r>
    </w:p>
    <w:p w:rsidR="009754B4" w:rsidRPr="00615350" w:rsidRDefault="009754B4" w:rsidP="00900448">
      <w:pPr>
        <w:pStyle w:val="Heading2"/>
        <w:jc w:val="both"/>
        <w:rPr>
          <w:rFonts w:ascii="Times New Roman" w:eastAsia="Times New Roman" w:hAnsi="Times New Roman" w:cs="Times New Roman"/>
          <w:noProof/>
          <w:sz w:val="24"/>
          <w:szCs w:val="24"/>
          <w:lang w:val="sr-Latn-RS"/>
        </w:rPr>
      </w:pPr>
      <w:bookmarkStart w:id="15" w:name="_Toc240282274"/>
      <w:r w:rsidRPr="00615350">
        <w:rPr>
          <w:rFonts w:ascii="Times New Roman" w:eastAsia="Times New Roman" w:hAnsi="Times New Roman" w:cs="Times New Roman"/>
          <w:noProof/>
          <w:sz w:val="24"/>
          <w:szCs w:val="24"/>
          <w:lang w:val="sr-Latn-RS"/>
        </w:rPr>
        <w:t>3.2. Organizacija sistema upravljanja komunalnim otpadom</w:t>
      </w:r>
      <w:bookmarkEnd w:id="15"/>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Upravljanje komunalnim otpadom na teritoriji opštine Berane u nadležnosti je lokalne samouprave, dok su operativni poslovi sakupljanja, transporta i privremenog skladištenja komunalnog otpada povjereni DOO „Komunalno“ Berane. Komunalni otpad se sakuplja iz domaćinstava, poslovnih i komercijalnih objekata, javnih ustanova i sa javnih površina, a sakupljeni otpad transportuje se do lokacije za privremeno skladištenje „Rujiške laze“, kojom upravlja DOO „Komunalno“ Berane.</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Postojeći sistem upravljanja komunalnim otpadom dominantno je zasnovan na sakupljanju miješanog komunalnog otpada, njegovom transportu i privremenom skladištenju. Sakupljanje i transport otpada obavljaju se tokom cijele godine, dok se dinamika odvoza razlikuje u zavisnosti od područja i tipa naselja. Na gradskom području miješani komunalni otpad se sakuplja svakodnevno, dok se u prigradskim i seoskim područjima odvoz uglavnom vrši jednom ili dva puta sedmično.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Obuhvat organizovanim sakupljanjem nije jednak na cijeloj teritoriji opštine. Prema zvaničnom Izvještaju o sprovođenju Lokalnog plana za 2022. godinu, uslugom sakupljanja bilo je obuhvaćeno 79,79% stanovništva, dok je obuhvat na gradskom području iznosio 100%. U istoj godini evidentirano je 6.785 korisnika iz kategorije fizičkih lica i 728 privrednih društava.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zvaničnom Izvještaju za 2023. godinu, obuhvat stanovništva povećan je na 81,23%, dok je gradsko područje i dalje bilo obuhvaćeno uslugom u potpunosti. U toj godini evidentirano je 6.907 korisnika iz kategorije fizičkih lica i 725 korisnika iz kategorije privrednih društava.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posljednjim raspoloživim zvaničnim podacima za 2025. godinu, obuhvat stanovništva organizovanim sakupljanjem komunalnog otpada iznosi 81,23%, dok je gradsko područje pokriveno uslugom u potpunosti. Broj fizičkih lica kod kojih se vrši organizovano sakupljanje komunalnog otpada iznosio je 6.845, a broj privrednih društava 785. U odnosu na 2024. godinu, broj pravnih korisnika je povećan, dok je broj fizičkih korisnika neznatno smanjen.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Neujednačen obuhvat posebno je izražen u ruralnim i udaljenijim naseljima, gdje na dostupnost usluge utiču razuđenost teritorije, stanje i pristupačnost putne mreže, udaljenost od glavnih pravaca sakupljanja i raspoloživi tehnički kapaciteti DOO „Komunalno“. Zbog toga obezbjeđivanje potpune i jednako dostupne usluge na cijeloj teritoriji opštine predstavlja jedan od važnih organizacionih izazova postojećeg sistema.</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Lokalnim propisima predviđeno je odvojeno sakupljanje pojedinih frakcija komunalnog otpada, uključujući sistem „suve“ i „mokre“ frakcije, sistem „od vrata do vrata“, odvojeno </w:t>
      </w:r>
      <w:r w:rsidRPr="00615350">
        <w:rPr>
          <w:rFonts w:ascii="Times New Roman" w:eastAsia="Times New Roman" w:hAnsi="Times New Roman" w:cs="Times New Roman"/>
          <w:sz w:val="24"/>
          <w:szCs w:val="24"/>
        </w:rPr>
        <w:lastRenderedPageBreak/>
        <w:t xml:space="preserve">sakupljanje papira i kartona, kao i posebno sakupljanje zelenog i kabastog otpada. Odlukom je predviđeno i postepeno proširenje usluge na ruralna naselja Zagorje, Dapsiće, Polica, Crni Vrh, Kaludra, Rovca, Donje Zaostro i Gornje Zaostro.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Međutim, sistem primarne selekcije još nije uspostavljen u punom obimu. Sama lokalna Odluka vezuje punu primjenu pojedinih mjera odvojenog sakupljanja za početak funkcionisanja reciklažnog dvorišta sa sortirnicom ili za uspostavljanje drugog odgovarajućeg načina organizovanja reciklabilnih frakcija. U postojećim uslovima odvojeno sakupljanje se sprovodi djelimično, dok se najveći dio komunalnog otpada i dalje sakuplja kao miješani tok.</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Dalje unapređenje organizacije sistema zahtijeva povećanje obuhvata organizovanim sakupljanjem, naročito u ruralnim naseljima, razvoj funkcionalnog sistema primarne selekcije, prilagođavanje dinamike sakupljanja karakteristikama pojedinih područja i stvaranje odgovarajućih infrastrukturnih uslova za prijem, razvrstavanje i dalji tretman odvojeno sakupljenog otpada.</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Detaljniji podaci o količinama i sastavu otpada, sistemu sakupljanja i transporta, raspoloživoj opremi i voznom parku, odvojenom sakupljanju i lokaciji „Rujiške laze“ dati su u narednim potpoglavljima Plana.</w:t>
      </w:r>
    </w:p>
    <w:p w:rsidR="009268FC" w:rsidRPr="00615350" w:rsidRDefault="009268FC" w:rsidP="00900448">
      <w:pPr>
        <w:pStyle w:val="Heading2"/>
        <w:jc w:val="both"/>
        <w:rPr>
          <w:rFonts w:ascii="Times New Roman" w:eastAsia="Times New Roman" w:hAnsi="Times New Roman" w:cs="Times New Roman"/>
          <w:sz w:val="24"/>
          <w:szCs w:val="24"/>
        </w:rPr>
      </w:pPr>
      <w:bookmarkStart w:id="16" w:name="_Toc240282275"/>
      <w:r w:rsidRPr="00615350">
        <w:rPr>
          <w:rFonts w:ascii="Times New Roman" w:hAnsi="Times New Roman" w:cs="Times New Roman"/>
          <w:sz w:val="24"/>
          <w:szCs w:val="24"/>
        </w:rPr>
        <w:t>3.3. Količine komunalnog otpada</w:t>
      </w:r>
      <w:bookmarkEnd w:id="16"/>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Pouzdano utvrđivanje količina nastalog i sakupljenog komunalnog otpada predstavlja osnovu za planiranje sistema sakupljanja i transporta, odvojenog sakupljanja, kao i potrebnih kapaciteta za ponovnu upotrebu, reciklažu i druge postupke obrade otpada. Pri analizi podataka za opštinu Berane potrebno je, međutim, razlikovati </w:t>
      </w:r>
      <w:r w:rsidRPr="00615350">
        <w:rPr>
          <w:rFonts w:ascii="Times New Roman" w:eastAsia="Times New Roman" w:hAnsi="Times New Roman" w:cs="Times New Roman"/>
          <w:b/>
          <w:bCs/>
          <w:sz w:val="24"/>
          <w:szCs w:val="24"/>
        </w:rPr>
        <w:t>administrativne evidencije o tokovima otpada kojima upravlja DOO „Komunalno“ Berane</w:t>
      </w:r>
      <w:r w:rsidRPr="00615350">
        <w:rPr>
          <w:rFonts w:ascii="Times New Roman" w:eastAsia="Times New Roman" w:hAnsi="Times New Roman" w:cs="Times New Roman"/>
          <w:sz w:val="24"/>
          <w:szCs w:val="24"/>
        </w:rPr>
        <w:t xml:space="preserve"> od rezultata neposrednih mjerenja komunalnog otpada.</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godišnjim izvještajima i podacima DOO „Komunalno“ Berane, ukupne evidentirane količine otpada kojima je upravljao lokalni komunalni sistem u periodu 2022–2025. godine kretale su se između približno 9.500 i 10.000 t godišnje. U ove količine, pored miješanog komunalnog otpada, uključene su i zbirno evidentirane količine zemlje, kamena i građevinskog otpada, kao i biorazgradivog i drvnog, odnosno parkovskog otpada. Za 2022. godinu zvanični izvještaj navodi ukupno 9.980 t, od čega 7.330 t miješanog komunalnog otpada, 1.660 t zemlje, kamena i građevinskog otpada i 990 t biorazgradivog i drvnog otpada.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Raspoloživi podaci za period 2022–2025. prikazani su u narednoj tabeli.</w:t>
      </w:r>
    </w:p>
    <w:p w:rsidR="00C966AF" w:rsidRPr="00615350" w:rsidRDefault="00C966AF" w:rsidP="0079153E">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w:t>
      </w:r>
      <w:r w:rsidR="000A6C65" w:rsidRPr="00615350">
        <w:rPr>
          <w:rFonts w:ascii="Times New Roman" w:eastAsia="Times New Roman" w:hAnsi="Times New Roman" w:cs="Times New Roman"/>
          <w:sz w:val="24"/>
          <w:szCs w:val="24"/>
        </w:rPr>
        <w:t xml:space="preserve"> 3</w:t>
      </w:r>
      <w:r w:rsidRPr="00615350">
        <w:rPr>
          <w:rFonts w:ascii="Times New Roman" w:eastAsia="Times New Roman" w:hAnsi="Times New Roman" w:cs="Times New Roman"/>
          <w:sz w:val="24"/>
          <w:szCs w:val="24"/>
        </w:rPr>
        <w:t xml:space="preserve"> </w:t>
      </w:r>
      <w:r w:rsidR="000A6C65" w:rsidRPr="00615350">
        <w:rPr>
          <w:rFonts w:ascii="Times New Roman" w:eastAsia="Times New Roman" w:hAnsi="Times New Roman" w:cs="Times New Roman"/>
          <w:sz w:val="24"/>
          <w:szCs w:val="24"/>
        </w:rPr>
        <w:t>Podaci o količinama sakupljenog otpada za period 2022–2025</w:t>
      </w:r>
    </w:p>
    <w:tbl>
      <w:tblPr>
        <w:tblStyle w:val="LightShading-Accent1"/>
        <w:tblW w:w="0" w:type="auto"/>
        <w:tblLook w:val="04A0" w:firstRow="1" w:lastRow="0" w:firstColumn="1" w:lastColumn="0" w:noHBand="0" w:noVBand="1"/>
      </w:tblPr>
      <w:tblGrid>
        <w:gridCol w:w="805"/>
        <w:gridCol w:w="1770"/>
        <w:gridCol w:w="2134"/>
        <w:gridCol w:w="2878"/>
        <w:gridCol w:w="1656"/>
      </w:tblGrid>
      <w:tr w:rsidR="00F7010E" w:rsidRPr="00615350" w:rsidTr="00791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Miješani komunalni otpad (t)</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Zemlja, kamen i građevinski otpad (t)</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Biorazgradivi/drvni odnosno parkovski otpad (t)</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Ukupno evidentirano (t)</w:t>
            </w:r>
          </w:p>
        </w:tc>
      </w:tr>
      <w:tr w:rsidR="00F7010E" w:rsidRPr="00615350" w:rsidTr="0079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lastRenderedPageBreak/>
              <w:t>2022.</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7.330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1.660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990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9.980</w:t>
            </w:r>
          </w:p>
        </w:tc>
      </w:tr>
      <w:tr w:rsidR="00F7010E" w:rsidRPr="00615350" w:rsidTr="0079153E">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2023.</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7.450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1.500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1.050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10.000</w:t>
            </w:r>
          </w:p>
        </w:tc>
      </w:tr>
      <w:tr w:rsidR="00F7010E" w:rsidRPr="00615350" w:rsidTr="00791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2024.</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6.950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1.650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950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9.550</w:t>
            </w:r>
          </w:p>
        </w:tc>
      </w:tr>
      <w:tr w:rsidR="00F7010E" w:rsidRPr="00615350" w:rsidTr="0079153E">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7.150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1.760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1.020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9.930</w:t>
            </w:r>
          </w:p>
        </w:tc>
      </w:tr>
    </w:tbl>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Podaci pokazuju da se ukupna evidentirana količina otpada tokom posmatranog perioda zadržava na relativno stabilnom nivou, uz godišnje oscilacije između pojedinih tokova. Količina miješanog komunalnog otpada smanjena je sa 7.450 t u 2023. na 6.950 t u 2024. godini, dok je u 2025. ponovo povećana na 7.150 t. Istovremeno, zbirno evidentirana količina zemlje, kamena i građevinskog otpada povećana je sa 1.500 t u 2023. na 1.760 t u 2025. godini.</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 tumačenju ovih podataka potrebno je imati u vidu da se evidencije DOO „Komunalno“ ne zasnivaju u svim slučajevima na neposrednom vaganju otpada, već se dio količina određuje na osnovu zapremine vozila, broja tura i odgovarajućih procjena. Zbog toga navedene vrijednosti predstavljaju prvenstveno </w:t>
      </w:r>
      <w:r w:rsidRPr="00615350">
        <w:rPr>
          <w:rFonts w:ascii="Times New Roman" w:eastAsia="Times New Roman" w:hAnsi="Times New Roman" w:cs="Times New Roman"/>
          <w:b/>
          <w:bCs/>
          <w:sz w:val="24"/>
          <w:szCs w:val="24"/>
        </w:rPr>
        <w:t>operativnu evidenciju tokova otpada kojima upravlja komunalno preduzeće</w:t>
      </w:r>
      <w:r w:rsidRPr="00615350">
        <w:rPr>
          <w:rFonts w:ascii="Times New Roman" w:eastAsia="Times New Roman" w:hAnsi="Times New Roman" w:cs="Times New Roman"/>
          <w:sz w:val="24"/>
          <w:szCs w:val="24"/>
        </w:rPr>
        <w:t>, a ne precizno utvrđenu ukupnu količinu komunalnog otpada generisanog na teritoriji opštine.</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Pored navedenih tokova, na teritoriji opštine postoje i aktivnosti odvojenog sakupljanja pojedinih sekundarnih sirovina. Prema raspoloživim podacima, privatni sakupljač je tokom 2024. godine odvojeno sakupio </w:t>
      </w:r>
      <w:r w:rsidRPr="00615350">
        <w:rPr>
          <w:rFonts w:ascii="Times New Roman" w:eastAsia="Times New Roman" w:hAnsi="Times New Roman" w:cs="Times New Roman"/>
          <w:b/>
          <w:bCs/>
          <w:sz w:val="24"/>
          <w:szCs w:val="24"/>
        </w:rPr>
        <w:t>630 t kartonske ambalaže i 45 t plastičnog/najlonskog otpada</w:t>
      </w:r>
      <w:r w:rsidRPr="00615350">
        <w:rPr>
          <w:rFonts w:ascii="Times New Roman" w:eastAsia="Times New Roman" w:hAnsi="Times New Roman" w:cs="Times New Roman"/>
          <w:sz w:val="24"/>
          <w:szCs w:val="24"/>
        </w:rPr>
        <w:t>, odnosno ukupno 675 t ovih materijala. Od polovine 2025. godine DOO „Komunalno“ preuzelo je sakupljanje kartonske ambalaže od navedenog privatnog sakupljača. Prema dostavljenim podacima, zbog nepostojanja odgovarajućih uslova za njenu pripremu i plasman, tako prikupljena kartonska ambalaža trenutno se odlaže na lokaciji „Rujiške laze“.</w:t>
      </w:r>
    </w:p>
    <w:p w:rsidR="00F7010E" w:rsidRPr="00615350" w:rsidRDefault="00F7010E" w:rsidP="0079153E">
      <w:pPr>
        <w:rPr>
          <w:rFonts w:ascii="Times New Roman" w:hAnsi="Times New Roman" w:cs="Times New Roman"/>
          <w:b/>
          <w:sz w:val="24"/>
        </w:rPr>
      </w:pPr>
      <w:r w:rsidRPr="00615350">
        <w:rPr>
          <w:rFonts w:ascii="Times New Roman" w:hAnsi="Times New Roman" w:cs="Times New Roman"/>
          <w:b/>
          <w:sz w:val="24"/>
        </w:rPr>
        <w:t>Rezultati neposrednih mjerenja komunalnog otpada</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Radi dobijanja pouzdanije osnove za procjenu količine komunalnog otpada koja stvarno nastaje na teritoriji opštine, tokom 2024. godine sprovedene su četiri sezonske kampanje neposrednog mjerenja sakupljenog komunalnog otpada. Za razliku od prethodno prikazanih administrativnih evidencija, ova mjerenja omogućavaju procjenu specifičnog generisanja komunalnog otpada po stanovniku i procjenu ukupne količine nastalog otpada, uključujući i dio koji nije obuhvaćen organizovanim sakupljanjem.</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Rezultati mjerenja, projektovani na godišnji nivo, uz uključivanje odvojeno sakupljenog kartona i najlona, dali su prosječnu količinu od oko </w:t>
      </w:r>
      <w:r w:rsidRPr="00615350">
        <w:rPr>
          <w:rFonts w:ascii="Times New Roman" w:eastAsia="Times New Roman" w:hAnsi="Times New Roman" w:cs="Times New Roman"/>
          <w:b/>
          <w:bCs/>
          <w:sz w:val="24"/>
          <w:szCs w:val="24"/>
        </w:rPr>
        <w:t>7.174 t/god. sakupljenog komunalnog otpada</w:t>
      </w:r>
      <w:r w:rsidRPr="00615350">
        <w:rPr>
          <w:rFonts w:ascii="Times New Roman" w:eastAsia="Times New Roman" w:hAnsi="Times New Roman" w:cs="Times New Roman"/>
          <w:sz w:val="24"/>
          <w:szCs w:val="24"/>
        </w:rPr>
        <w:t xml:space="preserve">. Na osnovu korišćenog obuhvata organizovanim sakupljanjem od približno 81,2%, ukupna količina generisanog komunalnog otpada procijenjena je na oko </w:t>
      </w:r>
      <w:r w:rsidRPr="00615350">
        <w:rPr>
          <w:rFonts w:ascii="Times New Roman" w:eastAsia="Times New Roman" w:hAnsi="Times New Roman" w:cs="Times New Roman"/>
          <w:b/>
          <w:bCs/>
          <w:sz w:val="24"/>
          <w:szCs w:val="24"/>
        </w:rPr>
        <w:t>8.832 t/god.</w:t>
      </w:r>
      <w:r w:rsidRPr="00615350">
        <w:rPr>
          <w:rFonts w:ascii="Times New Roman" w:eastAsia="Times New Roman" w:hAnsi="Times New Roman" w:cs="Times New Roman"/>
          <w:sz w:val="24"/>
          <w:szCs w:val="24"/>
        </w:rPr>
        <w:t xml:space="preserve"> To odgovara specifičnom generisanju od približno </w:t>
      </w:r>
      <w:r w:rsidRPr="00615350">
        <w:rPr>
          <w:rFonts w:ascii="Times New Roman" w:eastAsia="Times New Roman" w:hAnsi="Times New Roman" w:cs="Times New Roman"/>
          <w:b/>
          <w:bCs/>
          <w:sz w:val="24"/>
          <w:szCs w:val="24"/>
        </w:rPr>
        <w:t>351 kg/stan./god.</w:t>
      </w:r>
      <w:r w:rsidRPr="00615350">
        <w:rPr>
          <w:rFonts w:ascii="Times New Roman" w:eastAsia="Times New Roman" w:hAnsi="Times New Roman" w:cs="Times New Roman"/>
          <w:sz w:val="24"/>
          <w:szCs w:val="24"/>
        </w:rPr>
        <w:t xml:space="preserve">, odnosno </w:t>
      </w:r>
      <w:r w:rsidRPr="00615350">
        <w:rPr>
          <w:rFonts w:ascii="Times New Roman" w:eastAsia="Times New Roman" w:hAnsi="Times New Roman" w:cs="Times New Roman"/>
          <w:b/>
          <w:bCs/>
          <w:sz w:val="24"/>
          <w:szCs w:val="24"/>
        </w:rPr>
        <w:t>0,96 kg/stan./dan</w:t>
      </w:r>
      <w:r w:rsidRPr="00615350">
        <w:rPr>
          <w:rFonts w:ascii="Times New Roman" w:eastAsia="Times New Roman" w:hAnsi="Times New Roman" w:cs="Times New Roman"/>
          <w:sz w:val="24"/>
          <w:szCs w:val="24"/>
        </w:rPr>
        <w:t xml:space="preserve">. </w:t>
      </w:r>
    </w:p>
    <w:p w:rsidR="00C966AF" w:rsidRPr="00615350" w:rsidRDefault="00C966AF" w:rsidP="00CE03B7">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w:t>
      </w:r>
      <w:r w:rsidR="00952B49" w:rsidRPr="00615350">
        <w:rPr>
          <w:rFonts w:ascii="Times New Roman" w:eastAsia="Times New Roman" w:hAnsi="Times New Roman" w:cs="Times New Roman"/>
          <w:sz w:val="24"/>
          <w:szCs w:val="24"/>
        </w:rPr>
        <w:t>abela br. 4 Rezultati nepsorednih mjerenja komunalnog otapda 2024. godina</w:t>
      </w:r>
    </w:p>
    <w:tbl>
      <w:tblPr>
        <w:tblStyle w:val="LightShading-Accent1"/>
        <w:tblW w:w="0" w:type="auto"/>
        <w:tblLook w:val="04A0" w:firstRow="1" w:lastRow="0" w:firstColumn="1" w:lastColumn="0" w:noHBand="0" w:noVBand="1"/>
      </w:tblPr>
      <w:tblGrid>
        <w:gridCol w:w="3804"/>
        <w:gridCol w:w="666"/>
        <w:gridCol w:w="666"/>
        <w:gridCol w:w="666"/>
        <w:gridCol w:w="872"/>
        <w:gridCol w:w="2569"/>
      </w:tblGrid>
      <w:tr w:rsidR="00F7010E" w:rsidRPr="00615350" w:rsidTr="00035C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lastRenderedPageBreak/>
              <w:t>Pokazatelj</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Ljeto</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Jesen</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Zima</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Proljeće</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Prosječna/procijenjena vrijednost</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Sakupljena količina, projektovana na godišnji nivo (t/god.)</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7.262</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6.376</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5.775</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6.584</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7.174</w:t>
            </w:r>
          </w:p>
        </w:tc>
      </w:tr>
      <w:tr w:rsidR="00F7010E" w:rsidRPr="00615350" w:rsidTr="00035C19">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Procijenjena generisana količina (t/god.)</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8.940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7.849</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7.110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8.106</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8.832</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Generisanje (kg/stan./god.)</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355,3</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311,9</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282,6</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322,1</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351,0</w:t>
            </w:r>
          </w:p>
        </w:tc>
      </w:tr>
      <w:tr w:rsidR="00F7010E" w:rsidRPr="00615350" w:rsidTr="00035C19">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Generisanje (kg/stan./dan)</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0,97</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0,85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0,77</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0,88</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0,96</w:t>
            </w:r>
          </w:p>
        </w:tc>
      </w:tr>
    </w:tbl>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Razlika između količina iz operativnih evidencija DOO „Komunalno“ i rezultata neposrednih mjerenja </w:t>
      </w:r>
      <w:r w:rsidRPr="00615350">
        <w:rPr>
          <w:rFonts w:ascii="Times New Roman" w:eastAsia="Times New Roman" w:hAnsi="Times New Roman" w:cs="Times New Roman"/>
          <w:b/>
          <w:bCs/>
          <w:sz w:val="24"/>
          <w:szCs w:val="24"/>
        </w:rPr>
        <w:t>ne predstavlja nužno neusaglašenost podataka</w:t>
      </w:r>
      <w:r w:rsidRPr="00615350">
        <w:rPr>
          <w:rFonts w:ascii="Times New Roman" w:eastAsia="Times New Roman" w:hAnsi="Times New Roman" w:cs="Times New Roman"/>
          <w:sz w:val="24"/>
          <w:szCs w:val="24"/>
        </w:rPr>
        <w:t>, jer se radi o različitim obuhvatima i metodama evidentiranja. Operativni podaci Komunalnog uključuju više tokova otpada kojima preduzeće upravlja, među kojima su i zemlja, kamen i građevinski otpad, dok su neposredna mjerenja usmjerena na utvrđivanje količine i specifičnog generisanja komunalnog otpada.</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potrebe ovog Plana, </w:t>
      </w:r>
      <w:r w:rsidRPr="00615350">
        <w:rPr>
          <w:rFonts w:ascii="Times New Roman" w:eastAsia="Times New Roman" w:hAnsi="Times New Roman" w:cs="Times New Roman"/>
          <w:b/>
          <w:bCs/>
          <w:sz w:val="24"/>
          <w:szCs w:val="24"/>
        </w:rPr>
        <w:t>rezultati neposrednih mjerenja iz 2024. godine predstavljaju osnovu za procjenu specifičnog generisanja i projekciju budućih količina komunalnog otpada</w:t>
      </w:r>
      <w:r w:rsidRPr="00615350">
        <w:rPr>
          <w:rFonts w:ascii="Times New Roman" w:eastAsia="Times New Roman" w:hAnsi="Times New Roman" w:cs="Times New Roman"/>
          <w:sz w:val="24"/>
          <w:szCs w:val="24"/>
        </w:rPr>
        <w:t>, dok se zvanične godišnje evidencije DOO „Komunalno“ koriste za prikaz i praćenje stvarnih tokova otpada kojima upravlja lokalni sistem. Projekcije količina komunalnog otpada za period 2026–2029. godine obrađene su u planskom dijelu LPUO.</w:t>
      </w:r>
    </w:p>
    <w:p w:rsidR="004B5A39" w:rsidRPr="00615350" w:rsidRDefault="00F760DF" w:rsidP="00900448">
      <w:pPr>
        <w:pStyle w:val="Heading2"/>
        <w:jc w:val="both"/>
        <w:rPr>
          <w:rFonts w:ascii="Times New Roman" w:eastAsia="Times New Roman" w:hAnsi="Times New Roman" w:cs="Times New Roman"/>
          <w:noProof/>
          <w:sz w:val="24"/>
          <w:szCs w:val="24"/>
          <w:lang w:val="sr-Latn-RS"/>
        </w:rPr>
      </w:pPr>
      <w:bookmarkStart w:id="17" w:name="_Toc240282276"/>
      <w:r w:rsidRPr="00615350">
        <w:rPr>
          <w:rFonts w:ascii="Times New Roman" w:eastAsia="Times New Roman" w:hAnsi="Times New Roman" w:cs="Times New Roman"/>
          <w:noProof/>
          <w:sz w:val="24"/>
          <w:szCs w:val="24"/>
          <w:lang w:val="sr-Latn-RS"/>
        </w:rPr>
        <w:t>3</w:t>
      </w:r>
      <w:r w:rsidR="004B5A39" w:rsidRPr="00615350">
        <w:rPr>
          <w:rFonts w:ascii="Times New Roman" w:eastAsia="Times New Roman" w:hAnsi="Times New Roman" w:cs="Times New Roman"/>
          <w:noProof/>
          <w:sz w:val="24"/>
          <w:szCs w:val="24"/>
          <w:lang w:val="sr-Latn-RS"/>
        </w:rPr>
        <w:t>.4. Morfološki sastav komunalnog otpada</w:t>
      </w:r>
      <w:bookmarkEnd w:id="17"/>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potrebe utvrđivanja morfološkog sastava komunalnog otpada na teritoriji opštine Berane tokom 2024. godine sprovedene su četiri sezonske kampanje uzorkovanja i analize otpada. Analiza je obuhvatila uzorke iz tri različita sektora stanovanja, kako bi se uzele u obzir razlike u strukturi nastanka otpada, dok je sprovođenje mjerenja u različitim godišnjim dobima omogućilo sagledavanje sezonskih varijacija u njegovom sastavu.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Postupak analize obuhvatao je izbor reprezentativnih ulica i posuda za sakupljanje otpada, formiranje tri uzorka približne mase 500 kg iz različitih zona stanovanja, ručno razvrstavanje uzorkovanog otpada prema utvrđenim kategorijama i mjerenje mase svake izdvojene frakcije. </w:t>
      </w:r>
    </w:p>
    <w:p w:rsidR="00F7010E" w:rsidRPr="00615350" w:rsidRDefault="00952B49" w:rsidP="00035C19">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bCs/>
          <w:sz w:val="24"/>
          <w:szCs w:val="24"/>
        </w:rPr>
        <w:t>Tabela br. 5</w:t>
      </w:r>
      <w:r w:rsidR="00F7010E" w:rsidRPr="00615350">
        <w:rPr>
          <w:rFonts w:ascii="Times New Roman" w:eastAsia="Times New Roman" w:hAnsi="Times New Roman" w:cs="Times New Roman"/>
          <w:bCs/>
          <w:sz w:val="24"/>
          <w:szCs w:val="24"/>
        </w:rPr>
        <w:t xml:space="preserve"> Morfološki sastav komunalnog otpada na teritoriji opštine Berane prema sezonskim kampanjama sprovedenim tokom 2024. godine</w:t>
      </w:r>
    </w:p>
    <w:tbl>
      <w:tblPr>
        <w:tblStyle w:val="LightShading-Accent1"/>
        <w:tblW w:w="0" w:type="auto"/>
        <w:jc w:val="center"/>
        <w:tblLook w:val="04A0" w:firstRow="1" w:lastRow="0" w:firstColumn="1" w:lastColumn="0" w:noHBand="0" w:noVBand="1"/>
      </w:tblPr>
      <w:tblGrid>
        <w:gridCol w:w="3055"/>
        <w:gridCol w:w="733"/>
        <w:gridCol w:w="733"/>
        <w:gridCol w:w="733"/>
        <w:gridCol w:w="872"/>
        <w:gridCol w:w="816"/>
      </w:tblGrid>
      <w:tr w:rsidR="00F7010E" w:rsidRPr="00615350" w:rsidTr="00035C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Vrsta otpada</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Ljeto</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Jesen</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Zima</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Proljeće</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Prosjek</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Biorazgradivi otpad</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21,5%</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36,5%</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51,0%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24,2%</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33,3%</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Papir</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3,8%</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2,3%</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5,8%</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6,5%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4,6%</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Karton</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9,7%</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8,8%</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2,9%</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4,5%</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6,5%</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Kompozitni materijali – tetrapak</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2,1%</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2,3%</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0,9%</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1,9%</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1,8%</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Staklo</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5,9%</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5,1%</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3,0%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16,9%</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7,7%</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Ambalažni i ostali metali</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3,5%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2,7%</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0,9%</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1,9%</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Aluminijumske konzerve</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1,5%</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2,7%</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1,2%</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2,3%</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1,9%</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PET flaše</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3,6%</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4,4%</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3,8%</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Plastični ambalažni otpad</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2,9%</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1,4%</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1,6%</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Plastične kese</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8,8%</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3,2%</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5,1%</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5,4%</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Tvrda plastika</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6,8%</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5,0%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2,3%</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0,6%</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3,7%</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Tekstil</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5,9%</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2,3%</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4,7%</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4,8%</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4,4%</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Pelene</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5,0%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3,7%</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4,5%</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1,8%</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3,7%</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Građevinski otpad</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2,8%</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3,0%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2,4%</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2,4%</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Električni i elektronski otpad</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1,5%</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0,4%</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Medicinski otpad</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0,0%</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0,0%</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Koža</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0,3%</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0,0%</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1,3%</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0,4%</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Drveni predmeti</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4,7%</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0,6%</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1,2%</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6,9%</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3,4%</w:t>
            </w:r>
          </w:p>
        </w:tc>
      </w:tr>
      <w:tr w:rsidR="00F7010E" w:rsidRPr="00615350" w:rsidTr="00035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Ostali tokovi otpada</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4,3%</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11,2%</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6,2%</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2,9%</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6,2%</w:t>
            </w:r>
          </w:p>
        </w:tc>
      </w:tr>
      <w:tr w:rsidR="00F7010E" w:rsidRPr="00615350" w:rsidTr="00035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Fini elementi &lt;10 mm</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6,8%</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5,5%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4,4%</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11,5%</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7,0%</w:t>
            </w:r>
          </w:p>
        </w:tc>
      </w:tr>
    </w:tbl>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Najzastupljeniju pojedinačnu frakciju predstavlja </w:t>
      </w:r>
      <w:r w:rsidRPr="00615350">
        <w:rPr>
          <w:rFonts w:ascii="Times New Roman" w:eastAsia="Times New Roman" w:hAnsi="Times New Roman" w:cs="Times New Roman"/>
          <w:b/>
          <w:bCs/>
          <w:sz w:val="24"/>
          <w:szCs w:val="24"/>
        </w:rPr>
        <w:t>biorazgradivi otpad</w:t>
      </w:r>
      <w:r w:rsidRPr="00615350">
        <w:rPr>
          <w:rFonts w:ascii="Times New Roman" w:eastAsia="Times New Roman" w:hAnsi="Times New Roman" w:cs="Times New Roman"/>
          <w:sz w:val="24"/>
          <w:szCs w:val="24"/>
        </w:rPr>
        <w:t xml:space="preserve">, sa prosječnim učešćem od 33,3%. Njegovo učešće pokazuje izražene sezonske varijacije, od 21,5% tokom ljetnje do 51,0% tokom zimske kampanje.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Značajan dio analiziranog komunalnog otpada čine materijali pogodni za odvojeno sakupljanje i reciklažu. Plastične frakcije zajedno učestvuju sa </w:t>
      </w:r>
      <w:r w:rsidRPr="00615350">
        <w:rPr>
          <w:rFonts w:ascii="Times New Roman" w:eastAsia="Times New Roman" w:hAnsi="Times New Roman" w:cs="Times New Roman"/>
          <w:b/>
          <w:bCs/>
          <w:sz w:val="24"/>
          <w:szCs w:val="24"/>
        </w:rPr>
        <w:t>14,5%</w:t>
      </w:r>
      <w:r w:rsidRPr="00615350">
        <w:rPr>
          <w:rFonts w:ascii="Times New Roman" w:eastAsia="Times New Roman" w:hAnsi="Times New Roman" w:cs="Times New Roman"/>
          <w:sz w:val="24"/>
          <w:szCs w:val="24"/>
        </w:rPr>
        <w:t xml:space="preserve">, papir i karton sa </w:t>
      </w:r>
      <w:r w:rsidRPr="00615350">
        <w:rPr>
          <w:rFonts w:ascii="Times New Roman" w:eastAsia="Times New Roman" w:hAnsi="Times New Roman" w:cs="Times New Roman"/>
          <w:b/>
          <w:bCs/>
          <w:sz w:val="24"/>
          <w:szCs w:val="24"/>
        </w:rPr>
        <w:t>11,1%</w:t>
      </w:r>
      <w:r w:rsidRPr="00615350">
        <w:rPr>
          <w:rFonts w:ascii="Times New Roman" w:eastAsia="Times New Roman" w:hAnsi="Times New Roman" w:cs="Times New Roman"/>
          <w:sz w:val="24"/>
          <w:szCs w:val="24"/>
        </w:rPr>
        <w:t xml:space="preserve">, staklo sa </w:t>
      </w:r>
      <w:r w:rsidRPr="00615350">
        <w:rPr>
          <w:rFonts w:ascii="Times New Roman" w:eastAsia="Times New Roman" w:hAnsi="Times New Roman" w:cs="Times New Roman"/>
          <w:b/>
          <w:bCs/>
          <w:sz w:val="24"/>
          <w:szCs w:val="24"/>
        </w:rPr>
        <w:t>7,7%</w:t>
      </w:r>
      <w:r w:rsidRPr="00615350">
        <w:rPr>
          <w:rFonts w:ascii="Times New Roman" w:eastAsia="Times New Roman" w:hAnsi="Times New Roman" w:cs="Times New Roman"/>
          <w:sz w:val="24"/>
          <w:szCs w:val="24"/>
        </w:rPr>
        <w:t xml:space="preserve">, a metalne frakcije sa ukupno </w:t>
      </w:r>
      <w:r w:rsidRPr="00615350">
        <w:rPr>
          <w:rFonts w:ascii="Times New Roman" w:eastAsia="Times New Roman" w:hAnsi="Times New Roman" w:cs="Times New Roman"/>
          <w:b/>
          <w:bCs/>
          <w:sz w:val="24"/>
          <w:szCs w:val="24"/>
        </w:rPr>
        <w:t>3,8%</w:t>
      </w:r>
      <w:r w:rsidRPr="00615350">
        <w:rPr>
          <w:rFonts w:ascii="Times New Roman" w:eastAsia="Times New Roman" w:hAnsi="Times New Roman" w:cs="Times New Roman"/>
          <w:sz w:val="24"/>
          <w:szCs w:val="24"/>
        </w:rPr>
        <w:t xml:space="preserve">. Posmatrane zajedno, četiri osnovne grupe reciklabilnih materijala — papir i karton, plastika, staklo i metali — čine približno </w:t>
      </w:r>
      <w:r w:rsidRPr="00615350">
        <w:rPr>
          <w:rFonts w:ascii="Times New Roman" w:eastAsia="Times New Roman" w:hAnsi="Times New Roman" w:cs="Times New Roman"/>
          <w:b/>
          <w:bCs/>
          <w:sz w:val="24"/>
          <w:szCs w:val="24"/>
        </w:rPr>
        <w:t>37,1% mase analiziranog komunalnog otpada</w:t>
      </w:r>
      <w:r w:rsidRPr="00615350">
        <w:rPr>
          <w:rFonts w:ascii="Times New Roman" w:eastAsia="Times New Roman" w:hAnsi="Times New Roman" w:cs="Times New Roman"/>
          <w:sz w:val="24"/>
          <w:szCs w:val="24"/>
        </w:rPr>
        <w:t xml:space="preserve">.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Rezultati morfološke analize ukazuju na značajan potencijal za preusmjeravanje otpada iz toka miješanog komunalnog otpada. Visoko učešće biorazgradive frakcije predstavlja osnovu za planiranje odvojenog sakupljanja i tretmana biootpada, uključujući mogućnosti kompostiranja, dok zastupljenost papira i kartona, plastike, stakla i metala potvrđuje opravdanost razvoja sistema primarne selekcije i odgovarajućih kapaciteta za prijem, razvrstavanje i upućivanje reciklabilnih materijala na dalju obradu.</w:t>
      </w:r>
    </w:p>
    <w:p w:rsidR="004B5A39" w:rsidRPr="00615350" w:rsidRDefault="004B5A39" w:rsidP="00900448">
      <w:pPr>
        <w:pStyle w:val="Heading2"/>
        <w:jc w:val="both"/>
        <w:rPr>
          <w:rFonts w:ascii="Times New Roman" w:eastAsia="Times New Roman" w:hAnsi="Times New Roman" w:cs="Times New Roman"/>
          <w:noProof/>
          <w:sz w:val="24"/>
          <w:szCs w:val="24"/>
          <w:lang w:val="sr-Latn-RS"/>
        </w:rPr>
      </w:pPr>
      <w:bookmarkStart w:id="18" w:name="_Toc240282277"/>
      <w:r w:rsidRPr="00615350">
        <w:rPr>
          <w:rFonts w:ascii="Times New Roman" w:eastAsia="Times New Roman" w:hAnsi="Times New Roman" w:cs="Times New Roman"/>
          <w:noProof/>
          <w:sz w:val="24"/>
          <w:szCs w:val="24"/>
          <w:lang w:val="sr-Latn-RS"/>
        </w:rPr>
        <w:t>3.5. Sakupljanje i transport komunalnog otpada</w:t>
      </w:r>
      <w:bookmarkEnd w:id="18"/>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Poslove sakupljanja i transporta komunalnog otpada na teritoriji opštine Berane obavlja DOO „Komunalno“ Berane. Otpad se sakuplja iz domaćinstava, poslovnih i komercijalnih objekata, javnih ustanova i sa javnih površina. Prema podacima Komunalnog, sistem funkcioniše tokom cijele godine, odnosno 365 dana godišnje.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Dinamika sakupljanja razlikuje se u zavisnosti od područja. Miješani komunalni otpad iz gradskog područja sakuplja se i odvozi </w:t>
      </w:r>
      <w:r w:rsidRPr="00615350">
        <w:rPr>
          <w:rFonts w:ascii="Times New Roman" w:eastAsia="Times New Roman" w:hAnsi="Times New Roman" w:cs="Times New Roman"/>
          <w:b/>
          <w:bCs/>
          <w:sz w:val="24"/>
          <w:szCs w:val="24"/>
        </w:rPr>
        <w:t>svakodnevno</w:t>
      </w:r>
      <w:r w:rsidRPr="00615350">
        <w:rPr>
          <w:rFonts w:ascii="Times New Roman" w:eastAsia="Times New Roman" w:hAnsi="Times New Roman" w:cs="Times New Roman"/>
          <w:sz w:val="24"/>
          <w:szCs w:val="24"/>
        </w:rPr>
        <w:t xml:space="preserve">, dok se iz prigradskih i seoskih područja sakuplja uglavnom </w:t>
      </w:r>
      <w:r w:rsidRPr="00615350">
        <w:rPr>
          <w:rFonts w:ascii="Times New Roman" w:eastAsia="Times New Roman" w:hAnsi="Times New Roman" w:cs="Times New Roman"/>
          <w:b/>
          <w:bCs/>
          <w:sz w:val="24"/>
          <w:szCs w:val="24"/>
        </w:rPr>
        <w:t>jednom ili dva puta sedmično</w:t>
      </w:r>
      <w:r w:rsidRPr="00615350">
        <w:rPr>
          <w:rFonts w:ascii="Times New Roman" w:eastAsia="Times New Roman" w:hAnsi="Times New Roman" w:cs="Times New Roman"/>
          <w:sz w:val="24"/>
          <w:szCs w:val="24"/>
        </w:rPr>
        <w:t xml:space="preserve">. Biorazgradivi, kabasti i građevinski otpad sakupljaju se odvojeno od redovnog toka miješanog komunalnog otpada, uglavnom periodično, odnosno po pozivu građana. </w:t>
      </w:r>
    </w:p>
    <w:p w:rsidR="00F7010E" w:rsidRPr="00615350" w:rsidRDefault="00F7010E" w:rsidP="00035C19">
      <w:pPr>
        <w:rPr>
          <w:rFonts w:ascii="Times New Roman" w:hAnsi="Times New Roman" w:cs="Times New Roman"/>
          <w:b/>
          <w:sz w:val="24"/>
          <w:szCs w:val="24"/>
        </w:rPr>
      </w:pPr>
      <w:r w:rsidRPr="00615350">
        <w:rPr>
          <w:rFonts w:ascii="Times New Roman" w:hAnsi="Times New Roman" w:cs="Times New Roman"/>
          <w:b/>
          <w:sz w:val="24"/>
          <w:szCs w:val="24"/>
        </w:rPr>
        <w:t>Posude za sakupljanje otpada</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Prema podacima DOO „Komunalno“ za 2025. godinu, preduzeće raspolaže sljedećim brojem komunalnih posuda:</w:t>
      </w:r>
    </w:p>
    <w:p w:rsidR="00952B49" w:rsidRPr="00615350" w:rsidRDefault="00952B49" w:rsidP="00B93FB4">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6 Komunalne posude</w:t>
      </w:r>
    </w:p>
    <w:tbl>
      <w:tblPr>
        <w:tblStyle w:val="LightShading-Accent1"/>
        <w:tblW w:w="0" w:type="auto"/>
        <w:tblLook w:val="04A0" w:firstRow="1" w:lastRow="0" w:firstColumn="1" w:lastColumn="0" w:noHBand="0" w:noVBand="1"/>
      </w:tblPr>
      <w:tblGrid>
        <w:gridCol w:w="4513"/>
        <w:gridCol w:w="1362"/>
        <w:gridCol w:w="1218"/>
        <w:gridCol w:w="2150"/>
      </w:tblGrid>
      <w:tr w:rsidR="00F7010E" w:rsidRPr="00615350" w:rsidTr="00B93F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b w:val="0"/>
                <w:bCs w:val="0"/>
                <w:sz w:val="24"/>
                <w:szCs w:val="24"/>
              </w:rPr>
            </w:pPr>
            <w:r w:rsidRPr="00615350">
              <w:rPr>
                <w:rFonts w:ascii="Times New Roman" w:eastAsia="Times New Roman" w:hAnsi="Times New Roman" w:cs="Times New Roman"/>
                <w:b w:val="0"/>
                <w:bCs w:val="0"/>
                <w:sz w:val="24"/>
                <w:szCs w:val="24"/>
              </w:rPr>
              <w:t>Vrsta posude</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615350">
              <w:rPr>
                <w:rFonts w:ascii="Times New Roman" w:eastAsia="Times New Roman" w:hAnsi="Times New Roman" w:cs="Times New Roman"/>
                <w:b w:val="0"/>
                <w:bCs w:val="0"/>
                <w:sz w:val="24"/>
                <w:szCs w:val="24"/>
              </w:rPr>
              <w:t>Ukupan broj</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615350">
              <w:rPr>
                <w:rFonts w:ascii="Times New Roman" w:eastAsia="Times New Roman" w:hAnsi="Times New Roman" w:cs="Times New Roman"/>
                <w:b w:val="0"/>
                <w:bCs w:val="0"/>
                <w:sz w:val="24"/>
                <w:szCs w:val="24"/>
              </w:rPr>
              <w:t>U upotrebi</w:t>
            </w:r>
          </w:p>
        </w:tc>
        <w:tc>
          <w:tcPr>
            <w:tcW w:w="0" w:type="auto"/>
            <w:hideMark/>
          </w:tcPr>
          <w:p w:rsidR="00F7010E" w:rsidRPr="00615350" w:rsidRDefault="00F7010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615350">
              <w:rPr>
                <w:rFonts w:ascii="Times New Roman" w:eastAsia="Times New Roman" w:hAnsi="Times New Roman" w:cs="Times New Roman"/>
                <w:b w:val="0"/>
                <w:bCs w:val="0"/>
                <w:sz w:val="24"/>
                <w:szCs w:val="24"/>
              </w:rPr>
              <w:t>Predviđeno za rashod</w:t>
            </w:r>
          </w:p>
        </w:tc>
      </w:tr>
      <w:tr w:rsidR="00F7010E" w:rsidRPr="00615350" w:rsidTr="00B93F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Kontejneri 1,1 m³</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381</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351</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30</w:t>
            </w:r>
          </w:p>
        </w:tc>
      </w:tr>
      <w:tr w:rsidR="00F7010E" w:rsidRPr="00615350" w:rsidTr="00B93FB4">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Kontejneri 5 m³</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13</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6</w:t>
            </w:r>
          </w:p>
        </w:tc>
        <w:tc>
          <w:tcPr>
            <w:tcW w:w="0" w:type="auto"/>
            <w:hideMark/>
          </w:tcPr>
          <w:p w:rsidR="00F7010E" w:rsidRPr="00615350" w:rsidRDefault="00F7010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7</w:t>
            </w:r>
          </w:p>
        </w:tc>
      </w:tr>
      <w:tr w:rsidR="00F7010E" w:rsidRPr="00615350" w:rsidTr="00B93F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F7010E" w:rsidRPr="00615350" w:rsidRDefault="00F7010E" w:rsidP="00900448">
            <w:pPr>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Plastične kante 120 l za „suvi“ i „mokri“ otpad</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2.161</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w:t>
            </w:r>
          </w:p>
        </w:tc>
        <w:tc>
          <w:tcPr>
            <w:tcW w:w="0" w:type="auto"/>
            <w:hideMark/>
          </w:tcPr>
          <w:p w:rsidR="00F7010E" w:rsidRPr="00615350" w:rsidRDefault="00F7010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w:t>
            </w:r>
          </w:p>
        </w:tc>
      </w:tr>
    </w:tbl>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Pored navedenog, koriste se korpe za otpatke, kese zapremine 120 l i druge komunalne posude. Na gradskom području postavljeno je </w:t>
      </w:r>
      <w:r w:rsidRPr="00615350">
        <w:rPr>
          <w:rFonts w:ascii="Times New Roman" w:eastAsia="Times New Roman" w:hAnsi="Times New Roman" w:cs="Times New Roman"/>
          <w:b/>
          <w:bCs/>
          <w:sz w:val="24"/>
          <w:szCs w:val="24"/>
        </w:rPr>
        <w:t>osam natkrivenih zelenih ostrva</w:t>
      </w:r>
      <w:r w:rsidRPr="00615350">
        <w:rPr>
          <w:rFonts w:ascii="Times New Roman" w:eastAsia="Times New Roman" w:hAnsi="Times New Roman" w:cs="Times New Roman"/>
          <w:sz w:val="24"/>
          <w:szCs w:val="24"/>
        </w:rPr>
        <w:t xml:space="preserve">, od kojih svako raspolaže sa četiri kontejnera zapremine 1,1 m³ za selektivno odlaganje otpada i posudom za odlaganje pepela. </w:t>
      </w:r>
    </w:p>
    <w:p w:rsidR="00F7010E" w:rsidRPr="00615350" w:rsidRDefault="009F110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podacima DOO „Komunalno“, u okviru ranije započetog sistema selektivnog sakupljanja približno 1.000 domaćinstava dobilo je po dvije plastične kante zapremine 120 l, namijenjene za „suvi“ i „mokri“ otpad. </w:t>
      </w:r>
      <w:r w:rsidR="00F7010E" w:rsidRPr="00615350">
        <w:rPr>
          <w:rFonts w:ascii="Times New Roman" w:eastAsia="Times New Roman" w:hAnsi="Times New Roman" w:cs="Times New Roman"/>
          <w:sz w:val="24"/>
          <w:szCs w:val="24"/>
        </w:rPr>
        <w:t xml:space="preserve">Međutim, u praksi domaćinstva otpad uglavnom odlažu bez razdvajanja po frakcijama, a sadržaj obje kante odvozi se kao miješani komunalni otpad, s obzirom na to da još nijesu obezbijeđeni uslovi za njegovu dalju reciklažu.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Komunalno je u dostavljenim podacima takođe ukazalo na potrebu zamjene dotrajalih kontejnera i proširenja sistema individualnih posuda. Planirana je nabavka oko </w:t>
      </w:r>
      <w:r w:rsidRPr="00615350">
        <w:rPr>
          <w:rFonts w:ascii="Times New Roman" w:eastAsia="Times New Roman" w:hAnsi="Times New Roman" w:cs="Times New Roman"/>
          <w:b/>
          <w:bCs/>
          <w:sz w:val="24"/>
          <w:szCs w:val="24"/>
        </w:rPr>
        <w:t>1.500 kanti zapremine 120 l</w:t>
      </w:r>
      <w:r w:rsidRPr="00615350">
        <w:rPr>
          <w:rFonts w:ascii="Times New Roman" w:eastAsia="Times New Roman" w:hAnsi="Times New Roman" w:cs="Times New Roman"/>
          <w:sz w:val="24"/>
          <w:szCs w:val="24"/>
        </w:rPr>
        <w:t xml:space="preserve"> radi proširenja usluge, prvenstveno na veće ruralne mjesne zajednice Dapsiće, Polica i Štitari, kao i nabavka novih komunalnih vozila i druge opreme. </w:t>
      </w:r>
    </w:p>
    <w:p w:rsidR="00F7010E" w:rsidRPr="00615350" w:rsidRDefault="00F7010E" w:rsidP="00B1399F">
      <w:pPr>
        <w:rPr>
          <w:rFonts w:ascii="Times New Roman" w:hAnsi="Times New Roman" w:cs="Times New Roman"/>
          <w:b/>
          <w:sz w:val="24"/>
        </w:rPr>
      </w:pPr>
      <w:r w:rsidRPr="00615350">
        <w:rPr>
          <w:rFonts w:ascii="Times New Roman" w:hAnsi="Times New Roman" w:cs="Times New Roman"/>
          <w:b/>
          <w:sz w:val="24"/>
        </w:rPr>
        <w:t>Vozni park za sakupljanje i transport otpada</w:t>
      </w:r>
    </w:p>
    <w:p w:rsidR="00B1399F" w:rsidRPr="00615350" w:rsidRDefault="00B1399F" w:rsidP="00B1399F">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ocjenu aktuelnog stanja voznog parka korišćen je spisak DOO „Komunalno“ Berane, dostavljen za potrebe izrade ovog Plana, sa stanjem na </w:t>
      </w:r>
      <w:r w:rsidRPr="00615350">
        <w:rPr>
          <w:rFonts w:ascii="Times New Roman" w:eastAsia="Times New Roman" w:hAnsi="Times New Roman" w:cs="Times New Roman"/>
          <w:b/>
          <w:bCs/>
          <w:sz w:val="24"/>
          <w:szCs w:val="24"/>
        </w:rPr>
        <w:t>19.06.2026. godine</w:t>
      </w:r>
      <w:r w:rsidRPr="00615350">
        <w:rPr>
          <w:rFonts w:ascii="Times New Roman" w:eastAsia="Times New Roman" w:hAnsi="Times New Roman" w:cs="Times New Roman"/>
          <w:sz w:val="24"/>
          <w:szCs w:val="24"/>
        </w:rPr>
        <w:t xml:space="preserve">. Prema toj evidenciji, vozila neposredno namijenjena sakupljanju i transportu komunalnog otpada obuhvataju autosmećare sa potisnom pločom i vozilo za podizanje kontejnera. </w:t>
      </w:r>
    </w:p>
    <w:p w:rsidR="00B1399F" w:rsidRPr="00615350" w:rsidRDefault="00B1399F" w:rsidP="00B1399F">
      <w:pPr>
        <w:spacing w:before="100" w:beforeAutospacing="1" w:after="100" w:afterAutospacing="1" w:line="240" w:lineRule="auto"/>
        <w:jc w:val="center"/>
        <w:rPr>
          <w:rFonts w:ascii="Times New Roman" w:eastAsia="Times New Roman" w:hAnsi="Times New Roman" w:cs="Times New Roman"/>
          <w:sz w:val="24"/>
          <w:szCs w:val="24"/>
        </w:rPr>
      </w:pPr>
      <w:r w:rsidRPr="00615350">
        <w:rPr>
          <w:rFonts w:ascii="Times New Roman" w:eastAsia="Times New Roman" w:hAnsi="Times New Roman" w:cs="Times New Roman"/>
          <w:bCs/>
          <w:sz w:val="24"/>
          <w:szCs w:val="24"/>
        </w:rPr>
        <w:t>Tabela br. 7. Vozila za sakupljanje i transport komunalnog otpada</w:t>
      </w:r>
    </w:p>
    <w:tbl>
      <w:tblPr>
        <w:tblStyle w:val="LightShading-Accent1"/>
        <w:tblW w:w="0" w:type="auto"/>
        <w:jc w:val="center"/>
        <w:tblLook w:val="04A0" w:firstRow="1" w:lastRow="0" w:firstColumn="1" w:lastColumn="0" w:noHBand="0" w:noVBand="1"/>
      </w:tblPr>
      <w:tblGrid>
        <w:gridCol w:w="3272"/>
        <w:gridCol w:w="1922"/>
        <w:gridCol w:w="1050"/>
        <w:gridCol w:w="1338"/>
      </w:tblGrid>
      <w:tr w:rsidR="00B1399F" w:rsidRPr="00615350" w:rsidTr="00B1399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1399F" w:rsidRPr="00615350" w:rsidRDefault="00B1399F" w:rsidP="00B1399F">
            <w:pPr>
              <w:jc w:val="cente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Vozilo</w:t>
            </w:r>
          </w:p>
        </w:tc>
        <w:tc>
          <w:tcPr>
            <w:tcW w:w="0" w:type="auto"/>
            <w:hideMark/>
          </w:tcPr>
          <w:p w:rsidR="00B1399F" w:rsidRPr="00615350" w:rsidRDefault="00B1399F" w:rsidP="00B1399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Godina proizvodnje</w:t>
            </w:r>
          </w:p>
        </w:tc>
        <w:tc>
          <w:tcPr>
            <w:tcW w:w="0" w:type="auto"/>
            <w:hideMark/>
          </w:tcPr>
          <w:p w:rsidR="00B1399F" w:rsidRPr="00615350" w:rsidRDefault="00B1399F" w:rsidP="00B1399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Kapacitet</w:t>
            </w:r>
          </w:p>
        </w:tc>
        <w:tc>
          <w:tcPr>
            <w:tcW w:w="0" w:type="auto"/>
            <w:hideMark/>
          </w:tcPr>
          <w:p w:rsidR="00B1399F" w:rsidRPr="00615350" w:rsidRDefault="00B1399F" w:rsidP="00B1399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Stanje</w:t>
            </w:r>
          </w:p>
        </w:tc>
      </w:tr>
      <w:tr w:rsidR="00B1399F" w:rsidRPr="00615350" w:rsidTr="00B139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1399F" w:rsidRPr="00615350" w:rsidRDefault="00B1399F" w:rsidP="00B1399F">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M1828 autosmećara – potisna ploča</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2004.</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15 m³</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ispravno</w:t>
            </w:r>
          </w:p>
        </w:tc>
      </w:tr>
      <w:tr w:rsidR="00B1399F" w:rsidRPr="00615350" w:rsidTr="00B1399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1399F" w:rsidRPr="00615350" w:rsidRDefault="00B1399F" w:rsidP="00B1399F">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M1518 – podizač kontejnera</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2003.</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5–7 m³</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ispravno</w:t>
            </w:r>
          </w:p>
        </w:tc>
      </w:tr>
      <w:tr w:rsidR="00B1399F" w:rsidRPr="00615350" w:rsidTr="00B139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1399F" w:rsidRPr="00615350" w:rsidRDefault="00B1399F" w:rsidP="00B1399F">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Volvo autosmećara – potisna ploča</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2012.</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 m³</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nije u funkciji</w:t>
            </w:r>
          </w:p>
        </w:tc>
      </w:tr>
      <w:tr w:rsidR="00B1399F" w:rsidRPr="00615350" w:rsidTr="00B1399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1399F" w:rsidRPr="00615350" w:rsidRDefault="00B1399F" w:rsidP="00B1399F">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Volvo autosmećara – potisna ploča</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2024.</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15 m³</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ispravno</w:t>
            </w:r>
          </w:p>
        </w:tc>
      </w:tr>
      <w:tr w:rsidR="00B1399F" w:rsidRPr="00615350" w:rsidTr="00B139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1399F" w:rsidRPr="00615350" w:rsidRDefault="00B1399F" w:rsidP="00B1399F">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Volvo autosmećara – potisna ploča</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2012.</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12 m³</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ispravno</w:t>
            </w:r>
          </w:p>
        </w:tc>
      </w:tr>
      <w:tr w:rsidR="00B1399F" w:rsidRPr="00615350" w:rsidTr="00B1399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1399F" w:rsidRPr="00615350" w:rsidRDefault="00B1399F" w:rsidP="00B1399F">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Volvo autosmećara – potisna ploča</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2012.</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8 m³</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ispravno</w:t>
            </w:r>
          </w:p>
        </w:tc>
      </w:tr>
      <w:tr w:rsidR="00B1399F" w:rsidRPr="00615350" w:rsidTr="00B139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1399F" w:rsidRPr="00615350" w:rsidRDefault="00B1399F" w:rsidP="00B1399F">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Volvo autosmećara – potisna ploča</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2012.</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8 m³</w:t>
            </w:r>
          </w:p>
        </w:tc>
        <w:tc>
          <w:tcPr>
            <w:tcW w:w="0" w:type="auto"/>
            <w:hideMark/>
          </w:tcPr>
          <w:p w:rsidR="00B1399F" w:rsidRPr="00615350" w:rsidRDefault="00B1399F" w:rsidP="00B139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nije u funkciji</w:t>
            </w:r>
          </w:p>
        </w:tc>
      </w:tr>
      <w:tr w:rsidR="00B1399F" w:rsidRPr="00615350" w:rsidTr="00B1399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1399F" w:rsidRPr="00615350" w:rsidRDefault="00B1399F" w:rsidP="00B1399F">
            <w:pPr>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Iveco autosmećara – potisna ploča</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2023.</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 m³</w:t>
            </w:r>
          </w:p>
        </w:tc>
        <w:tc>
          <w:tcPr>
            <w:tcW w:w="0" w:type="auto"/>
            <w:hideMark/>
          </w:tcPr>
          <w:p w:rsidR="00B1399F" w:rsidRPr="00615350" w:rsidRDefault="00B1399F" w:rsidP="00B1399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ispravno</w:t>
            </w:r>
          </w:p>
        </w:tc>
      </w:tr>
    </w:tbl>
    <w:p w:rsidR="00B1399F" w:rsidRPr="00615350" w:rsidRDefault="00B1399F" w:rsidP="00B1399F">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podacima DOO „Komunalno“, od ukupno </w:t>
      </w:r>
      <w:r w:rsidRPr="00615350">
        <w:rPr>
          <w:rFonts w:ascii="Times New Roman" w:eastAsia="Times New Roman" w:hAnsi="Times New Roman" w:cs="Times New Roman"/>
          <w:b/>
          <w:bCs/>
          <w:sz w:val="24"/>
          <w:szCs w:val="24"/>
        </w:rPr>
        <w:t>sedam autosmećara pet je trenutno u funkciji</w:t>
      </w:r>
      <w:r w:rsidRPr="00615350">
        <w:rPr>
          <w:rFonts w:ascii="Times New Roman" w:eastAsia="Times New Roman" w:hAnsi="Times New Roman" w:cs="Times New Roman"/>
          <w:sz w:val="24"/>
          <w:szCs w:val="24"/>
        </w:rPr>
        <w:t xml:space="preserve">. Preduzeće navodi da je za redovan i blagovremen odvoz otpada svakodnevno potrebno najmanje pet ispravnih autosmećara, zbog čega kvar jednog vozila može neposredno izazvati probleme u pražnjenju komunalnih posuda. Kao ograničavajući faktori navode se starost i amortizacija dijela voznog parka, uslovi rada i održavanja, pređena kilometraža i otežana nabavka rezervnih djelova. </w:t>
      </w:r>
    </w:p>
    <w:p w:rsidR="00B1399F" w:rsidRPr="00615350" w:rsidRDefault="00B1399F" w:rsidP="00B1399F">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Pored vozila za neposredno sakupljanje otpada, preduzeće raspolaže i drugom mehanizacijom i opremom značajnom za funkcionisanje sistema, uključujući </w:t>
      </w:r>
      <w:r w:rsidRPr="00615350">
        <w:rPr>
          <w:rFonts w:ascii="Times New Roman" w:eastAsia="Times New Roman" w:hAnsi="Times New Roman" w:cs="Times New Roman"/>
          <w:b/>
          <w:bCs/>
          <w:sz w:val="24"/>
          <w:szCs w:val="24"/>
        </w:rPr>
        <w:t>Renault Master putar, Terex 860SX, kombinirku Mecalac, FAP cisternu, KAMAZ-kiper, buldožer Komatsu, teretna i putnička vozila i uličnu čistilicu</w:t>
      </w:r>
      <w:r w:rsidRPr="00615350">
        <w:rPr>
          <w:rFonts w:ascii="Times New Roman" w:eastAsia="Times New Roman" w:hAnsi="Times New Roman" w:cs="Times New Roman"/>
          <w:sz w:val="24"/>
          <w:szCs w:val="24"/>
        </w:rPr>
        <w:t>. Dio opreme nije u funkciji; prema evidenciji, KAMAZ-kiper i drobilica za drvni otpad nijesu u funkciji.</w:t>
      </w:r>
    </w:p>
    <w:p w:rsidR="00F7010E" w:rsidRPr="00615350" w:rsidRDefault="00F7010E" w:rsidP="00E92BB8">
      <w:pPr>
        <w:rPr>
          <w:rFonts w:ascii="Times New Roman" w:hAnsi="Times New Roman" w:cs="Times New Roman"/>
          <w:b/>
          <w:sz w:val="24"/>
        </w:rPr>
      </w:pPr>
      <w:r w:rsidRPr="00615350">
        <w:rPr>
          <w:rFonts w:ascii="Times New Roman" w:hAnsi="Times New Roman" w:cs="Times New Roman"/>
          <w:b/>
          <w:sz w:val="24"/>
        </w:rPr>
        <w:t>Transport otpada</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Miješani komunalni otpad transportuje se do privremenog skladišta „Rujiške laze“ u Rujištima. </w:t>
      </w:r>
      <w:r w:rsidR="00E92BB8" w:rsidRPr="00615350">
        <w:rPr>
          <w:rFonts w:ascii="Times New Roman" w:eastAsia="Times New Roman" w:hAnsi="Times New Roman" w:cs="Times New Roman"/>
          <w:sz w:val="24"/>
          <w:szCs w:val="24"/>
        </w:rPr>
        <w:t>L</w:t>
      </w:r>
      <w:r w:rsidRPr="00615350">
        <w:rPr>
          <w:rFonts w:ascii="Times New Roman" w:eastAsia="Times New Roman" w:hAnsi="Times New Roman" w:cs="Times New Roman"/>
          <w:sz w:val="24"/>
          <w:szCs w:val="24"/>
        </w:rPr>
        <w:t xml:space="preserve">okacija je udaljena oko </w:t>
      </w:r>
      <w:r w:rsidRPr="00615350">
        <w:rPr>
          <w:rFonts w:ascii="Times New Roman" w:eastAsia="Times New Roman" w:hAnsi="Times New Roman" w:cs="Times New Roman"/>
          <w:b/>
          <w:bCs/>
          <w:sz w:val="24"/>
          <w:szCs w:val="24"/>
        </w:rPr>
        <w:t>25 km od grada</w:t>
      </w:r>
      <w:r w:rsidRPr="00615350">
        <w:rPr>
          <w:rFonts w:ascii="Times New Roman" w:eastAsia="Times New Roman" w:hAnsi="Times New Roman" w:cs="Times New Roman"/>
          <w:sz w:val="24"/>
          <w:szCs w:val="24"/>
        </w:rPr>
        <w:t xml:space="preserve">, a transport komunalnog otpada vrši se autosmećarama sa zatvorenim sistemom transporta. Pristup lokaciji dijelom je asfaltiran, dok je približno 2 km puta neasfaltirano. Održavanje pristupnog puta otežavaju uspon, klizišta i snijeg u zimskom periodu. </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Postojeća organizacija sakupljanja i transporta omogućava redovno pružanje osnovne usluge na najvećem dijelu teritorije opštine, ali je sistem tehnički opterećen ograničenim brojem funkcionalnih vozila, starošću dijela voznog parka, određenim brojem dotrajalih posuda i nedovoljnom pokrivenošću pojedinih ruralnih područja. Istovremeno, postojeće posude za „suvi“ i „mokri“ otpad i zelena ostrva nijesu praćeni potpuno funkcionalnim sistemom odvojenog sakupljanja i daljeg tretmana izdvojenih frakcija.</w:t>
      </w:r>
    </w:p>
    <w:p w:rsidR="00F7010E" w:rsidRPr="00615350" w:rsidRDefault="00F7010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Dalje unapređenje sistema zahtijeva obnovu i pouzdanije dimenzionisanje voznog parka, zamjenu dotrajalih posuda, proširenje individualnog sistema sakupljanja na ruralna područja i postepeno prilagođavanje opreme budućem sistemu odvojenog sakupljanja i tretmana otpada.</w:t>
      </w:r>
    </w:p>
    <w:p w:rsidR="004B5A39" w:rsidRPr="00615350" w:rsidRDefault="004B5A39" w:rsidP="00900448">
      <w:pPr>
        <w:pStyle w:val="Heading2"/>
        <w:jc w:val="both"/>
        <w:rPr>
          <w:rFonts w:ascii="Times New Roman" w:eastAsia="Times New Roman" w:hAnsi="Times New Roman" w:cs="Times New Roman"/>
          <w:sz w:val="24"/>
          <w:szCs w:val="24"/>
        </w:rPr>
      </w:pPr>
      <w:bookmarkStart w:id="19" w:name="_Toc240282278"/>
      <w:r w:rsidRPr="00615350">
        <w:rPr>
          <w:rFonts w:ascii="Times New Roman" w:eastAsia="Times New Roman" w:hAnsi="Times New Roman" w:cs="Times New Roman"/>
          <w:sz w:val="24"/>
          <w:szCs w:val="24"/>
        </w:rPr>
        <w:t>3.6. Odvojeno sakupljanje i reciklaža komunalnog otpada</w:t>
      </w:r>
      <w:bookmarkEnd w:id="19"/>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Odvojeno sakupljanje komunalnog otpada na teritoriji opštine Berane normativno je uređeno </w:t>
      </w:r>
      <w:r w:rsidRPr="00615350">
        <w:rPr>
          <w:rFonts w:ascii="Times New Roman" w:eastAsia="Times New Roman" w:hAnsi="Times New Roman" w:cs="Times New Roman"/>
          <w:b/>
          <w:bCs/>
          <w:sz w:val="24"/>
          <w:szCs w:val="24"/>
        </w:rPr>
        <w:t>Odlukom o načinu odvojenog sakupljanja i sakupljanja komunalnog otpada radi obrade na teritoriji opštine Berane</w:t>
      </w:r>
      <w:r w:rsidRPr="00615350">
        <w:rPr>
          <w:rFonts w:ascii="Times New Roman" w:eastAsia="Times New Roman" w:hAnsi="Times New Roman" w:cs="Times New Roman"/>
          <w:sz w:val="24"/>
          <w:szCs w:val="24"/>
        </w:rPr>
        <w:t xml:space="preserve">. Odlukom je predviđeno razdvajanje komunalnog otpada na mjestu nastanka na „suvu“ i „mokru“ frakciju, kao i primjena sistema „od vrata do vrata“ za individualni tip stanovanja. Suvu frakciju čine prvenstveno papir i karton, plastika, metal i staklo. Odlukom su definisani i posebni režimi sakupljanja zelenog i kabastog otpada, kao i postepeno proširenje sistema na ruralna područja. </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Međutim, </w:t>
      </w:r>
      <w:r w:rsidRPr="00615350">
        <w:rPr>
          <w:rFonts w:ascii="Times New Roman" w:eastAsia="Times New Roman" w:hAnsi="Times New Roman" w:cs="Times New Roman"/>
          <w:b/>
          <w:bCs/>
          <w:sz w:val="24"/>
          <w:szCs w:val="24"/>
        </w:rPr>
        <w:t>normativno predviđen sistem primarne selekcije još nije u potpunosti uspostavljen u praksi</w:t>
      </w:r>
      <w:r w:rsidRPr="00615350">
        <w:rPr>
          <w:rFonts w:ascii="Times New Roman" w:eastAsia="Times New Roman" w:hAnsi="Times New Roman" w:cs="Times New Roman"/>
          <w:sz w:val="24"/>
          <w:szCs w:val="24"/>
        </w:rPr>
        <w:t>. Određene aktivnosti na stvaranju uslova za odvojeno sakupljanje sprovedene su kroz podjelu individualnih posuda i postavljanje zelenih ostrva, ali se najveći dio komunalnog otpada i dalje sakuplja kao miješani tok.</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najnovijim podacima DOO „Komunalno“, domaćinstvima u pojedinim mjesnim zajednicama i djelovima mjesnih zajednica podijeljena je ukupno </w:t>
      </w:r>
      <w:r w:rsidRPr="00615350">
        <w:rPr>
          <w:rFonts w:ascii="Times New Roman" w:eastAsia="Times New Roman" w:hAnsi="Times New Roman" w:cs="Times New Roman"/>
          <w:b/>
          <w:bCs/>
          <w:sz w:val="24"/>
          <w:szCs w:val="24"/>
        </w:rPr>
        <w:t>2.161 plastična kanta zapremine 120 l</w:t>
      </w:r>
      <w:r w:rsidRPr="00615350">
        <w:rPr>
          <w:rFonts w:ascii="Times New Roman" w:eastAsia="Times New Roman" w:hAnsi="Times New Roman" w:cs="Times New Roman"/>
          <w:sz w:val="24"/>
          <w:szCs w:val="24"/>
        </w:rPr>
        <w:t xml:space="preserve">, namijenjena za „suvi“ i „mokri“ otpad. Međutim, u praksi se otpad u ove posude uglavnom odlaže bez razdvajanja, a sadržaj obje posude odvozi se kao miješani komunalni otpad, jer još nijesu obezbijeđeni odgovarajući uslovi za njegovu dalju reciklažu. </w:t>
      </w:r>
      <w:r w:rsidRPr="00615350">
        <w:rPr>
          <w:rFonts w:ascii="Times New Roman" w:eastAsia="Times New Roman" w:hAnsi="Times New Roman" w:cs="Times New Roman"/>
          <w:sz w:val="24"/>
          <w:szCs w:val="24"/>
        </w:rPr>
        <w:lastRenderedPageBreak/>
        <w:t xml:space="preserve">Na gradskom području postavljeno je i </w:t>
      </w:r>
      <w:r w:rsidRPr="00615350">
        <w:rPr>
          <w:rFonts w:ascii="Times New Roman" w:eastAsia="Times New Roman" w:hAnsi="Times New Roman" w:cs="Times New Roman"/>
          <w:b/>
          <w:bCs/>
          <w:sz w:val="24"/>
          <w:szCs w:val="24"/>
        </w:rPr>
        <w:t>osam natkrivenih zelenih ostrva</w:t>
      </w:r>
      <w:r w:rsidRPr="00615350">
        <w:rPr>
          <w:rFonts w:ascii="Times New Roman" w:eastAsia="Times New Roman" w:hAnsi="Times New Roman" w:cs="Times New Roman"/>
          <w:sz w:val="24"/>
          <w:szCs w:val="24"/>
        </w:rPr>
        <w:t xml:space="preserve">, sa po četiri kontejnera zapremine 1,1 m³ za selektivno odlaganje otpada i posudom za pepeo. </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Značajnu aktivnost odvojenog sakupljanja pojedinih reciklabilnih frakcija tokom 2024. godine obavljalo je privatno preduzeće koje se bavilo sakupljanjem i presovanjem kartonske ambalaže i najlona. Prema podacima DOO „Komunalno“, tokom 2024. godine prikupljeno je </w:t>
      </w:r>
      <w:r w:rsidRPr="00615350">
        <w:rPr>
          <w:rFonts w:ascii="Times New Roman" w:eastAsia="Times New Roman" w:hAnsi="Times New Roman" w:cs="Times New Roman"/>
          <w:b/>
          <w:bCs/>
          <w:sz w:val="24"/>
          <w:szCs w:val="24"/>
        </w:rPr>
        <w:t>630 t kartonske ambalaže i 45 t plastičnog, odnosno najlonskog otpada</w:t>
      </w:r>
      <w:r w:rsidRPr="00615350">
        <w:rPr>
          <w:rFonts w:ascii="Times New Roman" w:eastAsia="Times New Roman" w:hAnsi="Times New Roman" w:cs="Times New Roman"/>
          <w:sz w:val="24"/>
          <w:szCs w:val="24"/>
        </w:rPr>
        <w:t xml:space="preserve">, ukupno 675 t izdvojenih sekundarnih sirovina. </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 sredine 2025. godine privatno preduzeće više ne vrši sakupljanje i tretman kartonske ambalaže, pa je njeno sakupljanje preuzelo DOO „Komunalno“ Berane. Međutim, zbog nepostojanja funkcionalnog sistema za njenu dalju pripremu i reciklažu, prikupljena kartonska ambalaža se odvozi na lokaciju „Rujiške laze“ i odlaže zajedno sa ostalim otpadom. </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DOO „Komunalno“ raspolaže vertikalnom presom za papirnu, kartonsku i PET ambalažu, ali se ona prema dostavljenim podacima ne koristi u punom kapacitetu zbog nedostatka odgovarajućeg prostora. Preduzeće posjeduje i drobilicu za drvni otpad, koja se koristi prema potrebi. </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dostavljenim podacima, tokom 2025. godine </w:t>
      </w:r>
      <w:r w:rsidRPr="00615350">
        <w:rPr>
          <w:rFonts w:ascii="Times New Roman" w:eastAsia="Times New Roman" w:hAnsi="Times New Roman" w:cs="Times New Roman"/>
          <w:b/>
          <w:bCs/>
          <w:sz w:val="24"/>
          <w:szCs w:val="24"/>
        </w:rPr>
        <w:t>nije vršeno sistemsko odvojeno sakupljanje reciklabilnih frakcija komunalnog otpada</w:t>
      </w:r>
      <w:r w:rsidRPr="00615350">
        <w:rPr>
          <w:rFonts w:ascii="Times New Roman" w:eastAsia="Times New Roman" w:hAnsi="Times New Roman" w:cs="Times New Roman"/>
          <w:sz w:val="24"/>
          <w:szCs w:val="24"/>
        </w:rPr>
        <w:t xml:space="preserve">. Iako se biorazgradivi i kabasti otpad, kao i zemlja, kamen i neopasni građevinski otpad, sakupljaju odvojeno od redovnog toka miješanog komunalnog otpada, za papir i karton, plastiku, staklo i metale još nije uspostavljen cjelovit sistem primarne i sekundarne selekcije. </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Jedno od osnovnih ograničenja predstavlja nedostatak odgovarajuće lokalne infrastrukture za prijem, razvrstavanje, pripremu i privremeno skladištenje odvojeno sakupljenih reciklabilnih materijala. Lokalna Odluka je i samu punu primjenu pojedinih mjera odvojenog sakupljanja vezala za početak rada reciklažnog dvorišta sa sortirnicom ili za uspostavljanje drugog odgovarajućeg načina postupanja sa reciklabilnim frakcijama. </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Potrebu za razvojem funkcionalnog sistema odvojenog sakupljanja potvrđuju i rezultati lokalne morfološke analize iz 2024. godine. Papir i karton, plastika, staklo i metali zajedno čine približno </w:t>
      </w:r>
      <w:r w:rsidRPr="00615350">
        <w:rPr>
          <w:rFonts w:ascii="Times New Roman" w:eastAsia="Times New Roman" w:hAnsi="Times New Roman" w:cs="Times New Roman"/>
          <w:b/>
          <w:bCs/>
          <w:sz w:val="24"/>
          <w:szCs w:val="24"/>
        </w:rPr>
        <w:t>37,1% mase analiziranog komunalnog otpada</w:t>
      </w:r>
      <w:r w:rsidRPr="00615350">
        <w:rPr>
          <w:rFonts w:ascii="Times New Roman" w:eastAsia="Times New Roman" w:hAnsi="Times New Roman" w:cs="Times New Roman"/>
          <w:sz w:val="24"/>
          <w:szCs w:val="24"/>
        </w:rPr>
        <w:t xml:space="preserve">, dok biorazgradivi otpad, sa prosječnim učešćem od </w:t>
      </w:r>
      <w:r w:rsidRPr="00615350">
        <w:rPr>
          <w:rFonts w:ascii="Times New Roman" w:eastAsia="Times New Roman" w:hAnsi="Times New Roman" w:cs="Times New Roman"/>
          <w:b/>
          <w:bCs/>
          <w:sz w:val="24"/>
          <w:szCs w:val="24"/>
        </w:rPr>
        <w:t>33,3%</w:t>
      </w:r>
      <w:r w:rsidRPr="00615350">
        <w:rPr>
          <w:rFonts w:ascii="Times New Roman" w:eastAsia="Times New Roman" w:hAnsi="Times New Roman" w:cs="Times New Roman"/>
          <w:sz w:val="24"/>
          <w:szCs w:val="24"/>
        </w:rPr>
        <w:t xml:space="preserve">, predstavlja najveću pojedinačnu frakciju. </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Postojeće stanje, prema tome, karakteriše </w:t>
      </w:r>
      <w:r w:rsidRPr="00615350">
        <w:rPr>
          <w:rFonts w:ascii="Times New Roman" w:eastAsia="Times New Roman" w:hAnsi="Times New Roman" w:cs="Times New Roman"/>
          <w:b/>
          <w:bCs/>
          <w:sz w:val="24"/>
          <w:szCs w:val="24"/>
        </w:rPr>
        <w:t>postojanje normativnog okvira i dijela potrebne opreme za primarnu selekciju, ali bez funkcionalno zaokruženog sistema odvojenog sakupljanja, sekundarnog razvrstavanja i reciklaže</w:t>
      </w:r>
      <w:r w:rsidRPr="00615350">
        <w:rPr>
          <w:rFonts w:ascii="Times New Roman" w:eastAsia="Times New Roman" w:hAnsi="Times New Roman" w:cs="Times New Roman"/>
          <w:sz w:val="24"/>
          <w:szCs w:val="24"/>
        </w:rPr>
        <w:t>. Uspostavljanje odgovarajuće infrastrukture i organizacionog sistema predstavlja osnovni preduslov da postojeće posude, zelena ostrva i druge aktivnosti odvojenog sakupljanja daju stvarni efekat u smanjenju količine otpada koji završava na „Rujiškim lazima“.</w:t>
      </w:r>
    </w:p>
    <w:p w:rsidR="006C2F53" w:rsidRPr="00615350" w:rsidRDefault="006C2F53"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DPUO 2025–2029. za Berane predviđa </w:t>
      </w:r>
      <w:r w:rsidRPr="00615350">
        <w:rPr>
          <w:rFonts w:ascii="Times New Roman" w:eastAsia="Times New Roman" w:hAnsi="Times New Roman" w:cs="Times New Roman"/>
          <w:b/>
          <w:bCs/>
          <w:sz w:val="24"/>
          <w:szCs w:val="24"/>
        </w:rPr>
        <w:t>reciklažni centar</w:t>
      </w:r>
      <w:r w:rsidRPr="00615350">
        <w:rPr>
          <w:rFonts w:ascii="Times New Roman" w:eastAsia="Times New Roman" w:hAnsi="Times New Roman" w:cs="Times New Roman"/>
          <w:sz w:val="24"/>
          <w:szCs w:val="24"/>
        </w:rPr>
        <w:t>, dok je obrada odvojeno sakupljenih reciklabilnih materijala u okviru sjevernog regionalnog sistema vezana za planirani Regionalni centar u Bijelom Polju. Planirana infrastruktura i način njenog povezivanja sa lokalnim sistemom detaljnije su obrađeni u planskom dijelu LPUO.</w:t>
      </w:r>
    </w:p>
    <w:p w:rsidR="00EC7ADD" w:rsidRPr="00615350" w:rsidRDefault="00EC7ADD" w:rsidP="00900448">
      <w:pPr>
        <w:pStyle w:val="Heading2"/>
        <w:jc w:val="both"/>
        <w:rPr>
          <w:rFonts w:ascii="Times New Roman" w:eastAsia="Times New Roman" w:hAnsi="Times New Roman" w:cs="Times New Roman"/>
          <w:sz w:val="24"/>
          <w:szCs w:val="24"/>
        </w:rPr>
      </w:pPr>
      <w:bookmarkStart w:id="20" w:name="_Toc240282279"/>
      <w:r w:rsidRPr="00615350">
        <w:rPr>
          <w:rFonts w:ascii="Times New Roman" w:eastAsia="Times New Roman" w:hAnsi="Times New Roman" w:cs="Times New Roman"/>
          <w:sz w:val="24"/>
          <w:szCs w:val="24"/>
        </w:rPr>
        <w:t>3.7. Postojeća infrastruktura za privremeno skladištenje i tretman komunalnog otpada</w:t>
      </w:r>
      <w:bookmarkEnd w:id="20"/>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Osnovni infrastrukturni objekat postojećeg sistema upravljanja komunalnim otpadom na teritoriji opštine Berane predstavlja lokacija za privremeno skladištenje komunalnog otpada </w:t>
      </w:r>
      <w:r w:rsidRPr="00615350">
        <w:rPr>
          <w:rFonts w:ascii="Times New Roman" w:eastAsia="Times New Roman" w:hAnsi="Times New Roman" w:cs="Times New Roman"/>
          <w:b/>
          <w:bCs/>
          <w:sz w:val="24"/>
          <w:szCs w:val="24"/>
        </w:rPr>
        <w:t>„Rujiške laze“</w:t>
      </w:r>
      <w:r w:rsidRPr="00615350">
        <w:rPr>
          <w:rFonts w:ascii="Times New Roman" w:eastAsia="Times New Roman" w:hAnsi="Times New Roman" w:cs="Times New Roman"/>
          <w:sz w:val="24"/>
          <w:szCs w:val="24"/>
        </w:rPr>
        <w:t xml:space="preserve">, u KO Rujišta, kojom upravlja i koju održava DOO „Komunalno“ Berane. Odlukom o određivanju lokacije za privremeno skladištenje komunalnog otpada za ovu namjenu određen je dio katastarske parcele br. 14/28/1 KO Rujišta, površine </w:t>
      </w:r>
      <w:r w:rsidRPr="00615350">
        <w:rPr>
          <w:rFonts w:ascii="Times New Roman" w:eastAsia="Times New Roman" w:hAnsi="Times New Roman" w:cs="Times New Roman"/>
          <w:b/>
          <w:bCs/>
          <w:sz w:val="24"/>
          <w:szCs w:val="24"/>
        </w:rPr>
        <w:t>7.000 m²</w:t>
      </w:r>
      <w:r w:rsidRPr="00615350">
        <w:rPr>
          <w:rFonts w:ascii="Times New Roman" w:eastAsia="Times New Roman" w:hAnsi="Times New Roman" w:cs="Times New Roman"/>
          <w:sz w:val="24"/>
          <w:szCs w:val="24"/>
        </w:rPr>
        <w:t xml:space="preserve">.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Način korišćenja lokacije dodatno je uređen Odlukom o načinu privremenog skladištenja komunalnog otpada i uslovima zaštite životne sredine i zdravlja ljudi. Prema toj Odluci, prostor je funkcionalno organizovan kroz zone za prijem otpada, privremeno skladištenje komunalnog otpada, privremeno skladištenje inertnog materijala i zaštitni prostor. Propisani su uslovi prijema i kontrole otpada, vođenja evidencije, mjerenja količina, protivpožarne zaštite, čuvarske službe, održavanja pristupa i prekrivanja odloženog otpada inertnim materijalom.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novijim podacima o stvarnom korišćenju lokacije, površina na kojoj se obavlja privremeno skladištenje proširila se na </w:t>
      </w:r>
      <w:r w:rsidRPr="00615350">
        <w:rPr>
          <w:rFonts w:ascii="Times New Roman" w:eastAsia="Times New Roman" w:hAnsi="Times New Roman" w:cs="Times New Roman"/>
          <w:b/>
          <w:bCs/>
          <w:sz w:val="24"/>
          <w:szCs w:val="24"/>
        </w:rPr>
        <w:t>više od 2 ha</w:t>
      </w:r>
      <w:r w:rsidRPr="00615350">
        <w:rPr>
          <w:rFonts w:ascii="Times New Roman" w:eastAsia="Times New Roman" w:hAnsi="Times New Roman" w:cs="Times New Roman"/>
          <w:sz w:val="24"/>
          <w:szCs w:val="24"/>
        </w:rPr>
        <w:t xml:space="preserve">, dok se na lokaciji godišnje odlaže više od </w:t>
      </w:r>
      <w:r w:rsidRPr="00615350">
        <w:rPr>
          <w:rFonts w:ascii="Times New Roman" w:eastAsia="Times New Roman" w:hAnsi="Times New Roman" w:cs="Times New Roman"/>
          <w:b/>
          <w:bCs/>
          <w:sz w:val="24"/>
          <w:szCs w:val="24"/>
        </w:rPr>
        <w:t>7.000 t miješanog komunalnog otpada</w:t>
      </w:r>
      <w:r w:rsidRPr="00615350">
        <w:rPr>
          <w:rFonts w:ascii="Times New Roman" w:eastAsia="Times New Roman" w:hAnsi="Times New Roman" w:cs="Times New Roman"/>
          <w:sz w:val="24"/>
          <w:szCs w:val="24"/>
        </w:rPr>
        <w:t xml:space="preserve">. Otpad se razastire i periodično prekriva zemljom, a postavljene su i cijevi za odvođenje gasova nastalih razgradnjom otpada. Za rad na lokaciji koriste se, između ostalog, buldožer Komatsu i kombinirka Terex 860SX, dok se za određene operativne potrebe koristi i kiper.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Podaci DOO „Komunalno“ dodatno potvrđuju da se na „Rujiškim lazima“ obavljaju čuvanje i nadzor lokacije, razastiranje i prekrivanje otpada, održavanje pristupnog puta, deratizacija, održavanje čistoće i druge aktivnosti potrebne za funkcionisanje privremenog skladišta.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DOO „Komunalno“ raspolaže i </w:t>
      </w:r>
      <w:r w:rsidRPr="00615350">
        <w:rPr>
          <w:rFonts w:ascii="Times New Roman" w:eastAsia="Times New Roman" w:hAnsi="Times New Roman" w:cs="Times New Roman"/>
          <w:b/>
          <w:bCs/>
          <w:sz w:val="24"/>
          <w:szCs w:val="24"/>
        </w:rPr>
        <w:t>vertikalnom presom za papirnu, kartonsku i PET ambalažu</w:t>
      </w:r>
      <w:r w:rsidRPr="00615350">
        <w:rPr>
          <w:rFonts w:ascii="Times New Roman" w:eastAsia="Times New Roman" w:hAnsi="Times New Roman" w:cs="Times New Roman"/>
          <w:sz w:val="24"/>
          <w:szCs w:val="24"/>
        </w:rPr>
        <w:t xml:space="preserve">, kao i </w:t>
      </w:r>
      <w:r w:rsidRPr="00615350">
        <w:rPr>
          <w:rFonts w:ascii="Times New Roman" w:eastAsia="Times New Roman" w:hAnsi="Times New Roman" w:cs="Times New Roman"/>
          <w:b/>
          <w:bCs/>
          <w:sz w:val="24"/>
          <w:szCs w:val="24"/>
        </w:rPr>
        <w:t>drobilicom za drvni otpad</w:t>
      </w:r>
      <w:r w:rsidRPr="00615350">
        <w:rPr>
          <w:rFonts w:ascii="Times New Roman" w:eastAsia="Times New Roman" w:hAnsi="Times New Roman" w:cs="Times New Roman"/>
          <w:sz w:val="24"/>
          <w:szCs w:val="24"/>
        </w:rPr>
        <w:t xml:space="preserve">. Prema dostavljenim podacima, presa se ne koristi u punom obimu zbog nedostatka odgovarajućeg prostora, dok se drobilica koristi prema potrebi.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teritoriji opštine trenutno </w:t>
      </w:r>
      <w:r w:rsidRPr="00615350">
        <w:rPr>
          <w:rFonts w:ascii="Times New Roman" w:eastAsia="Times New Roman" w:hAnsi="Times New Roman" w:cs="Times New Roman"/>
          <w:b/>
          <w:bCs/>
          <w:sz w:val="24"/>
          <w:szCs w:val="24"/>
        </w:rPr>
        <w:t>nije uspostavljen funkcionalan reciklažni centar niti postrojenje za sekundarno razvrstavanje i obradu reciklabilnih frakcija komunalnog otpada</w:t>
      </w:r>
      <w:r w:rsidRPr="00615350">
        <w:rPr>
          <w:rFonts w:ascii="Times New Roman" w:eastAsia="Times New Roman" w:hAnsi="Times New Roman" w:cs="Times New Roman"/>
          <w:sz w:val="24"/>
          <w:szCs w:val="24"/>
        </w:rPr>
        <w:t>. Iako je u prethodnom periodu pripremljen projekat reciklažnog dvorišta sa sortirnicom, objekat nije izgrađen i nije u funkciji. Zbog toga se postojeći sistem i dalje u najvećoj mjeri oslanja na privremeno skladištenje miješanog komunalnog otpada na lokaciji „Rujiške laze“.</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Državnim planom upravljanja otpadom 2025–2029. predviđena je promjena ovakvog sistema. Opština Berane uključena je u </w:t>
      </w:r>
      <w:r w:rsidRPr="00615350">
        <w:rPr>
          <w:rFonts w:ascii="Times New Roman" w:eastAsia="Times New Roman" w:hAnsi="Times New Roman" w:cs="Times New Roman"/>
          <w:b/>
          <w:bCs/>
          <w:sz w:val="24"/>
          <w:szCs w:val="24"/>
        </w:rPr>
        <w:t>sjeverni regionalni sistem upravljanja otpadom sa Regionalnim centrom u Bijelom Polju</w:t>
      </w:r>
      <w:r w:rsidRPr="00615350">
        <w:rPr>
          <w:rFonts w:ascii="Times New Roman" w:eastAsia="Times New Roman" w:hAnsi="Times New Roman" w:cs="Times New Roman"/>
          <w:sz w:val="24"/>
          <w:szCs w:val="24"/>
        </w:rPr>
        <w:t xml:space="preserve">, dok je za Berane planiran </w:t>
      </w:r>
      <w:r w:rsidR="007C7653" w:rsidRPr="00615350">
        <w:rPr>
          <w:rFonts w:ascii="Times New Roman" w:eastAsia="Times New Roman" w:hAnsi="Times New Roman" w:cs="Times New Roman"/>
          <w:b/>
          <w:bCs/>
          <w:sz w:val="24"/>
          <w:szCs w:val="24"/>
        </w:rPr>
        <w:t>reciklažni centar</w:t>
      </w:r>
      <w:r w:rsidRPr="00615350">
        <w:rPr>
          <w:rFonts w:ascii="Times New Roman" w:eastAsia="Times New Roman" w:hAnsi="Times New Roman" w:cs="Times New Roman"/>
          <w:sz w:val="24"/>
          <w:szCs w:val="24"/>
        </w:rPr>
        <w:t xml:space="preserve">. U okviru planirane infrastrukture sjevernog regionalnog sistema, MRF za odvojeno sakupljene reciklabilne materijale planiran je u Bijelom Polju, kapaciteta </w:t>
      </w:r>
      <w:r w:rsidRPr="00615350">
        <w:rPr>
          <w:rFonts w:ascii="Times New Roman" w:eastAsia="Times New Roman" w:hAnsi="Times New Roman" w:cs="Times New Roman"/>
          <w:b/>
          <w:bCs/>
          <w:sz w:val="24"/>
          <w:szCs w:val="24"/>
        </w:rPr>
        <w:t>13.980 t/god.</w:t>
      </w:r>
      <w:r w:rsidRPr="00615350">
        <w:rPr>
          <w:rFonts w:ascii="Times New Roman" w:eastAsia="Times New Roman" w:hAnsi="Times New Roman" w:cs="Times New Roman"/>
          <w:sz w:val="24"/>
          <w:szCs w:val="24"/>
        </w:rPr>
        <w:t xml:space="preserve">, zajedno sa postrojenjem za kompostiranje, MBT postrojenjem i regionalnom deponijom.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Postojeću infrastrukturu u Beranama zbog toga treba posmatrati kao </w:t>
      </w:r>
      <w:r w:rsidRPr="00615350">
        <w:rPr>
          <w:rFonts w:ascii="Times New Roman" w:eastAsia="Times New Roman" w:hAnsi="Times New Roman" w:cs="Times New Roman"/>
          <w:b/>
          <w:bCs/>
          <w:sz w:val="24"/>
          <w:szCs w:val="24"/>
        </w:rPr>
        <w:t>prelazni sistem</w:t>
      </w:r>
      <w:r w:rsidRPr="00615350">
        <w:rPr>
          <w:rFonts w:ascii="Times New Roman" w:eastAsia="Times New Roman" w:hAnsi="Times New Roman" w:cs="Times New Roman"/>
          <w:sz w:val="24"/>
          <w:szCs w:val="24"/>
        </w:rPr>
        <w:t xml:space="preserve"> do uspostavljanja planiranih lokalnih i regionalnih kapaciteta. Nakon uspostavljanja odgovarajuće infrastrukture i regionalnog sistema, potrebno je pristupiti prestanku korišćenja privremenog skladišta „Rujiške laze“, njegovom zatvaranju i sanaciji u skladu sa zakonskim i planskim zahtjevima.</w:t>
      </w:r>
    </w:p>
    <w:p w:rsidR="00EC7ADD" w:rsidRPr="00615350" w:rsidRDefault="00EC7ADD" w:rsidP="00900448">
      <w:pPr>
        <w:pStyle w:val="Heading2"/>
        <w:jc w:val="both"/>
        <w:rPr>
          <w:rFonts w:ascii="Times New Roman" w:eastAsia="Times New Roman" w:hAnsi="Times New Roman" w:cs="Times New Roman"/>
          <w:sz w:val="24"/>
          <w:szCs w:val="24"/>
        </w:rPr>
      </w:pPr>
      <w:bookmarkStart w:id="21" w:name="_Toc240282280"/>
      <w:r w:rsidRPr="00615350">
        <w:rPr>
          <w:rFonts w:ascii="Times New Roman" w:eastAsia="Times New Roman" w:hAnsi="Times New Roman" w:cs="Times New Roman"/>
          <w:sz w:val="24"/>
          <w:szCs w:val="24"/>
        </w:rPr>
        <w:t>3.8. Neuređena odlagališta otpada</w:t>
      </w:r>
      <w:bookmarkEnd w:id="21"/>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Neuređena odlagališta predstavljaju jedan od značajnijih problema sistema upravljanja otpadom na teritoriji opštine Berane. Raspoloživi zvanični podaci pokazuju da se ovakve lokacije pojavljuju kako u gradskim i prigradskim, tako i u ruralnim područjima, naročito uz lokalne i regionalne puteve, na neuređenim javnim i privatnim površinama, kao i uz obale Lima i njegovih pritoka.</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praćenje stanja Opština Berane sprovodi terenske obilaske i izrađuje godišnje popise neuređenih, odnosno nelegalnih odlagališta komunalnog i građevinskog otpada. Zvaničnim </w:t>
      </w:r>
      <w:r w:rsidRPr="00615350">
        <w:rPr>
          <w:rFonts w:ascii="Times New Roman" w:eastAsia="Times New Roman" w:hAnsi="Times New Roman" w:cs="Times New Roman"/>
          <w:b/>
          <w:bCs/>
          <w:sz w:val="24"/>
          <w:szCs w:val="24"/>
        </w:rPr>
        <w:t>Popisom nelegalnih odlagališta br. 16-335/23-306/1 od 10.11.2023. godine</w:t>
      </w:r>
      <w:r w:rsidRPr="00615350">
        <w:rPr>
          <w:rFonts w:ascii="Times New Roman" w:eastAsia="Times New Roman" w:hAnsi="Times New Roman" w:cs="Times New Roman"/>
          <w:sz w:val="24"/>
          <w:szCs w:val="24"/>
        </w:rPr>
        <w:t xml:space="preserve"> evidentirano je ukupno </w:t>
      </w:r>
      <w:r w:rsidRPr="00615350">
        <w:rPr>
          <w:rFonts w:ascii="Times New Roman" w:eastAsia="Times New Roman" w:hAnsi="Times New Roman" w:cs="Times New Roman"/>
          <w:b/>
          <w:bCs/>
          <w:sz w:val="24"/>
          <w:szCs w:val="24"/>
        </w:rPr>
        <w:t>38 lokacija</w:t>
      </w:r>
      <w:r w:rsidRPr="00615350">
        <w:rPr>
          <w:rFonts w:ascii="Times New Roman" w:eastAsia="Times New Roman" w:hAnsi="Times New Roman" w:cs="Times New Roman"/>
          <w:sz w:val="24"/>
          <w:szCs w:val="24"/>
        </w:rPr>
        <w:t xml:space="preserve">.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Tokom 2024. godine izvršen je novi terenski obilazak. Komisija formirana od strane nadležnog Sekretarijata obišla je područje opštine u periodu od 18. do 22. jula 2024. godine i sačinila </w:t>
      </w:r>
      <w:r w:rsidRPr="00615350">
        <w:rPr>
          <w:rFonts w:ascii="Times New Roman" w:eastAsia="Times New Roman" w:hAnsi="Times New Roman" w:cs="Times New Roman"/>
          <w:b/>
          <w:bCs/>
          <w:sz w:val="24"/>
          <w:szCs w:val="24"/>
        </w:rPr>
        <w:t>Popis nelegalnih odlagališta br. 16-335/24-467/1 od 25.07.2024. godine</w:t>
      </w:r>
      <w:r w:rsidRPr="00615350">
        <w:rPr>
          <w:rFonts w:ascii="Times New Roman" w:eastAsia="Times New Roman" w:hAnsi="Times New Roman" w:cs="Times New Roman"/>
          <w:sz w:val="24"/>
          <w:szCs w:val="24"/>
        </w:rPr>
        <w:t xml:space="preserve">, kojim su evidentirane </w:t>
      </w:r>
      <w:r w:rsidRPr="00615350">
        <w:rPr>
          <w:rFonts w:ascii="Times New Roman" w:eastAsia="Times New Roman" w:hAnsi="Times New Roman" w:cs="Times New Roman"/>
          <w:b/>
          <w:bCs/>
          <w:sz w:val="24"/>
          <w:szCs w:val="24"/>
        </w:rPr>
        <w:t>23 lokacije</w:t>
      </w:r>
      <w:r w:rsidRPr="00615350">
        <w:rPr>
          <w:rFonts w:ascii="Times New Roman" w:eastAsia="Times New Roman" w:hAnsi="Times New Roman" w:cs="Times New Roman"/>
          <w:sz w:val="24"/>
          <w:szCs w:val="24"/>
        </w:rPr>
        <w:t xml:space="preserve">.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2025. godini sproveden je novi popis, kojim su evidentirane </w:t>
      </w:r>
      <w:r w:rsidRPr="00615350">
        <w:rPr>
          <w:rFonts w:ascii="Times New Roman" w:eastAsia="Times New Roman" w:hAnsi="Times New Roman" w:cs="Times New Roman"/>
          <w:b/>
          <w:bCs/>
          <w:sz w:val="24"/>
          <w:szCs w:val="24"/>
        </w:rPr>
        <w:t>32 lokacije neuređenog odlaganja otpada</w:t>
      </w:r>
      <w:r w:rsidRPr="00615350">
        <w:rPr>
          <w:rFonts w:ascii="Times New Roman" w:eastAsia="Times New Roman" w:hAnsi="Times New Roman" w:cs="Times New Roman"/>
          <w:sz w:val="24"/>
          <w:szCs w:val="24"/>
        </w:rPr>
        <w:t xml:space="preserve"> na teritoriji opštine. Popis je sačinjen nakon terenskog obilaska Komisije tokom juna 2025. godine, a formalizovan je aktom br. 16-335/25-136/1 od 04.07.2025. godine.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Pregled broja evidentiranih lokacija pokazuje sljedeće stanje:</w:t>
      </w:r>
    </w:p>
    <w:p w:rsidR="00952B49" w:rsidRPr="00615350" w:rsidRDefault="00952B49" w:rsidP="00952B49">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8 Broj evidentiranih neuređenih odlagališta</w:t>
      </w:r>
    </w:p>
    <w:tbl>
      <w:tblPr>
        <w:tblStyle w:val="LightShading-Accent1"/>
        <w:tblW w:w="0" w:type="auto"/>
        <w:jc w:val="center"/>
        <w:tblLook w:val="04A0" w:firstRow="1" w:lastRow="0" w:firstColumn="1" w:lastColumn="0" w:noHBand="0" w:noVBand="1"/>
      </w:tblPr>
      <w:tblGrid>
        <w:gridCol w:w="1179"/>
        <w:gridCol w:w="3158"/>
      </w:tblGrid>
      <w:tr w:rsidR="00F1124F" w:rsidRPr="00615350" w:rsidTr="0084767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9" w:type="dxa"/>
            <w:hideMark/>
          </w:tcPr>
          <w:p w:rsidR="00F1124F" w:rsidRPr="00615350" w:rsidRDefault="00F1124F"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3158" w:type="dxa"/>
            <w:hideMark/>
          </w:tcPr>
          <w:p w:rsidR="00F1124F" w:rsidRPr="00615350" w:rsidRDefault="00F1124F"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Broj evidentiranih neuređenih odlagališta</w:t>
            </w:r>
          </w:p>
        </w:tc>
      </w:tr>
      <w:tr w:rsidR="00F1124F" w:rsidRPr="00615350" w:rsidTr="008476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9" w:type="dxa"/>
            <w:hideMark/>
          </w:tcPr>
          <w:p w:rsidR="00F1124F" w:rsidRPr="00615350" w:rsidRDefault="00F1124F"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2023.</w:t>
            </w:r>
          </w:p>
        </w:tc>
        <w:tc>
          <w:tcPr>
            <w:tcW w:w="3158" w:type="dxa"/>
            <w:hideMark/>
          </w:tcPr>
          <w:p w:rsidR="00F1124F" w:rsidRPr="00615350" w:rsidRDefault="00F1124F"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38</w:t>
            </w:r>
          </w:p>
        </w:tc>
      </w:tr>
      <w:tr w:rsidR="00F1124F" w:rsidRPr="00615350" w:rsidTr="00847672">
        <w:trPr>
          <w:jc w:val="center"/>
        </w:trPr>
        <w:tc>
          <w:tcPr>
            <w:cnfStyle w:val="001000000000" w:firstRow="0" w:lastRow="0" w:firstColumn="1" w:lastColumn="0" w:oddVBand="0" w:evenVBand="0" w:oddHBand="0" w:evenHBand="0" w:firstRowFirstColumn="0" w:firstRowLastColumn="0" w:lastRowFirstColumn="0" w:lastRowLastColumn="0"/>
            <w:tcW w:w="1179" w:type="dxa"/>
            <w:hideMark/>
          </w:tcPr>
          <w:p w:rsidR="00F1124F" w:rsidRPr="00615350" w:rsidRDefault="00F1124F"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2024.</w:t>
            </w:r>
          </w:p>
        </w:tc>
        <w:tc>
          <w:tcPr>
            <w:tcW w:w="3158" w:type="dxa"/>
            <w:hideMark/>
          </w:tcPr>
          <w:p w:rsidR="00F1124F" w:rsidRPr="00615350" w:rsidRDefault="00F1124F"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23</w:t>
            </w:r>
          </w:p>
        </w:tc>
      </w:tr>
      <w:tr w:rsidR="00F1124F" w:rsidRPr="00615350" w:rsidTr="008476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9" w:type="dxa"/>
            <w:hideMark/>
          </w:tcPr>
          <w:p w:rsidR="00F1124F" w:rsidRPr="00615350" w:rsidRDefault="00F1124F"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2025.</w:t>
            </w:r>
          </w:p>
        </w:tc>
        <w:tc>
          <w:tcPr>
            <w:tcW w:w="3158" w:type="dxa"/>
            <w:hideMark/>
          </w:tcPr>
          <w:p w:rsidR="00F1124F" w:rsidRPr="00615350" w:rsidRDefault="00F1124F"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32</w:t>
            </w:r>
          </w:p>
        </w:tc>
      </w:tr>
    </w:tbl>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Promjene broja evidentiranih lokacija između pojedinih godina </w:t>
      </w:r>
      <w:r w:rsidRPr="00615350">
        <w:rPr>
          <w:rFonts w:ascii="Times New Roman" w:eastAsia="Times New Roman" w:hAnsi="Times New Roman" w:cs="Times New Roman"/>
          <w:b/>
          <w:bCs/>
          <w:sz w:val="24"/>
          <w:szCs w:val="24"/>
        </w:rPr>
        <w:t>ne treba tumačiti kao linearan pokazatelj poboljšanja ili pogoršanja stanja</w:t>
      </w:r>
      <w:r w:rsidRPr="00615350">
        <w:rPr>
          <w:rFonts w:ascii="Times New Roman" w:eastAsia="Times New Roman" w:hAnsi="Times New Roman" w:cs="Times New Roman"/>
          <w:sz w:val="24"/>
          <w:szCs w:val="24"/>
        </w:rPr>
        <w:t>. Pojedine lokacije se tokom godine saniraju, ali se na istim ili drugim mjestima otpad može ponovo nepropisno odlagati, dok se prilikom svakog novog terenskog obilaska mogu evidentirati i lokacije koje ranije nijesu bile registrovane.</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Zvanični popisi pokazuju da se na neuređenim odlagalištima najčešće nalaze </w:t>
      </w:r>
      <w:r w:rsidRPr="00615350">
        <w:rPr>
          <w:rFonts w:ascii="Times New Roman" w:eastAsia="Times New Roman" w:hAnsi="Times New Roman" w:cs="Times New Roman"/>
          <w:b/>
          <w:bCs/>
          <w:sz w:val="24"/>
          <w:szCs w:val="24"/>
        </w:rPr>
        <w:t>miješani komunalni, građevinski, kabasti i biorazgradivi otpad</w:t>
      </w:r>
      <w:r w:rsidRPr="00615350">
        <w:rPr>
          <w:rFonts w:ascii="Times New Roman" w:eastAsia="Times New Roman" w:hAnsi="Times New Roman" w:cs="Times New Roman"/>
          <w:sz w:val="24"/>
          <w:szCs w:val="24"/>
        </w:rPr>
        <w:t xml:space="preserve">, pri čemu se na velikom broju lokacija pojavljuje kombinacija više vrsta otpada. Komisija je i u izvještaju iz 2025. konstatovala miješano prisustvo komunalnog, građevinskog i biološkog otpada i ukazala na potrebu njihovog razdvajanja prije uklanjanja i daljeg postupanja.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Poseban značaj sa aspekta zaštite životne sredine imaju odlagališta uz </w:t>
      </w:r>
      <w:r w:rsidRPr="00615350">
        <w:rPr>
          <w:rFonts w:ascii="Times New Roman" w:eastAsia="Times New Roman" w:hAnsi="Times New Roman" w:cs="Times New Roman"/>
          <w:b/>
          <w:bCs/>
          <w:sz w:val="24"/>
          <w:szCs w:val="24"/>
        </w:rPr>
        <w:t>rijeku Lim i njene pritoke</w:t>
      </w:r>
      <w:r w:rsidRPr="00615350">
        <w:rPr>
          <w:rFonts w:ascii="Times New Roman" w:eastAsia="Times New Roman" w:hAnsi="Times New Roman" w:cs="Times New Roman"/>
          <w:sz w:val="24"/>
          <w:szCs w:val="24"/>
        </w:rPr>
        <w:t>. U popisima su, između ostalog, evidentirane lokacije u Lugovima uz Lim, uz Obilaznicu na obali Lima, u Donjem Talumu uz obalu Lima, kao i u MZ Štitari uz obalu rijeke. Ovakve lokacije predstavljaju povećan rizik zbog mogućnosti raznošenja otpada i prenosa zagađujućih materija površinskim vodama, posebno tokom perioda visokih voda.</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Sanaciju neuređenih odlagališta kontinuirano sprovodi DOO „Komunalno“ Berane. Prema zvaničnom Izvještaju o sprovođenju Plana za 2025. godinu, pored lokacija evidentiranih godišnjim popisom, tokom godine vršeno je redovno ili periodično čišćenje većeg broja manjih lokacija u gradskom i prigradskom području. Među njima su lokacije na Rudešu, uz Obilaznicu, u Donjim Lugama, Novom Naselju, Haremima, na području Beransela i drugim djelovima opštine. Tokom ovih aktivnosti prikupljeno je i odvezeno </w:t>
      </w:r>
      <w:r w:rsidRPr="00615350">
        <w:rPr>
          <w:rFonts w:ascii="Times New Roman" w:eastAsia="Times New Roman" w:hAnsi="Times New Roman" w:cs="Times New Roman"/>
          <w:b/>
          <w:bCs/>
          <w:sz w:val="24"/>
          <w:szCs w:val="24"/>
        </w:rPr>
        <w:t>preko 4.000 m³ različitog otpada, pretežno biorazgradivog i građevinskog</w:t>
      </w:r>
      <w:r w:rsidRPr="00615350">
        <w:rPr>
          <w:rFonts w:ascii="Times New Roman" w:eastAsia="Times New Roman" w:hAnsi="Times New Roman" w:cs="Times New Roman"/>
          <w:sz w:val="24"/>
          <w:szCs w:val="24"/>
        </w:rPr>
        <w:t xml:space="preserve">.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Podaci istovremeno pokazuju da samo uklanjanje otpada sa neuređenih lokacija ne predstavlja trajno rješenje, jer se dio lokacija nakon sanacije ponovo aktivira. U zvaničnom popisu iz 2024. za pojedine lokacije izričito je navedeno da su </w:t>
      </w:r>
      <w:r w:rsidRPr="00615350">
        <w:rPr>
          <w:rFonts w:ascii="Times New Roman" w:eastAsia="Times New Roman" w:hAnsi="Times New Roman" w:cs="Times New Roman"/>
          <w:b/>
          <w:bCs/>
          <w:sz w:val="24"/>
          <w:szCs w:val="24"/>
        </w:rPr>
        <w:t>sanirane u više navrata</w:t>
      </w:r>
      <w:r w:rsidRPr="00615350">
        <w:rPr>
          <w:rFonts w:ascii="Times New Roman" w:eastAsia="Times New Roman" w:hAnsi="Times New Roman" w:cs="Times New Roman"/>
          <w:sz w:val="24"/>
          <w:szCs w:val="24"/>
        </w:rPr>
        <w:t xml:space="preserve">, što potvrđuje problem ponovnog nepropisnog odlaganja. </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Rješavanje problema neuređenih odlagališta zato zahtijeva kombinovanje više mjera: kontinuirano ažuriranje evidencije i prostorno evidentiranje lokacija, uklanjanje i sanaciju otpada, praćenje ponovnog nastanka odlagališta na saniranim mjestima, povećanje dostupnosti organizovanog sistema sakupljanja, naročito u ruralnim područjima, obezbjeđivanje odgovarajućih mogućnosti za predaju kabastog, zelenog i građevinskog otpada, kao i jačanje nadzora nad nepropisnim odlaganjem.</w:t>
      </w:r>
    </w:p>
    <w:p w:rsidR="00F1124F" w:rsidRPr="00615350" w:rsidRDefault="00F1124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Prioriteti, dinamika sanacije i mjere za sprječavanje ponovnog formiranja neuređenih odlagališta biće detaljnije definisani u planskom i akcionom dijelu ovog Plana.</w:t>
      </w:r>
    </w:p>
    <w:p w:rsidR="00BF1AFB" w:rsidRPr="00615350" w:rsidRDefault="00BF1AFB" w:rsidP="00900448">
      <w:pPr>
        <w:pStyle w:val="Heading2"/>
        <w:jc w:val="both"/>
        <w:rPr>
          <w:rFonts w:ascii="Times New Roman" w:eastAsia="Times New Roman" w:hAnsi="Times New Roman" w:cs="Times New Roman"/>
          <w:sz w:val="24"/>
          <w:szCs w:val="24"/>
        </w:rPr>
      </w:pPr>
      <w:bookmarkStart w:id="22" w:name="_Toc240282281"/>
      <w:r w:rsidRPr="00615350">
        <w:rPr>
          <w:rFonts w:ascii="Times New Roman" w:eastAsia="Times New Roman" w:hAnsi="Times New Roman" w:cs="Times New Roman"/>
          <w:sz w:val="24"/>
          <w:szCs w:val="24"/>
        </w:rPr>
        <w:t>3.9. Neopasni građevinski otpad</w:t>
      </w:r>
      <w:bookmarkEnd w:id="22"/>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Upravljanje neopasnim građevinskim otpadom predstavlja poseban segment lokalnog sistema upravljanja otpadom. Prema lokalnoj Odluci iz 2019. godine, građevinskim otpadom smatra </w:t>
      </w:r>
      <w:r w:rsidRPr="00615350">
        <w:rPr>
          <w:rFonts w:ascii="Times New Roman" w:eastAsia="Times New Roman" w:hAnsi="Times New Roman" w:cs="Times New Roman"/>
          <w:sz w:val="24"/>
          <w:szCs w:val="24"/>
        </w:rPr>
        <w:lastRenderedPageBreak/>
        <w:t xml:space="preserve">se otpad nastao prilikom izgradnje, održavanja ili rušenja objekata, koji može sadržati neopasne frakcije kao što su beton, cigla, pločice i keramika, građevinsko drvo, staklo, metali i druge odgovarajuće frakcije. </w:t>
      </w:r>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Skupština opštine Berane je </w:t>
      </w:r>
      <w:r w:rsidRPr="00615350">
        <w:rPr>
          <w:rFonts w:ascii="Times New Roman" w:eastAsia="Times New Roman" w:hAnsi="Times New Roman" w:cs="Times New Roman"/>
          <w:b/>
          <w:bCs/>
          <w:sz w:val="24"/>
          <w:szCs w:val="24"/>
        </w:rPr>
        <w:t>Odlukom o određivanju lokacije za privremeno skladištenje neopasnog građevinskog otpada</w:t>
      </w:r>
      <w:r w:rsidRPr="00615350">
        <w:rPr>
          <w:rFonts w:ascii="Times New Roman" w:eastAsia="Times New Roman" w:hAnsi="Times New Roman" w:cs="Times New Roman"/>
          <w:sz w:val="24"/>
          <w:szCs w:val="24"/>
        </w:rPr>
        <w:t xml:space="preserve"> („Službeni list Crne Gore – opštinski propisi“, br. 004/19 od 22.01.2019. godine) odredila lokaciju </w:t>
      </w:r>
      <w:r w:rsidRPr="00615350">
        <w:rPr>
          <w:rFonts w:ascii="Times New Roman" w:eastAsia="Times New Roman" w:hAnsi="Times New Roman" w:cs="Times New Roman"/>
          <w:b/>
          <w:bCs/>
          <w:sz w:val="24"/>
          <w:szCs w:val="24"/>
        </w:rPr>
        <w:t>„Gradinsko polje“</w:t>
      </w:r>
      <w:r w:rsidRPr="00615350">
        <w:rPr>
          <w:rFonts w:ascii="Times New Roman" w:eastAsia="Times New Roman" w:hAnsi="Times New Roman" w:cs="Times New Roman"/>
          <w:sz w:val="24"/>
          <w:szCs w:val="24"/>
        </w:rPr>
        <w:t xml:space="preserve">, na djelovima katastarskih parcela br. </w:t>
      </w:r>
      <w:r w:rsidRPr="00615350">
        <w:rPr>
          <w:rFonts w:ascii="Times New Roman" w:eastAsia="Times New Roman" w:hAnsi="Times New Roman" w:cs="Times New Roman"/>
          <w:b/>
          <w:bCs/>
          <w:sz w:val="24"/>
          <w:szCs w:val="24"/>
        </w:rPr>
        <w:t>1794 i 1795/1 KO Buče I</w:t>
      </w:r>
      <w:r w:rsidRPr="00615350">
        <w:rPr>
          <w:rFonts w:ascii="Times New Roman" w:eastAsia="Times New Roman" w:hAnsi="Times New Roman" w:cs="Times New Roman"/>
          <w:sz w:val="24"/>
          <w:szCs w:val="24"/>
        </w:rPr>
        <w:t xml:space="preserve">, ukupne površine oko </w:t>
      </w:r>
      <w:r w:rsidRPr="00615350">
        <w:rPr>
          <w:rFonts w:ascii="Times New Roman" w:eastAsia="Times New Roman" w:hAnsi="Times New Roman" w:cs="Times New Roman"/>
          <w:b/>
          <w:bCs/>
          <w:sz w:val="24"/>
          <w:szCs w:val="24"/>
        </w:rPr>
        <w:t>11.000 m²</w:t>
      </w:r>
      <w:r w:rsidRPr="00615350">
        <w:rPr>
          <w:rFonts w:ascii="Times New Roman" w:eastAsia="Times New Roman" w:hAnsi="Times New Roman" w:cs="Times New Roman"/>
          <w:sz w:val="24"/>
          <w:szCs w:val="24"/>
        </w:rPr>
        <w:t xml:space="preserve">. Lokacija je data na upravljanje i održavanje DOO „Komunalno“ Berane. </w:t>
      </w:r>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Način privremenog skladištenja uređen je posebnom Odlukom iz 2019. godine. Njome su propisani uslovi za organizaciju prostora, razvrstavanje pojedinih frakcija, prijem i otpremu otpada, čuvarsku službu, mjerenje primljenih količina, vođenje evidencije i sprovođenje mjera zaštite životne sredine. </w:t>
      </w:r>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Istom Odlukom bilo je propisano da se lokacija koristi u periodu od </w:t>
      </w:r>
      <w:r w:rsidRPr="00615350">
        <w:rPr>
          <w:rFonts w:ascii="Times New Roman" w:eastAsia="Times New Roman" w:hAnsi="Times New Roman" w:cs="Times New Roman"/>
          <w:b/>
          <w:bCs/>
          <w:sz w:val="24"/>
          <w:szCs w:val="24"/>
        </w:rPr>
        <w:t>1. oktobra 2019. do 1. oktobra 2021. godine</w:t>
      </w:r>
      <w:r w:rsidRPr="00615350">
        <w:rPr>
          <w:rFonts w:ascii="Times New Roman" w:eastAsia="Times New Roman" w:hAnsi="Times New Roman" w:cs="Times New Roman"/>
          <w:sz w:val="24"/>
          <w:szCs w:val="24"/>
        </w:rPr>
        <w:t>, nakon čega je trebalo izvršiti njenu sanaciju. Zbog toga se ranije određena mikrolokacija „Gradinsko polje“ ne može tretirati kao postojeća funkcionalna lokacija za prijem i privremeno skladištenje neopasnog građevinskog otpada.</w:t>
      </w:r>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Noviji podaci dostavljeni za potrebe izrade ovog Plana potvrđuju da </w:t>
      </w:r>
      <w:r w:rsidRPr="00615350">
        <w:rPr>
          <w:rFonts w:ascii="Times New Roman" w:eastAsia="Times New Roman" w:hAnsi="Times New Roman" w:cs="Times New Roman"/>
          <w:b/>
          <w:bCs/>
          <w:sz w:val="24"/>
          <w:szCs w:val="24"/>
        </w:rPr>
        <w:t>sistem na ranije određenoj lokaciji nije uspostavljen i da lokacija nije privedena namjeni</w:t>
      </w:r>
      <w:r w:rsidRPr="00615350">
        <w:rPr>
          <w:rFonts w:ascii="Times New Roman" w:eastAsia="Times New Roman" w:hAnsi="Times New Roman" w:cs="Times New Roman"/>
          <w:sz w:val="24"/>
          <w:szCs w:val="24"/>
        </w:rPr>
        <w:t xml:space="preserve">. Istovremeno, Opština razmatra dislociranje lokacije unutar iste šire katastarske površine i njeno odgovarajuće infrastrukturno opremanje. Tokom 2026. godine Komisija određena od strane Predsjednika opštine predložila je položaj budućeg privremenog skladišta na južnoj granici predmetnog prostora i dala orijentacionu skicu, uz napomenu da tačnu lokaciju i grafički prilog treba da utvrdi ovlašćena geodetska kuća. </w:t>
      </w:r>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Raspoloživi podaci DOO „Komunalno“ pokazuju da se u lokalnom sistemu evidentiraju značajne količine zbirne kategorije </w:t>
      </w:r>
      <w:r w:rsidRPr="00615350">
        <w:rPr>
          <w:rFonts w:ascii="Times New Roman" w:eastAsia="Times New Roman" w:hAnsi="Times New Roman" w:cs="Times New Roman"/>
          <w:b/>
          <w:bCs/>
          <w:sz w:val="24"/>
          <w:szCs w:val="24"/>
        </w:rPr>
        <w:t>„zemlja, kamen i građevinski otpad“</w:t>
      </w:r>
      <w:r w:rsidRPr="00615350">
        <w:rPr>
          <w:rFonts w:ascii="Times New Roman" w:eastAsia="Times New Roman" w:hAnsi="Times New Roman" w:cs="Times New Roman"/>
          <w:sz w:val="24"/>
          <w:szCs w:val="24"/>
        </w:rPr>
        <w:t>:</w:t>
      </w:r>
    </w:p>
    <w:p w:rsidR="000D49D5" w:rsidRPr="00615350" w:rsidRDefault="000D49D5" w:rsidP="000D49D5">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9 Količine sakupljene zemlje, kamena i građevinskog otpada</w:t>
      </w:r>
    </w:p>
    <w:tbl>
      <w:tblPr>
        <w:tblStyle w:val="LightShading-Accent1"/>
        <w:tblW w:w="0" w:type="auto"/>
        <w:jc w:val="center"/>
        <w:tblLook w:val="04A0" w:firstRow="1" w:lastRow="0" w:firstColumn="1" w:lastColumn="0" w:noHBand="0" w:noVBand="1"/>
      </w:tblPr>
      <w:tblGrid>
        <w:gridCol w:w="805"/>
        <w:gridCol w:w="3643"/>
      </w:tblGrid>
      <w:tr w:rsidR="001B0ADF" w:rsidRPr="00615350" w:rsidTr="0084767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1B0ADF" w:rsidRPr="00615350" w:rsidRDefault="001B0ADF"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0" w:type="auto"/>
            <w:hideMark/>
          </w:tcPr>
          <w:p w:rsidR="001B0ADF" w:rsidRPr="00615350" w:rsidRDefault="001B0ADF"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Zemlja, kamen i građevinski otpad (t/god.)</w:t>
            </w:r>
          </w:p>
        </w:tc>
      </w:tr>
      <w:tr w:rsidR="001B0ADF" w:rsidRPr="00615350" w:rsidTr="008476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1B0ADF" w:rsidRPr="00615350" w:rsidRDefault="001B0ADF"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2022.</w:t>
            </w:r>
          </w:p>
        </w:tc>
        <w:tc>
          <w:tcPr>
            <w:tcW w:w="0" w:type="auto"/>
            <w:hideMark/>
          </w:tcPr>
          <w:p w:rsidR="001B0ADF" w:rsidRPr="00615350" w:rsidRDefault="001B0ADF"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1.660</w:t>
            </w:r>
          </w:p>
        </w:tc>
      </w:tr>
      <w:tr w:rsidR="001B0ADF" w:rsidRPr="00615350" w:rsidTr="0084767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1B0ADF" w:rsidRPr="00615350" w:rsidRDefault="001B0ADF"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2023.</w:t>
            </w:r>
          </w:p>
        </w:tc>
        <w:tc>
          <w:tcPr>
            <w:tcW w:w="0" w:type="auto"/>
            <w:hideMark/>
          </w:tcPr>
          <w:p w:rsidR="001B0ADF" w:rsidRPr="00615350" w:rsidRDefault="001B0ADF"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1.500</w:t>
            </w:r>
          </w:p>
        </w:tc>
      </w:tr>
      <w:tr w:rsidR="001B0ADF" w:rsidRPr="00615350" w:rsidTr="008476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1B0ADF" w:rsidRPr="00615350" w:rsidRDefault="001B0ADF"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2024.</w:t>
            </w:r>
          </w:p>
        </w:tc>
        <w:tc>
          <w:tcPr>
            <w:tcW w:w="0" w:type="auto"/>
            <w:hideMark/>
          </w:tcPr>
          <w:p w:rsidR="001B0ADF" w:rsidRPr="00615350" w:rsidRDefault="001B0ADF"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1.650</w:t>
            </w:r>
          </w:p>
        </w:tc>
      </w:tr>
      <w:tr w:rsidR="001B0ADF" w:rsidRPr="00615350" w:rsidTr="00847672">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1B0ADF" w:rsidRPr="00615350" w:rsidRDefault="001B0ADF"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2025.</w:t>
            </w:r>
          </w:p>
        </w:tc>
        <w:tc>
          <w:tcPr>
            <w:tcW w:w="0" w:type="auto"/>
            <w:hideMark/>
          </w:tcPr>
          <w:p w:rsidR="001B0ADF" w:rsidRPr="00615350" w:rsidRDefault="001B0ADF"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1.760</w:t>
            </w:r>
          </w:p>
        </w:tc>
      </w:tr>
    </w:tbl>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Ove vrijednosti predstavljaju operativnu evidenciju zbirne kategorije otpada i ne mogu se tumačiti kao precizno utvrđena količina isključivo neopasnog građevinskog otpada. Iz tog razloga trenutno nije moguće pouzdano utvrditi stvarnu godišnju količinu neopasnog građevinskog otpada nastalog na teritoriji Opštine niti njegovu strukturu po pojedinačnim frakcijama. Raspoloživi niz, međutim, pokazuje da se radi o značajnom toku otpada koji zahtijeva posebno organizovan sistem prijema, evidentiranja i daljeg postupanja. </w:t>
      </w:r>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Problem upravljanja građevinskim otpadom neposredno je povezan sa pojavom neuređenih odlagališta. Zvanični godišnji popisi pokazuju da se građevinski otpad pojavljuje na velikom broju neuređenih lokacija, često zajedno sa komunalnim, kabastim i biorazgradivim otpadom, uključujući i lokacije neposredno uz rijeku Lim. Zbog toga samo povremeno uklanjanje ovakvog otpada ne predstavlja trajno rješenje bez uspostavljanja dostupnog i funkcionalnog sistema za njegov kontrolisani prijem.</w:t>
      </w:r>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Važeći Zakon o upravljanju otpadom propisuje da lokalni sistem mora obezbijediti lokaciju za privremeno skladištenje neopasnog građevinskog otpada u skladu sa prostorno-planskom dokumentacijom, kao i odgovarajuće tehničke i organizacione uslove za njegovo prihvatanje i evidentiranje. Jedinica lokalne samouprave dužna je da obezbijedi vođenje evidencije o prijemu ovog otpada, koju vodi subjekat koji upravlja privremenim skladištem. </w:t>
      </w:r>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osnovu raspoloživih podataka može se zaključiti da na teritoriji opštine Berane </w:t>
      </w:r>
      <w:r w:rsidRPr="00615350">
        <w:rPr>
          <w:rFonts w:ascii="Times New Roman" w:eastAsia="Times New Roman" w:hAnsi="Times New Roman" w:cs="Times New Roman"/>
          <w:b/>
          <w:bCs/>
          <w:sz w:val="24"/>
          <w:szCs w:val="24"/>
        </w:rPr>
        <w:t>još nije uspostavljen funkcionalan i zaokružen sistem upravljanja neopasnim građevinskim otpadom</w:t>
      </w:r>
      <w:r w:rsidRPr="00615350">
        <w:rPr>
          <w:rFonts w:ascii="Times New Roman" w:eastAsia="Times New Roman" w:hAnsi="Times New Roman" w:cs="Times New Roman"/>
          <w:sz w:val="24"/>
          <w:szCs w:val="24"/>
        </w:rPr>
        <w:t>. Postoji normativna i prostorna osnova u vidu ranije određene lokacije „Gradinsko polje“, kao i aktuelne aktivnosti Opštine na određivanju odgovarajuće mikrolokacije, ali još nijesu uspostavljeni svi potrebni uslovi za kontrolisani prijem, vaganje, razvrstavanje, evidenciju i dalji tretman ovog toka otpada.</w:t>
      </w:r>
    </w:p>
    <w:p w:rsidR="001B0ADF" w:rsidRPr="00615350" w:rsidRDefault="001B0ADF"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je u planskom periodu potrebno završiti postupak utvrđivanja odgovarajuće lokacije, odnosno mikrolokacije, provjeriti njenu usklađenost sa važećom prostorno-planskom dokumentacijom i Zakonom, infrastrukturno je opremiti i uspostaviti sistem kojim će se neopasni građevinski otpad usmjeravati ka ponovnoj upotrebi, reciklaži ili drugoj materijalnoj preradi, umjesto na neuređena odlagališta.</w:t>
      </w:r>
    </w:p>
    <w:p w:rsidR="00BF1AFB" w:rsidRPr="00615350" w:rsidRDefault="00BF1AFB" w:rsidP="00900448">
      <w:pPr>
        <w:pStyle w:val="Heading2"/>
        <w:jc w:val="both"/>
        <w:rPr>
          <w:rFonts w:ascii="Times New Roman" w:eastAsia="Times New Roman" w:hAnsi="Times New Roman" w:cs="Times New Roman"/>
          <w:sz w:val="24"/>
          <w:szCs w:val="24"/>
        </w:rPr>
      </w:pPr>
      <w:bookmarkStart w:id="23" w:name="_Toc240282282"/>
      <w:r w:rsidRPr="00615350">
        <w:rPr>
          <w:rFonts w:ascii="Times New Roman" w:eastAsia="Times New Roman" w:hAnsi="Times New Roman" w:cs="Times New Roman"/>
          <w:sz w:val="24"/>
          <w:szCs w:val="24"/>
        </w:rPr>
        <w:t>3.10. Biootpad</w:t>
      </w:r>
      <w:bookmarkEnd w:id="23"/>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Biootpad predstavlja značajnu komponentu komunalnog otpada na teritoriji opštine Berane. Rezultati morfološke analize sprovedene tokom 2024. godine pokazali su da </w:t>
      </w:r>
      <w:r w:rsidRPr="00615350">
        <w:rPr>
          <w:rFonts w:ascii="Times New Roman" w:eastAsia="Times New Roman" w:hAnsi="Times New Roman" w:cs="Times New Roman"/>
          <w:b/>
          <w:bCs/>
          <w:sz w:val="24"/>
          <w:szCs w:val="24"/>
        </w:rPr>
        <w:t>biorazgradivi otpad čini prosječno 33,3% sastava komunalnog otpada</w:t>
      </w:r>
      <w:r w:rsidRPr="00615350">
        <w:rPr>
          <w:rFonts w:ascii="Times New Roman" w:eastAsia="Times New Roman" w:hAnsi="Times New Roman" w:cs="Times New Roman"/>
          <w:sz w:val="24"/>
          <w:szCs w:val="24"/>
        </w:rPr>
        <w:t xml:space="preserve">, čime predstavlja najzastupljeniju pojedinačnu frakciju u analiziranom toku miješanog komunalnog otpada. </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podacima DOO „Komunalno“ Berane za 2024. godinu, evidentirano je oko </w:t>
      </w:r>
      <w:r w:rsidRPr="00615350">
        <w:rPr>
          <w:rFonts w:ascii="Times New Roman" w:eastAsia="Times New Roman" w:hAnsi="Times New Roman" w:cs="Times New Roman"/>
          <w:b/>
          <w:bCs/>
          <w:sz w:val="24"/>
          <w:szCs w:val="24"/>
        </w:rPr>
        <w:t>950 t biorazgradivog, odnosno parkovskog otpada</w:t>
      </w:r>
      <w:r w:rsidRPr="00615350">
        <w:rPr>
          <w:rFonts w:ascii="Times New Roman" w:eastAsia="Times New Roman" w:hAnsi="Times New Roman" w:cs="Times New Roman"/>
          <w:sz w:val="24"/>
          <w:szCs w:val="24"/>
        </w:rPr>
        <w:t xml:space="preserve">. Ova količina je u raspoloživoj dokumentaciji prikazana kao procijenjena i tako je treba tumačiti. Lokalni plan zaštite životne sredine Opštine Berane 2025–2029. navodi istu količinu kao približno 950 t biorazgradivog i drvnog otpada. </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Lokalnom </w:t>
      </w:r>
      <w:r w:rsidRPr="00615350">
        <w:rPr>
          <w:rFonts w:ascii="Times New Roman" w:eastAsia="Times New Roman" w:hAnsi="Times New Roman" w:cs="Times New Roman"/>
          <w:b/>
          <w:bCs/>
          <w:sz w:val="24"/>
          <w:szCs w:val="24"/>
        </w:rPr>
        <w:t>Odlukom o načinu odvojenog sakupljanja i sakupljanja komunalnog otpada radi obrade na teritoriji opštine Berane</w:t>
      </w:r>
      <w:r w:rsidRPr="00615350">
        <w:rPr>
          <w:rFonts w:ascii="Times New Roman" w:eastAsia="Times New Roman" w:hAnsi="Times New Roman" w:cs="Times New Roman"/>
          <w:sz w:val="24"/>
          <w:szCs w:val="24"/>
        </w:rPr>
        <w:t xml:space="preserve"> posebno je definisan biorazgradivi otpad iz vrtova i parkova, uključujući grobljanski otpad, odnosno zeleni otpad. Odluka razlikuje i biorazgradivi kuhinjski i otpad iz restorana od zelenog otpada iz vrtova i parkova. Za zeleni </w:t>
      </w:r>
      <w:r w:rsidRPr="00615350">
        <w:rPr>
          <w:rFonts w:ascii="Times New Roman" w:eastAsia="Times New Roman" w:hAnsi="Times New Roman" w:cs="Times New Roman"/>
          <w:sz w:val="24"/>
          <w:szCs w:val="24"/>
        </w:rPr>
        <w:lastRenderedPageBreak/>
        <w:t xml:space="preserve">otpad predviđeno je odvojeno sakupljanje u za to namijenjenim posudama i na odgovarajućim lokacijama, uz organizaciju sakupljanja od strane sakupljača. </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raspoloživim lokalnim podacima, biorazgradivi, odnosno zeleni i parkovski otpad se u postojećem sistemu </w:t>
      </w:r>
      <w:r w:rsidRPr="00615350">
        <w:rPr>
          <w:rFonts w:ascii="Times New Roman" w:eastAsia="Times New Roman" w:hAnsi="Times New Roman" w:cs="Times New Roman"/>
          <w:b/>
          <w:bCs/>
          <w:sz w:val="24"/>
          <w:szCs w:val="24"/>
        </w:rPr>
        <w:t>u određenoj mjeri sakuplja odvojeno od miješanog komunalnog otpada</w:t>
      </w:r>
      <w:r w:rsidRPr="00615350">
        <w:rPr>
          <w:rFonts w:ascii="Times New Roman" w:eastAsia="Times New Roman" w:hAnsi="Times New Roman" w:cs="Times New Roman"/>
          <w:sz w:val="24"/>
          <w:szCs w:val="24"/>
        </w:rPr>
        <w:t xml:space="preserve">. Međutim, dostavljena dokumentacija ne omogućava pouzdano utvrđivanje svih lokacija na kojima se ovaj otpad privremeno skladišti, niti daje dovoljno podataka o količinama koje se dalje obrađuju ili materijalno iskorišćavaju. </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teritoriji opštine trenutno nije potvrđeno postojanje funkcionalnog sistema </w:t>
      </w:r>
      <w:r w:rsidRPr="00615350">
        <w:rPr>
          <w:rFonts w:ascii="Times New Roman" w:eastAsia="Times New Roman" w:hAnsi="Times New Roman" w:cs="Times New Roman"/>
          <w:b/>
          <w:bCs/>
          <w:sz w:val="24"/>
          <w:szCs w:val="24"/>
        </w:rPr>
        <w:t>organizovanog kompostiranja biootpada</w:t>
      </w:r>
      <w:r w:rsidRPr="00615350">
        <w:rPr>
          <w:rFonts w:ascii="Times New Roman" w:eastAsia="Times New Roman" w:hAnsi="Times New Roman" w:cs="Times New Roman"/>
          <w:sz w:val="24"/>
          <w:szCs w:val="24"/>
        </w:rPr>
        <w:t>, niti sistemski uspostavljenog programa kućnog kompostiranja. Zbog toga se postojeći sistem može ocijeniti kao djelimično razvijen u segmentu odvojenog sakupljanja zelenog i parkovskog otpada, ali bez zaokruženog sistema biološkog tretmana.</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Poseban značaj razvoja ovog toka proizlazi iz činjenice da biorazgradivi otpad čini približno trećinu morfološkog sastava komunalnog otpada. Njegovo izdvajanje iz miješanog toka može značajno doprinijeti smanjenju količine otpada koji se upućuje na privremeno skladištenje, kao i povećanju udjela otpada koji se obrađuje u skladu sa hijerarhijom upravljanja otpadom.</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Državni plan upravljanja otpadom 2025–2029. propisuje da do </w:t>
      </w:r>
      <w:r w:rsidRPr="00615350">
        <w:rPr>
          <w:rFonts w:ascii="Times New Roman" w:eastAsia="Times New Roman" w:hAnsi="Times New Roman" w:cs="Times New Roman"/>
          <w:b/>
          <w:bCs/>
          <w:sz w:val="24"/>
          <w:szCs w:val="24"/>
        </w:rPr>
        <w:t>1. januara 2027. godine komunalni biootpad treba da bude odvojeno sakupljen ili recikliran na mjestu nastanka</w:t>
      </w:r>
      <w:r w:rsidRPr="00615350">
        <w:rPr>
          <w:rFonts w:ascii="Times New Roman" w:eastAsia="Times New Roman" w:hAnsi="Times New Roman" w:cs="Times New Roman"/>
          <w:sz w:val="24"/>
          <w:szCs w:val="24"/>
        </w:rPr>
        <w:t xml:space="preserve">. DPUO istovremeno predviđa utvrđivanje potrebnih kapaciteta za biološku obradu, planiranje opreme za kompostiranje u domaćinstvima, kao i smanjenje otpada od hrane po stanovniku, uključujući cilj kućnog kompostiranja dijela biootpada. </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planskom periodu za Berane zato će biti potrebno razvijati kombinovani pristup koji obuhvata odvojeno sakupljanje zelenog otpada, postepeno uvođenje odvojenog sakupljanja drugih vrsta biootpada tamo gdje postoje tehnički uslovi, kao i kućno kompostiranje u pogodnim, naročito individualnim i ruralnim domaćinstvima. Konkretne mjere, ciljne vrijednosti i način povezivanja sa planiranom regionalnom infrastrukturom biće definisani u planskom dijelu LPUO.</w:t>
      </w:r>
    </w:p>
    <w:p w:rsidR="00BF1AFB" w:rsidRPr="00615350" w:rsidRDefault="00BF1AFB" w:rsidP="00900448">
      <w:pPr>
        <w:pStyle w:val="Heading2"/>
        <w:jc w:val="both"/>
        <w:rPr>
          <w:rFonts w:ascii="Times New Roman" w:eastAsia="Times New Roman" w:hAnsi="Times New Roman" w:cs="Times New Roman"/>
          <w:sz w:val="24"/>
          <w:szCs w:val="24"/>
        </w:rPr>
      </w:pPr>
      <w:bookmarkStart w:id="24" w:name="_Toc240282283"/>
      <w:r w:rsidRPr="00615350">
        <w:rPr>
          <w:rFonts w:ascii="Times New Roman" w:eastAsia="Times New Roman" w:hAnsi="Times New Roman" w:cs="Times New Roman"/>
          <w:sz w:val="24"/>
          <w:szCs w:val="24"/>
        </w:rPr>
        <w:t>3.11. Kanalizacioni mulj</w:t>
      </w:r>
      <w:bookmarkEnd w:id="24"/>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teritoriji opštine Berane funkcioniše postrojenje za prečišćavanje otpadnih voda (PPOV), projektovanog kapaciteta </w:t>
      </w:r>
      <w:r w:rsidRPr="00615350">
        <w:rPr>
          <w:rFonts w:ascii="Times New Roman" w:eastAsia="Times New Roman" w:hAnsi="Times New Roman" w:cs="Times New Roman"/>
          <w:b/>
          <w:bCs/>
          <w:sz w:val="24"/>
          <w:szCs w:val="24"/>
        </w:rPr>
        <w:t>20.000 ekvivalent stanovnika (ES)</w:t>
      </w:r>
      <w:r w:rsidRPr="00615350">
        <w:rPr>
          <w:rFonts w:ascii="Times New Roman" w:eastAsia="Times New Roman" w:hAnsi="Times New Roman" w:cs="Times New Roman"/>
          <w:sz w:val="24"/>
          <w:szCs w:val="24"/>
        </w:rPr>
        <w:t xml:space="preserve">, sa mogućnošću proširenja na </w:t>
      </w:r>
      <w:r w:rsidRPr="00615350">
        <w:rPr>
          <w:rFonts w:ascii="Times New Roman" w:eastAsia="Times New Roman" w:hAnsi="Times New Roman" w:cs="Times New Roman"/>
          <w:b/>
          <w:bCs/>
          <w:sz w:val="24"/>
          <w:szCs w:val="24"/>
        </w:rPr>
        <w:t>27.000 ES</w:t>
      </w:r>
      <w:r w:rsidRPr="00615350">
        <w:rPr>
          <w:rFonts w:ascii="Times New Roman" w:eastAsia="Times New Roman" w:hAnsi="Times New Roman" w:cs="Times New Roman"/>
          <w:sz w:val="24"/>
          <w:szCs w:val="24"/>
        </w:rPr>
        <w:t xml:space="preserve"> izgradnjom dodatne linije tretmana. Prečišćavanje otpadnih voda obuhvata mehanički i biološki tretman, pri čemu se biološki proces odvija u sekvencionim biološkim reaktorima (SBR).</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Kanalizacioni mulj nastaje kao rezultat procesa prečišćavanja otpadnih voda. U okviru PPOV-a mulj prolazi kroz postupke zgušnjavanja, stabilizacije/starenja i dehidratacije. Nakon dehidratacije, mulj se sa presa pužnim transporterima prenosi u kontejnere, dok se izdvojena voda vraća u predtretman postrojenja i ponovo uključuje u proces prečišćavanja.</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Prema </w:t>
      </w:r>
      <w:r w:rsidRPr="00615350">
        <w:rPr>
          <w:rFonts w:ascii="Times New Roman" w:eastAsia="Times New Roman" w:hAnsi="Times New Roman" w:cs="Times New Roman"/>
          <w:b/>
          <w:bCs/>
          <w:sz w:val="24"/>
          <w:szCs w:val="24"/>
        </w:rPr>
        <w:t>direktno dostavljenim podacima PPOV-a</w:t>
      </w:r>
      <w:r w:rsidRPr="00615350">
        <w:rPr>
          <w:rFonts w:ascii="Times New Roman" w:eastAsia="Times New Roman" w:hAnsi="Times New Roman" w:cs="Times New Roman"/>
          <w:sz w:val="24"/>
          <w:szCs w:val="24"/>
        </w:rPr>
        <w:t>, u periodu 2023–2025. godine proizvedene su sljedeće količine kanalizacionog mulja:</w:t>
      </w:r>
    </w:p>
    <w:p w:rsidR="00795B04" w:rsidRPr="00615350" w:rsidRDefault="00795B04" w:rsidP="00795B04">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br.10 Količine proizvedenog kanalizacionog mulja</w:t>
      </w:r>
    </w:p>
    <w:tbl>
      <w:tblPr>
        <w:tblStyle w:val="LightShading-Accent1"/>
        <w:tblW w:w="0" w:type="auto"/>
        <w:jc w:val="center"/>
        <w:tblLook w:val="04A0" w:firstRow="1" w:lastRow="0" w:firstColumn="1" w:lastColumn="0" w:noHBand="0" w:noVBand="1"/>
      </w:tblPr>
      <w:tblGrid>
        <w:gridCol w:w="805"/>
        <w:gridCol w:w="1588"/>
      </w:tblGrid>
      <w:tr w:rsidR="00370BC2" w:rsidRPr="00615350" w:rsidTr="0089762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370BC2" w:rsidRPr="00615350" w:rsidRDefault="00370BC2"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0" w:type="auto"/>
            <w:hideMark/>
          </w:tcPr>
          <w:p w:rsidR="00370BC2" w:rsidRPr="00615350" w:rsidRDefault="00370BC2"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Proizvedeni mulj</w:t>
            </w:r>
          </w:p>
        </w:tc>
      </w:tr>
      <w:tr w:rsidR="00370BC2" w:rsidRPr="00615350" w:rsidTr="008976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370BC2" w:rsidRPr="00615350" w:rsidRDefault="00370BC2"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2023.</w:t>
            </w:r>
          </w:p>
        </w:tc>
        <w:tc>
          <w:tcPr>
            <w:tcW w:w="0" w:type="auto"/>
            <w:hideMark/>
          </w:tcPr>
          <w:p w:rsidR="00370BC2" w:rsidRPr="00615350" w:rsidRDefault="00370BC2"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159 m³</w:t>
            </w:r>
          </w:p>
        </w:tc>
      </w:tr>
      <w:tr w:rsidR="00370BC2" w:rsidRPr="00615350" w:rsidTr="0089762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370BC2" w:rsidRPr="00615350" w:rsidRDefault="00370BC2"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2024.</w:t>
            </w:r>
          </w:p>
        </w:tc>
        <w:tc>
          <w:tcPr>
            <w:tcW w:w="0" w:type="auto"/>
            <w:hideMark/>
          </w:tcPr>
          <w:p w:rsidR="00370BC2" w:rsidRPr="00615350" w:rsidRDefault="00370BC2"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107,8 m³</w:t>
            </w:r>
          </w:p>
        </w:tc>
      </w:tr>
      <w:tr w:rsidR="00370BC2" w:rsidRPr="00615350" w:rsidTr="008976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370BC2" w:rsidRPr="00615350" w:rsidRDefault="00370BC2"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2025.</w:t>
            </w:r>
          </w:p>
        </w:tc>
        <w:tc>
          <w:tcPr>
            <w:tcW w:w="0" w:type="auto"/>
            <w:hideMark/>
          </w:tcPr>
          <w:p w:rsidR="00370BC2" w:rsidRPr="00615350" w:rsidRDefault="00370BC2"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100 m³</w:t>
            </w:r>
          </w:p>
        </w:tc>
      </w:tr>
    </w:tbl>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istom periodu količina prečišćene otpadne vode ispuštene u recipijent iznosila je </w:t>
      </w:r>
      <w:r w:rsidRPr="00615350">
        <w:rPr>
          <w:rFonts w:ascii="Times New Roman" w:eastAsia="Times New Roman" w:hAnsi="Times New Roman" w:cs="Times New Roman"/>
          <w:b/>
          <w:bCs/>
          <w:sz w:val="24"/>
          <w:szCs w:val="24"/>
        </w:rPr>
        <w:t>1.839.192 m³ u 2023, 1.793.928 m³ u 2024. i 1.568.048 m³ u 2025. godini</w:t>
      </w:r>
      <w:r w:rsidRPr="00615350">
        <w:rPr>
          <w:rFonts w:ascii="Times New Roman" w:eastAsia="Times New Roman" w:hAnsi="Times New Roman" w:cs="Times New Roman"/>
          <w:sz w:val="24"/>
          <w:szCs w:val="24"/>
        </w:rPr>
        <w:t>.</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Navedene podatke potrebno je razlikovati od procjene iz Lokalnog plana zaštite životne sredine Opštine Berane 2025–2029, prema kojoj PPOV na godišnjem nivou generiše približno </w:t>
      </w:r>
      <w:r w:rsidRPr="00615350">
        <w:rPr>
          <w:rFonts w:ascii="Times New Roman" w:eastAsia="Times New Roman" w:hAnsi="Times New Roman" w:cs="Times New Roman"/>
          <w:b/>
          <w:bCs/>
          <w:sz w:val="24"/>
          <w:szCs w:val="24"/>
        </w:rPr>
        <w:t>120–150 t stabilizovanog i dehidratovanog mulja</w:t>
      </w:r>
      <w:r w:rsidRPr="00615350">
        <w:rPr>
          <w:rFonts w:ascii="Times New Roman" w:eastAsia="Times New Roman" w:hAnsi="Times New Roman" w:cs="Times New Roman"/>
          <w:sz w:val="24"/>
          <w:szCs w:val="24"/>
        </w:rPr>
        <w:t xml:space="preserve">. Za potrebe ovog Plana prednost treba dati neposredno dostavljenim podacima PPOV-a za 2023–2025. godinu. Istovremeno, treba imati u vidu da su podaci PPOV-a iskazani u </w:t>
      </w:r>
      <w:r w:rsidRPr="00615350">
        <w:rPr>
          <w:rFonts w:ascii="Times New Roman" w:eastAsia="Times New Roman" w:hAnsi="Times New Roman" w:cs="Times New Roman"/>
          <w:b/>
          <w:bCs/>
          <w:sz w:val="24"/>
          <w:szCs w:val="24"/>
        </w:rPr>
        <w:t>m³</w:t>
      </w:r>
      <w:r w:rsidRPr="00615350">
        <w:rPr>
          <w:rFonts w:ascii="Times New Roman" w:eastAsia="Times New Roman" w:hAnsi="Times New Roman" w:cs="Times New Roman"/>
          <w:sz w:val="24"/>
          <w:szCs w:val="24"/>
        </w:rPr>
        <w:t>, dok je procjena iz Lokalnog plana zaštite životne sredine izražena u tonama, zbog čega ove vrijednosti nije opravdano neposredno porediti niti međusobno preračunavati bez podataka o zapreminskoj gustini, sadržaju vlage i sadržaju suve materije.</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tehnološkom opisu rada PPOV-a, dehidrirani mulj se nakon obrade prenosi u kontejnere, iz kojih se odvozi sa lokacije postrojenja. Međutim, u dostavljenoj dokumentaciji </w:t>
      </w:r>
      <w:r w:rsidRPr="00615350">
        <w:rPr>
          <w:rFonts w:ascii="Times New Roman" w:eastAsia="Times New Roman" w:hAnsi="Times New Roman" w:cs="Times New Roman"/>
          <w:b/>
          <w:bCs/>
          <w:sz w:val="24"/>
          <w:szCs w:val="24"/>
        </w:rPr>
        <w:t>nije precizirano konačno mjesto njegovog zbrinjavanja niti način daljeg tretmana</w:t>
      </w:r>
      <w:r w:rsidRPr="00615350">
        <w:rPr>
          <w:rFonts w:ascii="Times New Roman" w:eastAsia="Times New Roman" w:hAnsi="Times New Roman" w:cs="Times New Roman"/>
          <w:sz w:val="24"/>
          <w:szCs w:val="24"/>
        </w:rPr>
        <w:t>. Takođe nijesu dostavljeni podaci o klasifikaciji otpada, odgovarajućem kodu iz Kataloga otpada, rezultatima karakterizacije mulja, niti sadržaju suve materije. Zbog toga se u okviru analize postojećeg stanja ne može pouzdano tvrditi da se mulj odlaže, obrađuje ili koristi na određenoj lokaciji ili na određeni način bez dodatne potvrde nadležnog subjekta.</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Ovo pitanje ima poseban značaj imajući u vidu pravce utvrđene Državnim planom upravljanja otpadom 2025–2029. DPUO kao jedan od osnovnih ciljeva navodi </w:t>
      </w:r>
      <w:r w:rsidRPr="00615350">
        <w:rPr>
          <w:rFonts w:ascii="Times New Roman" w:eastAsia="Times New Roman" w:hAnsi="Times New Roman" w:cs="Times New Roman"/>
          <w:b/>
          <w:bCs/>
          <w:sz w:val="24"/>
          <w:szCs w:val="24"/>
        </w:rPr>
        <w:t>minimiziranje odlaganja kanalizacionog mulja na deponijama</w:t>
      </w:r>
      <w:r w:rsidRPr="00615350">
        <w:rPr>
          <w:rFonts w:ascii="Times New Roman" w:eastAsia="Times New Roman" w:hAnsi="Times New Roman" w:cs="Times New Roman"/>
          <w:sz w:val="24"/>
          <w:szCs w:val="24"/>
        </w:rPr>
        <w:t xml:space="preserve">, uz sprovođenje odgovarajućih studija i razvoj sistema njegove obrade. </w:t>
      </w:r>
    </w:p>
    <w:p w:rsidR="00370BC2" w:rsidRPr="00615350" w:rsidRDefault="00370BC2" w:rsidP="0068488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razmatra više mogućnosti za postupanje sa obrađenim muljem, uključujući zajedničku obradu sa drugim odgovarajućim tokovima otpada u postrojenjima za kompostiranje, korišćenje za rekultivaciju zemljišta i sanaciju deponija i odlagališta, anaerobnu digestiju radi proizvodnje energije, korišćenje kao goriva u cementnoj ili drugim energetski intenzivnim industrijama, kao i termičku obradu. Primjena pojedinih opcija zavisi od prethodne obrade mulja, njegovog kvaliteta, sadržaja suve materije i ispunjavanja propisanih uslova. DPUO dodatno ukazuje da dehidrirani mulj iz PPOV-a obično zahtijeva dodatnu obradu, naročito kada se planira njegova dalja upotreba ili energetsko iskorišćenje. </w:t>
      </w:r>
    </w:p>
    <w:p w:rsidR="00BF1AFB" w:rsidRPr="00615350" w:rsidRDefault="00684882" w:rsidP="0068488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hAnsi="Times New Roman" w:cs="Times New Roman"/>
          <w:sz w:val="24"/>
          <w:szCs w:val="24"/>
        </w:rPr>
        <w:lastRenderedPageBreak/>
        <w:t xml:space="preserve">Raspoloživa dokumentacija ne sadrži potpune podatke o </w:t>
      </w:r>
      <w:r w:rsidRPr="00615350">
        <w:rPr>
          <w:rStyle w:val="Strong"/>
          <w:rFonts w:ascii="Times New Roman" w:hAnsi="Times New Roman" w:cs="Times New Roman"/>
          <w:sz w:val="24"/>
          <w:szCs w:val="24"/>
        </w:rPr>
        <w:t>konačnom mjestu i načinu postupanja sa dehidriranim kanalizacionim muljem, njegovoj klasifikaciji i odgovarajućem kodu otpada, rezultatima karakterizacije, sadržaju suve materije, niti o subjektu kojem se mulj predaje, ukoliko se predaja vrši</w:t>
      </w:r>
      <w:r w:rsidRPr="00615350">
        <w:rPr>
          <w:rFonts w:ascii="Times New Roman" w:hAnsi="Times New Roman" w:cs="Times New Roman"/>
          <w:sz w:val="24"/>
          <w:szCs w:val="24"/>
        </w:rPr>
        <w:t>. Navedeni podaci su od značaja za pouzdano sagledavanje postojećeg sistema i definisanje tehnički, ekološki i ekonomski odgovarajućeg modela upravljanja kanalizacionim muljem u planskom periodu 2026–2029. godine.</w:t>
      </w:r>
    </w:p>
    <w:p w:rsidR="00BF1AFB" w:rsidRPr="00615350" w:rsidRDefault="00BF1AFB" w:rsidP="00900448">
      <w:pPr>
        <w:pStyle w:val="Heading2"/>
        <w:jc w:val="both"/>
        <w:rPr>
          <w:rFonts w:ascii="Times New Roman" w:eastAsia="Times New Roman" w:hAnsi="Times New Roman" w:cs="Times New Roman"/>
          <w:sz w:val="24"/>
          <w:szCs w:val="24"/>
        </w:rPr>
      </w:pPr>
      <w:bookmarkStart w:id="25" w:name="_Toc240282284"/>
      <w:r w:rsidRPr="00615350">
        <w:rPr>
          <w:rFonts w:ascii="Times New Roman" w:eastAsia="Times New Roman" w:hAnsi="Times New Roman" w:cs="Times New Roman"/>
          <w:sz w:val="24"/>
          <w:szCs w:val="24"/>
        </w:rPr>
        <w:t>3.12. Posebni tokovi otpada relevantni za lokalni sistem</w:t>
      </w:r>
      <w:bookmarkEnd w:id="25"/>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Posebni tokovi otpada obuhvataju vrste otpada za koje se, zbog njihovih svojstava, sastava, načina nastanka ili potencijalnog uticaja na životnu sredinu i zdravlje ljudi, primjenjuju posebni zahtjevi u pogledu sakupljanja, privremenog skladištenja, transporta, obrade i daljeg zbrinjavanja. Državni plan upravljanja otpadom 2025–2029. među posebnim tokovima razmatra, između ostalog, otpadnu električnu i elektronsku opremu, otpadne baterije i akumulatore, otpadne gume, otpadna ulja, otpadna vozila, medicinski i veterinarski otpad, otpad koji sadrži azbest, PCB, POPs i živu, kao i druge posebne vrste otpada.</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potrebe ovog Lokalnog plana posebni tokovi se razmatraju prvenstveno u obimu u kojem nastaju u domaćinstvima ili neposredno utiču na organizaciju lokalnog sistema upravljanja komunalnim otpadom. Neopasni građevinski otpad i kanalizacioni mulj obrađeni su zasebno u poglavljima 3.9. i 3.11.</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osnovu dostavljene lokalne dokumentacije, na teritoriji opštine Berane nije potvrđeno postojanje cjelovitog i sistemski organizovanog sistema odvojenog sakupljanja većine posebnih tokova otpada iz domaćinstava. U raspoloživim lokalnim evidencijama nijesu identifikovani potpuni i kontinuirani podaci o količinama otpadne električne i elektronske opreme, baterija i akumulatora, otpadnih guma, otpadnih ulja, otpadnih jestivih ulja i masti, tekstila i opasnog otpada iz domaćinstava, niti su za sve navedene tokove evidentirani subjekti kojima se otpad predaje. Zbog toga njihove količine u okviru postojećeg stanja nije moguće pouzdano kvantifikovati.</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Od pojedinih posebnih tokova određeni značaj ima otpadna električna i elektronska oprema. Lokalna morfološka analiza iz 2024. godine pokazala je prisustvo ove frakcije u miješanom komunalnom otpadu sa prosječnim učešćem od oko 0,4%, dok je tekstil bio zastupljen sa oko 4,4%. Ovi podaci ne predstavljaju ukupne godišnje količine ovih tokova na teritoriji opštine, ali potvrđuju njihovo prisustvo u miješanom komunalnom otpadu.</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Poseban značaj za buduće organizovanje ovih tokova ima planirani razvoj lokalne infrastrukture. DPUO predviđa da se posebni tokovi iz domaćinstava, uključujući otpadnu električnu i elektronsku opremu, tekstil, kabasti otpad i određene količine građevinskog otpada iz domaćinstava, sakupljaju putem opštinskih punktova ili mreže reciklažnih centara. Planirani reciklažni centar u Beranama zato treba da ima važnu ulogu u kontrolisanom </w:t>
      </w:r>
      <w:r w:rsidRPr="00615350">
        <w:rPr>
          <w:rFonts w:ascii="Times New Roman" w:eastAsia="Times New Roman" w:hAnsi="Times New Roman" w:cs="Times New Roman"/>
          <w:sz w:val="24"/>
          <w:szCs w:val="24"/>
        </w:rPr>
        <w:lastRenderedPageBreak/>
        <w:t>prijemu onih vrsta otpada koje nije odgovarajuće odlagati u standardne posude za komunalni otpad.</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DPUO takođe predviđa da centri za sakupljanje otpada mogu biti organizovani za prijem različitih posebnih tokova, uključujući električni i elektronski otpad, tekstil, kabasti otpad, građevinski otpad iz domaćinstava i određene vrste opasnog otpada, uz odgovarajuće uslove privremenog skladištenja i kasniju predaju ovlašćenim subjektima. Konačan obim tokova koji će se prihvatati u reciklažnom centru Berane treba definisati tehničkom i projektnom dokumentacijom i uskladiti sa posebnim zahtjevima za svaku vrstu otpada.</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Razvoj sistema za pojedine posebne tokove biće povezan i sa uspostavljanjem sistema proširene odgovornosti proizvođača (EPR). DPUO za period 2025–2027. predviđa uspostavljanje EPR sistema za otpadnu električnu i elektronsku opremu, baterije i akumulatore, otpadna vozila, otpadne gume, ambalažu i ambalažni otpad, kao i određene plastične proizvode. Za određene druge tokove, uključujući otpadna ulja, DPUO predviđa posebne režime dozvola i razvoj tržišta sekundarnih sirovina.</w:t>
      </w:r>
    </w:p>
    <w:p w:rsidR="00370BC2"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Medicinski i veterinarski otpad predstavljaju posebne tokove koji se uređuju kroz poseban sistem upravljanja i ne treba ih prikazivati kao dio redovnog sistema kojim upravlja DOO „Komunalno“ Berane, osim ukoliko se naknadno dostave konkretni lokalni podaci koji to potvrđuju. U okviru ovog LPUO dovoljno je konstatovati njihov status posebnih tokova i jasno razgraničiti ih od komunalnog otpada iz domaćinstava.</w:t>
      </w:r>
    </w:p>
    <w:p w:rsidR="00BF1AFB" w:rsidRPr="00615350" w:rsidRDefault="00370BC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Postojeće stanje u Beranama, prema tome, karakteriše nedostatak cjelovitog lokalnog sistema i potpunih evidencija za većinu posebnih tokova otpada iz domaćinstava. U planskom periodu potrebno je obezbijediti dostupna mjesta za njihov kontrolisani prijem, voditi evidenciju o vrstama i količinama sakupljenog otpada i obezbijediti predaju ovlašćenim operaterima, pri čemu razvoj lokalnog sistema treba uskladiti sa planiranim reciklažnim centrom i nacionalnim sistemima proširene odgovornosti proizvođača.</w:t>
      </w:r>
    </w:p>
    <w:p w:rsidR="00344085" w:rsidRPr="00615350" w:rsidRDefault="00344085" w:rsidP="00795B04">
      <w:pPr>
        <w:pStyle w:val="Heading2"/>
        <w:rPr>
          <w:rFonts w:eastAsia="Times New Roman"/>
        </w:rPr>
      </w:pPr>
      <w:bookmarkStart w:id="26" w:name="_Toc240282285"/>
      <w:r w:rsidRPr="00615350">
        <w:rPr>
          <w:rFonts w:eastAsia="Times New Roman"/>
        </w:rPr>
        <w:t>3.13. Postojeća i pripremljena infrastruktura i projekti</w:t>
      </w:r>
      <w:bookmarkEnd w:id="26"/>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Pored postojeće infrastrukture sistema upravljanja otpadom, prije svega lokacije za privremeno skladištenje komunalnog otpada „Rujiške laze“, Opština Berane je u prethodnom periodu pripremala i projekte usmjerene na razvoj infrastrukture za odvojeno sakupljanje, sortiranje i dalji tretman otpada.</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Najznačajniji među njima je projekat </w:t>
      </w:r>
      <w:r w:rsidRPr="00615350">
        <w:rPr>
          <w:rFonts w:ascii="Times New Roman" w:eastAsia="Times New Roman" w:hAnsi="Times New Roman" w:cs="Times New Roman"/>
          <w:b/>
          <w:bCs/>
          <w:sz w:val="24"/>
          <w:szCs w:val="24"/>
        </w:rPr>
        <w:t>reciklažnog dvorišta sa sortirnicom</w:t>
      </w:r>
      <w:r w:rsidRPr="00615350">
        <w:rPr>
          <w:rFonts w:ascii="Times New Roman" w:eastAsia="Times New Roman" w:hAnsi="Times New Roman" w:cs="Times New Roman"/>
          <w:sz w:val="24"/>
          <w:szCs w:val="24"/>
        </w:rPr>
        <w:t xml:space="preserve">. Za ovaj projekat izrađen je glavni revidovani projekat i sproveden postupak javne nabavke za izvođenje radova. Ugovor sa izvođačem zaključen je 1. aprila 2020. godine u vrijednosti od </w:t>
      </w:r>
      <w:r w:rsidRPr="00615350">
        <w:rPr>
          <w:rFonts w:ascii="Times New Roman" w:eastAsia="Times New Roman" w:hAnsi="Times New Roman" w:cs="Times New Roman"/>
          <w:b/>
          <w:bCs/>
          <w:sz w:val="24"/>
          <w:szCs w:val="24"/>
        </w:rPr>
        <w:t>1.285.487,09 eura</w:t>
      </w:r>
      <w:r w:rsidRPr="00615350">
        <w:rPr>
          <w:rFonts w:ascii="Times New Roman" w:eastAsia="Times New Roman" w:hAnsi="Times New Roman" w:cs="Times New Roman"/>
          <w:sz w:val="24"/>
          <w:szCs w:val="24"/>
        </w:rPr>
        <w:t xml:space="preserve">, ali radovi nijesu započeti, izvođač nije uveden u posao i nije došlo do finansijske realizacije ugovora zbog postupka raskida ugovora. </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Lokalni plan zaštite životne sredine Opštine Berane 2025–2029. i dalje prepoznaje </w:t>
      </w:r>
      <w:r w:rsidRPr="00615350">
        <w:rPr>
          <w:rFonts w:ascii="Times New Roman" w:eastAsia="Times New Roman" w:hAnsi="Times New Roman" w:cs="Times New Roman"/>
          <w:b/>
          <w:bCs/>
          <w:sz w:val="24"/>
          <w:szCs w:val="24"/>
        </w:rPr>
        <w:t>reciklažno dvorište sa sortirnicom</w:t>
      </w:r>
      <w:r w:rsidRPr="00615350">
        <w:rPr>
          <w:rFonts w:ascii="Times New Roman" w:eastAsia="Times New Roman" w:hAnsi="Times New Roman" w:cs="Times New Roman"/>
          <w:sz w:val="24"/>
          <w:szCs w:val="24"/>
        </w:rPr>
        <w:t xml:space="preserve"> kao planirani projekat, sa rokom realizacije do 2028. godine. Istim dokumentom predviđene su i druge aktivnosti u oblasti komunalne infrastrukture, uključujući razvoj sistema odvojenog sakupljanja, postavljanje zelenih ostrva, razvoj kapaciteta za kompostiranje, proširenje obuhvata organizovanim sakupljanjem i sanaciju neuređenih odlagališta. </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Međutim, važeći </w:t>
      </w:r>
      <w:r w:rsidRPr="00615350">
        <w:rPr>
          <w:rFonts w:ascii="Times New Roman" w:eastAsia="Times New Roman" w:hAnsi="Times New Roman" w:cs="Times New Roman"/>
          <w:b/>
          <w:bCs/>
          <w:sz w:val="24"/>
          <w:szCs w:val="24"/>
        </w:rPr>
        <w:t>Državni plan upravljanja otpadom 2025–2029.</w:t>
      </w:r>
      <w:r w:rsidRPr="00615350">
        <w:rPr>
          <w:rFonts w:ascii="Times New Roman" w:eastAsia="Times New Roman" w:hAnsi="Times New Roman" w:cs="Times New Roman"/>
          <w:sz w:val="24"/>
          <w:szCs w:val="24"/>
        </w:rPr>
        <w:t xml:space="preserve"> za Berane uvodi jasnije definisan koncept buduće lokalne infrastrukture. U okviru planirane mreže centara za sakupljanje otpada za Berane je predviđen </w:t>
      </w:r>
      <w:r w:rsidRPr="00615350">
        <w:rPr>
          <w:rFonts w:ascii="Times New Roman" w:eastAsia="Times New Roman" w:hAnsi="Times New Roman" w:cs="Times New Roman"/>
          <w:b/>
          <w:bCs/>
          <w:sz w:val="24"/>
          <w:szCs w:val="24"/>
        </w:rPr>
        <w:t>reciklažni centar sa programom ponovne upotrebe</w:t>
      </w:r>
      <w:r w:rsidRPr="00615350">
        <w:rPr>
          <w:rFonts w:ascii="Times New Roman" w:eastAsia="Times New Roman" w:hAnsi="Times New Roman" w:cs="Times New Roman"/>
          <w:sz w:val="24"/>
          <w:szCs w:val="24"/>
        </w:rPr>
        <w:t xml:space="preserve">. </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Zbog toga ranije pripremljeni projekat reciklažnog dvorišta sa sortirnicom treba preispitati sa aspekta njegove tehničke i funkcionalne usklađenosti sa konceptom reciklažnog centra predviđenim DPUO. To ne znači nužno da postojeća projektna dokumentacija mora biti napuštena, već da je prije nastavka realizacije potrebno utvrditi u kojoj mjeri može biti prilagođena novim planskim zahtjevima, naročito u pogledu vrste otpada koji će se prihvatati, programa ponovne upotrebe, potrebnog prostora, opreme i načina povezivanja sa regionalnim sistemom. </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Raniji lokalni dokumenti pominjali su i </w:t>
      </w:r>
      <w:r w:rsidRPr="00615350">
        <w:rPr>
          <w:rFonts w:ascii="Times New Roman" w:eastAsia="Times New Roman" w:hAnsi="Times New Roman" w:cs="Times New Roman"/>
          <w:b/>
          <w:bCs/>
          <w:sz w:val="24"/>
          <w:szCs w:val="24"/>
        </w:rPr>
        <w:t>transfer stanicu za Berane i Andrijevicu</w:t>
      </w:r>
      <w:r w:rsidRPr="00615350">
        <w:rPr>
          <w:rFonts w:ascii="Times New Roman" w:eastAsia="Times New Roman" w:hAnsi="Times New Roman" w:cs="Times New Roman"/>
          <w:sz w:val="24"/>
          <w:szCs w:val="24"/>
        </w:rPr>
        <w:t xml:space="preserve">. Međutim, u važećem DPUO mreža transfer stanica za sjeverni sistem obuhvata postojeću stanicu Bjelojevići za Mojkovac i Kolašin, kao i planirane stanice Mostina u Rožajama i Jagnjilo u Pljevljima; </w:t>
      </w:r>
      <w:r w:rsidRPr="00615350">
        <w:rPr>
          <w:rFonts w:ascii="Times New Roman" w:eastAsia="Times New Roman" w:hAnsi="Times New Roman" w:cs="Times New Roman"/>
          <w:b/>
          <w:bCs/>
          <w:sz w:val="24"/>
          <w:szCs w:val="24"/>
        </w:rPr>
        <w:t>Berane nije navedeno kao lokacija posebne transfer stanice</w:t>
      </w:r>
      <w:r w:rsidRPr="00615350">
        <w:rPr>
          <w:rFonts w:ascii="Times New Roman" w:eastAsia="Times New Roman" w:hAnsi="Times New Roman" w:cs="Times New Roman"/>
          <w:sz w:val="24"/>
          <w:szCs w:val="24"/>
        </w:rPr>
        <w:t>. Zbog toga ranije planiranu transfer stanicu ne treba automatski prenositi u novi LPUO, već njenu eventualnu potrebu treba razmotriti samo ukoliko se za to pokaže opravdanje kroz buduću tehničku ili studijsku dokumentaciju.</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Istovremeno, Berane je uključeno u </w:t>
      </w:r>
      <w:r w:rsidRPr="00615350">
        <w:rPr>
          <w:rFonts w:ascii="Times New Roman" w:eastAsia="Times New Roman" w:hAnsi="Times New Roman" w:cs="Times New Roman"/>
          <w:b/>
          <w:bCs/>
          <w:sz w:val="24"/>
          <w:szCs w:val="24"/>
        </w:rPr>
        <w:t>sjeverni regionalni sistem upravljanja otpadom sa Regionalnim centrom u Bijelom Polju</w:t>
      </w:r>
      <w:r w:rsidRPr="00615350">
        <w:rPr>
          <w:rFonts w:ascii="Times New Roman" w:eastAsia="Times New Roman" w:hAnsi="Times New Roman" w:cs="Times New Roman"/>
          <w:sz w:val="24"/>
          <w:szCs w:val="24"/>
        </w:rPr>
        <w:t>. Regionalni centar treba da opslužuje, između ostalih, Berane, Rožaje, Plav, Andrijevicu, Petnjicu, Gusinje i Mojkovac. Detaljno tehničko povezivanje Berana sa regionalnom infrastrukturom biće obrađeno u planskom dijelu ovog Plana.</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 postojeće opreme koja može imati ulogu u budućem sistemu, DOO „Komunalno“ raspolaže </w:t>
      </w:r>
      <w:r w:rsidRPr="00615350">
        <w:rPr>
          <w:rFonts w:ascii="Times New Roman" w:eastAsia="Times New Roman" w:hAnsi="Times New Roman" w:cs="Times New Roman"/>
          <w:b/>
          <w:bCs/>
          <w:sz w:val="24"/>
          <w:szCs w:val="24"/>
        </w:rPr>
        <w:t>vertikalnom presom za papirnu, kartonsku i PET ambalažu</w:t>
      </w:r>
      <w:r w:rsidRPr="00615350">
        <w:rPr>
          <w:rFonts w:ascii="Times New Roman" w:eastAsia="Times New Roman" w:hAnsi="Times New Roman" w:cs="Times New Roman"/>
          <w:sz w:val="24"/>
          <w:szCs w:val="24"/>
        </w:rPr>
        <w:t xml:space="preserve">, kao i </w:t>
      </w:r>
      <w:r w:rsidRPr="00615350">
        <w:rPr>
          <w:rFonts w:ascii="Times New Roman" w:eastAsia="Times New Roman" w:hAnsi="Times New Roman" w:cs="Times New Roman"/>
          <w:b/>
          <w:bCs/>
          <w:sz w:val="24"/>
          <w:szCs w:val="24"/>
        </w:rPr>
        <w:t>drobilicom za drvni otpad</w:t>
      </w:r>
      <w:r w:rsidRPr="00615350">
        <w:rPr>
          <w:rFonts w:ascii="Times New Roman" w:eastAsia="Times New Roman" w:hAnsi="Times New Roman" w:cs="Times New Roman"/>
          <w:sz w:val="24"/>
          <w:szCs w:val="24"/>
        </w:rPr>
        <w:t>. Prema raspoloživim lokalnim podacima, presa se ne koristi u punom kapacitetu zbog nedostatka odgovarajućeg prostora, dok se drobilica koristi prema potrebi.</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Postojeća i pripremljena infrastruktura u Beranama, prema tome, predstavlja značajnu početnu osnovu za razvoj savremenijeg sistema upravljanja otpadom, ali zahtijeva </w:t>
      </w:r>
      <w:r w:rsidRPr="00615350">
        <w:rPr>
          <w:rFonts w:ascii="Times New Roman" w:eastAsia="Times New Roman" w:hAnsi="Times New Roman" w:cs="Times New Roman"/>
          <w:b/>
          <w:bCs/>
          <w:sz w:val="24"/>
          <w:szCs w:val="24"/>
        </w:rPr>
        <w:t>usklađivanje ranije pripremljenih projekata sa važećim DPUO 2025–2029. i konceptom reciklažnog centra sa programom ponovne upotrebe</w:t>
      </w:r>
      <w:r w:rsidRPr="00615350">
        <w:rPr>
          <w:rFonts w:ascii="Times New Roman" w:eastAsia="Times New Roman" w:hAnsi="Times New Roman" w:cs="Times New Roman"/>
          <w:sz w:val="24"/>
          <w:szCs w:val="24"/>
        </w:rPr>
        <w:t xml:space="preserve">. Konačan obim, tehničko rješenje, faznost, procijenjena vrijednost i rokovi realizacije buduće infrastrukture treba da budu </w:t>
      </w:r>
      <w:r w:rsidRPr="00615350">
        <w:rPr>
          <w:rFonts w:ascii="Times New Roman" w:eastAsia="Times New Roman" w:hAnsi="Times New Roman" w:cs="Times New Roman"/>
          <w:sz w:val="24"/>
          <w:szCs w:val="24"/>
        </w:rPr>
        <w:lastRenderedPageBreak/>
        <w:t>definisani kroz odgovarajuću projektnu i plansku dokumentaciju i razrađeni u planskom i akcionom dijelu ovog LPUO.</w:t>
      </w:r>
    </w:p>
    <w:p w:rsidR="001A053B" w:rsidRPr="00615350" w:rsidRDefault="001A053B" w:rsidP="00795B04">
      <w:pPr>
        <w:pStyle w:val="Heading2"/>
        <w:rPr>
          <w:rFonts w:eastAsia="Times New Roman"/>
        </w:rPr>
      </w:pPr>
      <w:bookmarkStart w:id="27" w:name="_Toc240282286"/>
      <w:r w:rsidRPr="00615350">
        <w:rPr>
          <w:rFonts w:eastAsia="Times New Roman"/>
        </w:rPr>
        <w:t>3.14. Institucionalni, tehnički i finansijski kapaciteti sistema</w:t>
      </w:r>
      <w:bookmarkEnd w:id="27"/>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Institucionalni okvir upravljanja komunalnim otpadom na teritoriji opštine Berane čine lokalna samouprava, nadležni organi lokalne uprave i DOO „Komunalno“ Berane. Lokalna samouprava odgovorna je za organizovanje i razvoj sistema upravljanja komunalnim otpadom, donošenje i sprovođenje odgovarajućih lokalnih propisa i planskih dokumenata, dok su operativni poslovi sakupljanja, transporta i privremenog skladištenja komunalnog otpada povjereni DOO „Komunalno“ Berane.</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Postojeća organizaciona struktura omogućava funkcionisanje osnovnih komunalnih usluga, ali će dalji razvoj sistema zahtijevati jačanje administrativnih i stručnih kapaciteta, naročito u oblastima planiranja, vođenja evidencija, organizovanja odvojenog sakupljanja, upravljanja posebnim tokovima otpada, pripreme i sprovođenja infrastrukturnih projekata i praćenja ostvarivanja ciljeva Plana. Ovakav pravac odgovara i DPUO 2025–2029, kojim su kao posebne mjere predviđeni jačanje administrativnih kapaciteta lokalnih samouprava, obuka zaposlenih i dodatno organizaciono i kadrovsko jačanje institucija uključenih u upravljanje otpadom. </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tehničkom pogledu, DOO „Komunalno“ raspolaže komunalnim posudama, specijalizovanim vozilima i drugom mehanizacijom za sakupljanje i transport otpada i rad na lokaciji „Rujiške laze“. Detaljan pregled opreme i voznog parka dat je u poglavlju 3.5. ovog Plana. Aktuelni podaci pokazuju, međutim, da postojeći tehnički kapaciteti imaju značajna ograničenja, prije svega zbog starosti i tehničkog stanja dijela voznog parka, ograničenog broja funkcionalnih autosmećara, dotrajalosti dijela komunalnih posuda, zahtjevnih uslova transporta do „Rujiških laza“ i potrebe za proširenjem usluge na nedovoljno obuhvaćena ruralna područja.</w:t>
      </w:r>
    </w:p>
    <w:p w:rsidR="008835DC" w:rsidRPr="00615350" w:rsidRDefault="008835DC"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Tokom 2026. godine nastavljeno je obnavljanje mehanizacije i opreme DOO „Komunalno“. Uz finansiranje lokalne uprave nabavljeni su polovni kamion-kiper nosivosti 21 t i poluteretno vozilo, kao i oprema za profesionalno pranje komunalnih vozila i druga oprema za potrebe rada. DOO „Komunalno“ ukazuje i na potrebu daljeg obnavljanja mehanizacije i opreme u planskom periodu.</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Dodatno ograničenje predstavlja nedostatak funkcionalne infrastrukture za prijem, razvrstavanje i dalji tretman odvojeno sakupljenih frakcija. Zbog toga je postojeći sistem još dominantno usmjeren na sakupljanje, transport i privremeno skladištenje otpada. Razvoj planiranog </w:t>
      </w:r>
      <w:r w:rsidRPr="00615350">
        <w:rPr>
          <w:rFonts w:ascii="Times New Roman" w:eastAsia="Times New Roman" w:hAnsi="Times New Roman" w:cs="Times New Roman"/>
          <w:b/>
          <w:bCs/>
          <w:sz w:val="24"/>
          <w:szCs w:val="24"/>
        </w:rPr>
        <w:t>reciklažnog centra u Beranama</w:t>
      </w:r>
      <w:r w:rsidRPr="00615350">
        <w:rPr>
          <w:rFonts w:ascii="Times New Roman" w:eastAsia="Times New Roman" w:hAnsi="Times New Roman" w:cs="Times New Roman"/>
          <w:sz w:val="24"/>
          <w:szCs w:val="24"/>
        </w:rPr>
        <w:t xml:space="preserve">, kao i povezivanje lokalnog sistema sa regionalnim kapacitetima u Bijelom Polju, zahtijevaće dodatnu opremu, odgovarajući prostor, organizacione procedure i stručno osposobljavanje zaposlenih. DPUO za sjeverni sistem za Berane predviđa reciklažni centar, dok su MRF kapaciteta 13.980 t/god., postrojenje za kompostiranje, MBT i regionalna deponija planirani u Bijelom Polju. </w:t>
      </w:r>
    </w:p>
    <w:p w:rsidR="006E10B4" w:rsidRPr="00615350" w:rsidRDefault="006E10B4"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Finansiranje sistema upravljanja komunalnim otpadom zasniva se prvenstveno na naknadama korisnika komunalne usluge, lokalnim budžetskim sredstvima i drugim raspoloživim izvorima finansiranja. Prema zvaničnom Izvještaju za 2022. godinu, cijena usluge za fizička lica iznosila je </w:t>
      </w:r>
      <w:r w:rsidRPr="00615350">
        <w:rPr>
          <w:rFonts w:ascii="Times New Roman" w:eastAsia="Times New Roman" w:hAnsi="Times New Roman" w:cs="Times New Roman"/>
          <w:b/>
          <w:bCs/>
          <w:sz w:val="24"/>
          <w:szCs w:val="24"/>
        </w:rPr>
        <w:t>0,09 €/m²</w:t>
      </w:r>
      <w:r w:rsidRPr="00615350">
        <w:rPr>
          <w:rFonts w:ascii="Times New Roman" w:eastAsia="Times New Roman" w:hAnsi="Times New Roman" w:cs="Times New Roman"/>
          <w:sz w:val="24"/>
          <w:szCs w:val="24"/>
        </w:rPr>
        <w:t xml:space="preserve">, dok su za pravna lica primjenjivane različite cijene u zavisnosti od vrste djelatnosti, između ostalog 0,32 €/m² i 0,48 €/m² za pojedine kategorije korisnika. </w:t>
      </w:r>
    </w:p>
    <w:p w:rsidR="006E10B4" w:rsidRPr="00615350" w:rsidRDefault="006E10B4" w:rsidP="00C3728F">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Podatak o cijeni usluge za domaćinstva od </w:t>
      </w:r>
      <w:r w:rsidRPr="00615350">
        <w:rPr>
          <w:rFonts w:ascii="Times New Roman" w:eastAsia="Times New Roman" w:hAnsi="Times New Roman" w:cs="Times New Roman"/>
          <w:b/>
          <w:bCs/>
          <w:sz w:val="24"/>
          <w:szCs w:val="24"/>
        </w:rPr>
        <w:t>0,090 €/m² potvrđen je i u DPUO 2025–2029. na osnovu podataka komunalnih preduzeća iz 2025. godine</w:t>
      </w:r>
      <w:r w:rsidRPr="00615350">
        <w:rPr>
          <w:rFonts w:ascii="Times New Roman" w:eastAsia="Times New Roman" w:hAnsi="Times New Roman" w:cs="Times New Roman"/>
          <w:sz w:val="24"/>
          <w:szCs w:val="24"/>
        </w:rPr>
        <w:t>, što ukazuje da je ova tarifa za domaćinstva zadržana i u novijem periodu. Za tarife pravnih lica raspoloživa dokumentacija ne omogućava jednako pouzdanu potvrdu aktuelnog cjenovnika za 2025/2026. godinu, pa se vrijednosti iz 2022. godine koriste samo kao referentni podatak o ranije primjenjivanom tarifnom sistemu.</w:t>
      </w:r>
    </w:p>
    <w:p w:rsidR="00C3728F" w:rsidRPr="00615350" w:rsidRDefault="00C3728F" w:rsidP="00C3728F">
      <w:pPr>
        <w:pStyle w:val="pdq2pgselectionanchorcontainer"/>
        <w:spacing w:line="276" w:lineRule="auto"/>
        <w:jc w:val="both"/>
      </w:pPr>
      <w:r w:rsidRPr="00615350">
        <w:t>Za ocjenu finansijske održivosti sistema sama visina tarife nije dovoljna. Potrebno je raspolagati podacima o stepenu naplate usluge, strukturi prihoda i operativnih rashoda, troškovima goriva, održavanja i amortizacije vozila i mehanizacije, troškovima rada i održavanja privremenog odlagališta „Rujiški lazi“, kao i troškovima sanacije neuređenih odlagališta i nabavke opreme. U narednom periodu značajni će biti i troškovi uspostavljanja odvojenog sakupljanja i uključivanja Opštine u planirani regionalni sistem upravljanja otpadom.</w:t>
      </w:r>
    </w:p>
    <w:p w:rsidR="00C3728F" w:rsidRPr="00615350" w:rsidRDefault="00C3728F" w:rsidP="00C3728F">
      <w:pPr>
        <w:pStyle w:val="NormalWeb"/>
        <w:spacing w:line="276" w:lineRule="auto"/>
        <w:jc w:val="both"/>
      </w:pPr>
      <w:r w:rsidRPr="00615350">
        <w:rPr>
          <w:rStyle w:val="Strong"/>
          <w:rFonts w:eastAsiaTheme="majorEastAsia"/>
        </w:rPr>
        <w:t>Za potrebe izrade ovog Plana nijesu dostavljeni detaljni finansijski podaci koji bi omogućili cjelovitu analizu prihoda i rashoda segmenta upravljanja komunalnim otpadom, aktuelne stope naplate i stepena pokrića troškova prihodima od usluge.</w:t>
      </w:r>
      <w:r w:rsidRPr="00615350">
        <w:t xml:space="preserve"> Zbog toga nije moguće pouzdano utvrditi puni trošak usluge po toni otpada ili korisniku, niti stepen samofinansiranja sistema. Ovo predstavlja ograničenje postojeće analize i ukazuje na potrebu da se u narednom periodu unaprijede finansijske evidencije i praćenje troškova upravljanja otpadom.</w:t>
      </w:r>
    </w:p>
    <w:p w:rsidR="00C3728F" w:rsidRPr="00615350" w:rsidRDefault="00C3728F" w:rsidP="00C3728F">
      <w:pPr>
        <w:pStyle w:val="NormalWeb"/>
        <w:spacing w:line="276" w:lineRule="auto"/>
        <w:jc w:val="both"/>
      </w:pPr>
      <w:r w:rsidRPr="00615350">
        <w:t>Raspoloživi podaci pokazuju da postojeći kapaciteti omogućavaju funkcionisanje osnovnog sistema sakupljanja i transporta komunalnog otpada. Međutim, prelazak na sistem zasnovan na odvojenom sakupljanju, reciklaži i smanjenju količina rezidualnog otpada zahtijevaće dodatna ulaganja u opremu, vozni park i infrastrukturu, kao i obezbjeđivanje stabilnih izvora finansiranja. U skladu sa principom pokrića troškova upravljanja otpadom, potrebno je postepeno razvijati sistem finansiranja koji će omogućiti održivo funkcionisanje i obnovu potrebne infrastrukture.</w:t>
      </w:r>
    </w:p>
    <w:p w:rsidR="001A053B" w:rsidRPr="00615350" w:rsidRDefault="001A053B" w:rsidP="00795B04">
      <w:pPr>
        <w:pStyle w:val="Heading1"/>
        <w:rPr>
          <w:rFonts w:eastAsia="Times New Roman"/>
        </w:rPr>
      </w:pPr>
      <w:bookmarkStart w:id="28" w:name="_Toc240282287"/>
      <w:r w:rsidRPr="00615350">
        <w:rPr>
          <w:rFonts w:eastAsia="Times New Roman"/>
        </w:rPr>
        <w:t xml:space="preserve">4. </w:t>
      </w:r>
      <w:r w:rsidR="00BD0C57" w:rsidRPr="00615350">
        <w:rPr>
          <w:rFonts w:eastAsia="Times New Roman"/>
        </w:rPr>
        <w:t>PROJEKCIJE KOLIČINA OTPADA ZA PERIOD 2026–2029</w:t>
      </w:r>
      <w:r w:rsidRPr="00615350">
        <w:rPr>
          <w:rFonts w:eastAsia="Times New Roman"/>
        </w:rPr>
        <w:t>.</w:t>
      </w:r>
      <w:bookmarkEnd w:id="28"/>
    </w:p>
    <w:p w:rsidR="00B010E7" w:rsidRPr="00615350" w:rsidRDefault="00B010E7" w:rsidP="00795B04">
      <w:pPr>
        <w:pStyle w:val="Heading2"/>
        <w:rPr>
          <w:rFonts w:eastAsia="Times New Roman"/>
        </w:rPr>
      </w:pPr>
      <w:bookmarkStart w:id="29" w:name="_Toc240282288"/>
      <w:r w:rsidRPr="00615350">
        <w:rPr>
          <w:rFonts w:eastAsia="Times New Roman"/>
        </w:rPr>
        <w:t>4.1. Polazne pretpostavke za izradu projekcija</w:t>
      </w:r>
      <w:bookmarkEnd w:id="29"/>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Projekcije količina otpada za period 2026–2029. godine zasnivaju se na raspoloživim lokalnim podacima o količinama i morfološkom sastavu komunalnog otpada, podacima o stanovništvu i obuhvatu organizovanim sakupljanjem, kao i na projekcijama i planskim </w:t>
      </w:r>
      <w:r w:rsidRPr="00615350">
        <w:rPr>
          <w:rFonts w:ascii="Times New Roman" w:eastAsia="Times New Roman" w:hAnsi="Times New Roman" w:cs="Times New Roman"/>
          <w:sz w:val="24"/>
          <w:szCs w:val="24"/>
        </w:rPr>
        <w:lastRenderedPageBreak/>
        <w:t>pretpostavkama utvrđenim Državnim planom upravljanja otpadom za period 2025–2029. godine (DPUO).</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Kao osnovna godina za utvrđivanje lokalne polazne količine komunalnog otpada za potrebe projekcije koristi se </w:t>
      </w:r>
      <w:r w:rsidRPr="00615350">
        <w:rPr>
          <w:rFonts w:ascii="Times New Roman" w:eastAsia="Times New Roman" w:hAnsi="Times New Roman" w:cs="Times New Roman"/>
          <w:b/>
          <w:bCs/>
          <w:sz w:val="24"/>
          <w:szCs w:val="24"/>
        </w:rPr>
        <w:t>2024. godina</w:t>
      </w:r>
      <w:r w:rsidRPr="00615350">
        <w:rPr>
          <w:rFonts w:ascii="Times New Roman" w:eastAsia="Times New Roman" w:hAnsi="Times New Roman" w:cs="Times New Roman"/>
          <w:sz w:val="24"/>
          <w:szCs w:val="24"/>
        </w:rPr>
        <w:t>, za koju su, pored operativnih podataka DOO „Komunalno“ Berane, raspoloživi rezultati neposrednih terenskih mjerenja količine i morfološkog sastava komunalnog otpada navedenih u podpoglavlju 3.4. Istraživanje je obuhvatilo četiri sezonske kampanje, čime su obuhvaćene promjene količine i sastava otpada tokom različitih godišnjih doba. Korišćenje 2024. godine kao količinske osnove za projekcije ne mijenja činjenicu da se 2025. godina u ovom Planu koristi kao osnovna referentna godina za prikaz postojećeg stanja, već proizlazi iz raspoloživosti podataka dobijenih neposrednim mjerenjem u 2024. godini.</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Mjerenje količine sakupljenog komunalnog otpada zasnivalo se na neposrednom vaganju vozila koja obavljaju redovne rute sakupljanja. Utvrđivana je tara vozila, nakon čega je po završetku rute mjerena bruto masa i izračunavana neto masa sakupljenog otpada. Mjerenja su sprovođena tokom sedam uzastopnih dana i ponovljena u četiri sezonska perioda, kako bi se obuhvatile godišnje varijacije u količinama otpada.</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osnovu četiri kampanje mjerenja i projektovanja rezultata na godišnji nivo, uz uključivanje odvojeno sakupljenog kartona i najlona, procijenjena je količina od približno </w:t>
      </w:r>
      <w:r w:rsidRPr="00615350">
        <w:rPr>
          <w:rFonts w:ascii="Times New Roman" w:eastAsia="Times New Roman" w:hAnsi="Times New Roman" w:cs="Times New Roman"/>
          <w:b/>
          <w:bCs/>
          <w:sz w:val="24"/>
          <w:szCs w:val="24"/>
        </w:rPr>
        <w:t>7.174 t/god. sakupljenog komunalnog otpada</w:t>
      </w:r>
      <w:r w:rsidRPr="00615350">
        <w:rPr>
          <w:rFonts w:ascii="Times New Roman" w:eastAsia="Times New Roman" w:hAnsi="Times New Roman" w:cs="Times New Roman"/>
          <w:sz w:val="24"/>
          <w:szCs w:val="24"/>
        </w:rPr>
        <w:t xml:space="preserve">. Korekcijom u odnosu na tada korišćeni obuhvat organizovanim sakupljanjem od približno </w:t>
      </w:r>
      <w:r w:rsidRPr="00615350">
        <w:rPr>
          <w:rFonts w:ascii="Times New Roman" w:eastAsia="Times New Roman" w:hAnsi="Times New Roman" w:cs="Times New Roman"/>
          <w:b/>
          <w:bCs/>
          <w:sz w:val="24"/>
          <w:szCs w:val="24"/>
        </w:rPr>
        <w:t>81,2%</w:t>
      </w:r>
      <w:r w:rsidRPr="00615350">
        <w:rPr>
          <w:rFonts w:ascii="Times New Roman" w:eastAsia="Times New Roman" w:hAnsi="Times New Roman" w:cs="Times New Roman"/>
          <w:sz w:val="24"/>
          <w:szCs w:val="24"/>
        </w:rPr>
        <w:t xml:space="preserve">, ukupna količina generisanog komunalnog otpada procijenjena je na oko </w:t>
      </w:r>
      <w:r w:rsidRPr="00615350">
        <w:rPr>
          <w:rFonts w:ascii="Times New Roman" w:eastAsia="Times New Roman" w:hAnsi="Times New Roman" w:cs="Times New Roman"/>
          <w:b/>
          <w:bCs/>
          <w:sz w:val="24"/>
          <w:szCs w:val="24"/>
        </w:rPr>
        <w:t>8.832 t/god.</w:t>
      </w:r>
      <w:r w:rsidRPr="00615350">
        <w:rPr>
          <w:rFonts w:ascii="Times New Roman" w:eastAsia="Times New Roman" w:hAnsi="Times New Roman" w:cs="Times New Roman"/>
          <w:sz w:val="24"/>
          <w:szCs w:val="24"/>
        </w:rPr>
        <w:t xml:space="preserve"> Za populacionu osnovu korišćenu u istraživanju ova količina odgovara specifičnom generisanju od približno </w:t>
      </w:r>
      <w:r w:rsidRPr="00615350">
        <w:rPr>
          <w:rFonts w:ascii="Times New Roman" w:eastAsia="Times New Roman" w:hAnsi="Times New Roman" w:cs="Times New Roman"/>
          <w:b/>
          <w:bCs/>
          <w:sz w:val="24"/>
          <w:szCs w:val="24"/>
        </w:rPr>
        <w:t>351 kg/stan./god.</w:t>
      </w:r>
      <w:r w:rsidRPr="00615350">
        <w:rPr>
          <w:rFonts w:ascii="Times New Roman" w:eastAsia="Times New Roman" w:hAnsi="Times New Roman" w:cs="Times New Roman"/>
          <w:sz w:val="24"/>
          <w:szCs w:val="24"/>
        </w:rPr>
        <w:t xml:space="preserve">, odnosno </w:t>
      </w:r>
      <w:r w:rsidRPr="00615350">
        <w:rPr>
          <w:rFonts w:ascii="Times New Roman" w:eastAsia="Times New Roman" w:hAnsi="Times New Roman" w:cs="Times New Roman"/>
          <w:b/>
          <w:bCs/>
          <w:sz w:val="24"/>
          <w:szCs w:val="24"/>
        </w:rPr>
        <w:t>0,96 kg/stan./dan</w:t>
      </w:r>
      <w:r w:rsidRPr="00615350">
        <w:rPr>
          <w:rFonts w:ascii="Times New Roman" w:eastAsia="Times New Roman" w:hAnsi="Times New Roman" w:cs="Times New Roman"/>
          <w:sz w:val="24"/>
          <w:szCs w:val="24"/>
        </w:rPr>
        <w:t>.</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Navedenu vrijednost potrebno je razlikovati od operativnih evidencija DOO „Komunalno“ Berane. Prema podacima Komunalnog, tokom 2024. godine evidentirano je ukupno </w:t>
      </w:r>
      <w:r w:rsidRPr="00615350">
        <w:rPr>
          <w:rFonts w:ascii="Times New Roman" w:eastAsia="Times New Roman" w:hAnsi="Times New Roman" w:cs="Times New Roman"/>
          <w:b/>
          <w:bCs/>
          <w:sz w:val="24"/>
          <w:szCs w:val="24"/>
        </w:rPr>
        <w:t>9.550 t otpada</w:t>
      </w:r>
      <w:r w:rsidRPr="00615350">
        <w:rPr>
          <w:rFonts w:ascii="Times New Roman" w:eastAsia="Times New Roman" w:hAnsi="Times New Roman" w:cs="Times New Roman"/>
          <w:sz w:val="24"/>
          <w:szCs w:val="24"/>
        </w:rPr>
        <w:t>, od čega 6.950 t miješanog komunalnog otpada, 950 t biootpada, odnosno parkovskog otpada, i 1.650 t zemlje, kamena i građevinskog otpada. U dostavljenoj dokumentaciji navedeno je da su ove količine u značajnoj mjeri zasnovane na procjeni.</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Vrijednosti od 9.550 t i 8.832 t nijesu neposredno uporedive, jer se razlikuju po metodologiji i obuhvatu. Operativna evidencija Komunalnog obuhvata više tokova kojima preduzeće upravlja, uključujući zbirnu kategoriju zemlje, kamena i građevinskog otpada, dok 8.832 t predstavlja procjenu ukupno generisanog komunalnog otpada, izvedenu iz neposrednih mjerenja i korigovanu u odnosu na obuhvat organizovanim sakupljanjem.</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projekciju sastava komunalnog otpada koriste se rezultati morfološke analize iz </w:t>
      </w:r>
      <w:r w:rsidRPr="00615350">
        <w:rPr>
          <w:rFonts w:ascii="Times New Roman" w:eastAsia="Times New Roman" w:hAnsi="Times New Roman" w:cs="Times New Roman"/>
          <w:b/>
          <w:bCs/>
          <w:sz w:val="24"/>
          <w:szCs w:val="24"/>
        </w:rPr>
        <w:t>2024. godine</w:t>
      </w:r>
      <w:r w:rsidRPr="00615350">
        <w:rPr>
          <w:rFonts w:ascii="Times New Roman" w:eastAsia="Times New Roman" w:hAnsi="Times New Roman" w:cs="Times New Roman"/>
          <w:sz w:val="24"/>
          <w:szCs w:val="24"/>
        </w:rPr>
        <w:t>. Analiza je sprovedena tokom četiri sezonske kampanje na reprezentativnim uzorcima iz tri različite zone stanovanja, približne mase 500 kg po uzorku. Uzorci su ručno razvrstavani na definisane frakcije i pojedinačno vagani.</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Prosječni rezultati pokazuju da </w:t>
      </w:r>
      <w:r w:rsidRPr="00615350">
        <w:rPr>
          <w:rFonts w:ascii="Times New Roman" w:eastAsia="Times New Roman" w:hAnsi="Times New Roman" w:cs="Times New Roman"/>
          <w:b/>
          <w:bCs/>
          <w:sz w:val="24"/>
          <w:szCs w:val="24"/>
        </w:rPr>
        <w:t>biorazgradivi otpad učestvuje sa 33,3%</w:t>
      </w:r>
      <w:r w:rsidRPr="00615350">
        <w:rPr>
          <w:rFonts w:ascii="Times New Roman" w:eastAsia="Times New Roman" w:hAnsi="Times New Roman" w:cs="Times New Roman"/>
          <w:sz w:val="24"/>
          <w:szCs w:val="24"/>
        </w:rPr>
        <w:t>, papir i karton zajedno sa 11,1%, plastika sa 14,5%, staklo sa 7,7%, dok dvije analizirane metalne frakcije zajedno čine 3,8% mase komunalnog otpada. Dobijeni morfološki sastav koristi se kao lokalna polazna osnova za procjenu potencijalnih količina pojedinih frakcija u planskom periodu.</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demografsku osnovu polazi se od rezultata </w:t>
      </w:r>
      <w:r w:rsidRPr="00615350">
        <w:rPr>
          <w:rFonts w:ascii="Times New Roman" w:eastAsia="Times New Roman" w:hAnsi="Times New Roman" w:cs="Times New Roman"/>
          <w:b/>
          <w:bCs/>
          <w:sz w:val="24"/>
          <w:szCs w:val="24"/>
        </w:rPr>
        <w:t>Popisa stanovništva 2023. godine</w:t>
      </w:r>
      <w:r w:rsidRPr="00615350">
        <w:rPr>
          <w:rFonts w:ascii="Times New Roman" w:eastAsia="Times New Roman" w:hAnsi="Times New Roman" w:cs="Times New Roman"/>
          <w:sz w:val="24"/>
          <w:szCs w:val="24"/>
        </w:rPr>
        <w:t xml:space="preserve">, prema kojem opština Berane ima </w:t>
      </w:r>
      <w:r w:rsidRPr="00615350">
        <w:rPr>
          <w:rFonts w:ascii="Times New Roman" w:eastAsia="Times New Roman" w:hAnsi="Times New Roman" w:cs="Times New Roman"/>
          <w:b/>
          <w:bCs/>
          <w:sz w:val="24"/>
          <w:szCs w:val="24"/>
        </w:rPr>
        <w:t>25.162 stanovnika</w:t>
      </w:r>
      <w:r w:rsidRPr="00615350">
        <w:rPr>
          <w:rFonts w:ascii="Times New Roman" w:eastAsia="Times New Roman" w:hAnsi="Times New Roman" w:cs="Times New Roman"/>
          <w:sz w:val="24"/>
          <w:szCs w:val="24"/>
        </w:rPr>
        <w:t xml:space="preserve">. Istovremeno, DPUO za sjeverni regionalni sistem za Berane za 2029. godinu koristi plansku vrijednost od </w:t>
      </w:r>
      <w:r w:rsidRPr="00615350">
        <w:rPr>
          <w:rFonts w:ascii="Times New Roman" w:eastAsia="Times New Roman" w:hAnsi="Times New Roman" w:cs="Times New Roman"/>
          <w:b/>
          <w:bCs/>
          <w:sz w:val="24"/>
          <w:szCs w:val="24"/>
        </w:rPr>
        <w:t>26.242 stanovnika</w:t>
      </w:r>
      <w:r w:rsidRPr="00615350">
        <w:rPr>
          <w:rFonts w:ascii="Times New Roman" w:eastAsia="Times New Roman" w:hAnsi="Times New Roman" w:cs="Times New Roman"/>
          <w:sz w:val="24"/>
          <w:szCs w:val="24"/>
        </w:rPr>
        <w:t xml:space="preserve"> i projektovano generisanje od </w:t>
      </w:r>
      <w:r w:rsidRPr="00615350">
        <w:rPr>
          <w:rFonts w:ascii="Times New Roman" w:eastAsia="Times New Roman" w:hAnsi="Times New Roman" w:cs="Times New Roman"/>
          <w:b/>
          <w:bCs/>
          <w:sz w:val="24"/>
          <w:szCs w:val="24"/>
        </w:rPr>
        <w:t>11.957 t komunalnog otpada godišnje</w:t>
      </w:r>
      <w:r w:rsidRPr="00615350">
        <w:rPr>
          <w:rFonts w:ascii="Times New Roman" w:eastAsia="Times New Roman" w:hAnsi="Times New Roman" w:cs="Times New Roman"/>
          <w:sz w:val="24"/>
          <w:szCs w:val="24"/>
        </w:rPr>
        <w:t>.</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Vrijednost od 26.242 stanovnika prihvata se u ovom Planu kao </w:t>
      </w:r>
      <w:r w:rsidRPr="00615350">
        <w:rPr>
          <w:rFonts w:ascii="Times New Roman" w:eastAsia="Times New Roman" w:hAnsi="Times New Roman" w:cs="Times New Roman"/>
          <w:b/>
          <w:bCs/>
          <w:sz w:val="24"/>
          <w:szCs w:val="24"/>
        </w:rPr>
        <w:t>demografska planska pretpostavka preuzeta iz DPUO</w:t>
      </w:r>
      <w:r w:rsidRPr="00615350">
        <w:rPr>
          <w:rFonts w:ascii="Times New Roman" w:eastAsia="Times New Roman" w:hAnsi="Times New Roman" w:cs="Times New Roman"/>
          <w:sz w:val="24"/>
          <w:szCs w:val="24"/>
        </w:rPr>
        <w:t xml:space="preserve">, radi usklađivanja lokalnog i državnog planskog nivoa, a ne kao nezavisna demografska projekcija Opštine Berane. Za potrebe izračunavanja međugodišnjih vrijednosti za period 2026–2028. izvršena je linearna interpolacija između popisne vrijednosti iz 2023. godine i planske vrijednosti DPUO za 2029. godinu. Tako dobijene vrijednosti predstavljaju </w:t>
      </w:r>
      <w:r w:rsidRPr="00615350">
        <w:rPr>
          <w:rFonts w:ascii="Times New Roman" w:eastAsia="Times New Roman" w:hAnsi="Times New Roman" w:cs="Times New Roman"/>
          <w:b/>
          <w:bCs/>
          <w:sz w:val="24"/>
          <w:szCs w:val="24"/>
        </w:rPr>
        <w:t>tehničku proračunsku pretpostavku ovog Lokalnog plana</w:t>
      </w:r>
      <w:r w:rsidRPr="00615350">
        <w:rPr>
          <w:rFonts w:ascii="Times New Roman" w:eastAsia="Times New Roman" w:hAnsi="Times New Roman" w:cs="Times New Roman"/>
          <w:sz w:val="24"/>
          <w:szCs w:val="24"/>
        </w:rPr>
        <w:t xml:space="preserve"> i ne predstavljaju zvanične demografske projekcije.</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osnovni lokalni scenario projekcije pretpostavlja se da će specifično generisanje komunalnog otpada u planskom periodu ostati na približno utvrđenom lokalnom nivou od </w:t>
      </w:r>
      <w:r w:rsidRPr="00615350">
        <w:rPr>
          <w:rFonts w:ascii="Times New Roman" w:eastAsia="Times New Roman" w:hAnsi="Times New Roman" w:cs="Times New Roman"/>
          <w:b/>
          <w:bCs/>
          <w:sz w:val="24"/>
          <w:szCs w:val="24"/>
        </w:rPr>
        <w:t>351 kg/stan./god.</w:t>
      </w:r>
      <w:r w:rsidRPr="00615350">
        <w:rPr>
          <w:rFonts w:ascii="Times New Roman" w:eastAsia="Times New Roman" w:hAnsi="Times New Roman" w:cs="Times New Roman"/>
          <w:sz w:val="24"/>
          <w:szCs w:val="24"/>
        </w:rPr>
        <w:t xml:space="preserve"> Ova pretpostavka odabrana je zato što predstavlja vrijednost zasnovanu na neposrednim mjerenjima na teritoriji Berana, dok raspoloživi lokalni podaci ne pružaju dovoljno pouzdanu osnovu za definisanje posebne godišnje stope rasta generisanja otpada po stanovniku. Vrijednost od 8.832 t/god. predstavlja lokalnu baznu procjenu izvedenu iz mjerenja iz 2024. godine, dok se projekcije za period 2026–2029. izračunavaju primjenom specifičnog generisanja od 351 kg/stan./god. na planske vrijednosti broja stanovnika za odgovarajuću godinu.</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Ovaj lokalni pristup razlikuje se od metodologije DPUO. Državni plan prognozu budućeg generisanja otpada zasniva na projekcijama stanovništva i očekivanom razvoju turističke aktivnosti, dok pri projekciji sastava uzima u obzir ekonomski rast, promjene načina života i efekte mjera prevencije i smanjenja nastanka otpada. DPUO za Berane za 2029. godinu projektuje </w:t>
      </w:r>
      <w:r w:rsidRPr="00615350">
        <w:rPr>
          <w:rFonts w:ascii="Times New Roman" w:eastAsia="Times New Roman" w:hAnsi="Times New Roman" w:cs="Times New Roman"/>
          <w:b/>
          <w:bCs/>
          <w:sz w:val="24"/>
          <w:szCs w:val="24"/>
        </w:rPr>
        <w:t>11.957 t/god. komunalnog otpada</w:t>
      </w:r>
      <w:r w:rsidRPr="00615350">
        <w:rPr>
          <w:rFonts w:ascii="Times New Roman" w:eastAsia="Times New Roman" w:hAnsi="Times New Roman" w:cs="Times New Roman"/>
          <w:sz w:val="24"/>
          <w:szCs w:val="24"/>
        </w:rPr>
        <w:t>. Ova vrijednost se u Lokalnom planu koristi kao referentna planska vrijednost za provjeru budućih potreba sistema i potrebnih kapaciteta, dok se osnovna lokalna projekcija zasniva na specifičnom generisanju utvrđenom neposrednim mjerenjima iz 2024. godine. Detaljno poređenje lokalnog scenarija i projekcije DPUO dato je u poglavlju 4.2.</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 tumačenju projekcija potrebno je razlikovati </w:t>
      </w:r>
      <w:r w:rsidRPr="00615350">
        <w:rPr>
          <w:rFonts w:ascii="Times New Roman" w:eastAsia="Times New Roman" w:hAnsi="Times New Roman" w:cs="Times New Roman"/>
          <w:b/>
          <w:bCs/>
          <w:sz w:val="24"/>
          <w:szCs w:val="24"/>
        </w:rPr>
        <w:t>ukupnu količinu generisanog otpada od količine koja se sakuplja kroz organizovani sistem</w:t>
      </w:r>
      <w:r w:rsidRPr="00615350">
        <w:rPr>
          <w:rFonts w:ascii="Times New Roman" w:eastAsia="Times New Roman" w:hAnsi="Times New Roman" w:cs="Times New Roman"/>
          <w:sz w:val="24"/>
          <w:szCs w:val="24"/>
        </w:rPr>
        <w:t xml:space="preserve">. Lokalna procjena od </w:t>
      </w:r>
      <w:r w:rsidRPr="00615350">
        <w:rPr>
          <w:rFonts w:ascii="Times New Roman" w:eastAsia="Times New Roman" w:hAnsi="Times New Roman" w:cs="Times New Roman"/>
          <w:b/>
          <w:bCs/>
          <w:sz w:val="24"/>
          <w:szCs w:val="24"/>
        </w:rPr>
        <w:t>8.832 t/god.</w:t>
      </w:r>
      <w:r w:rsidRPr="00615350">
        <w:rPr>
          <w:rFonts w:ascii="Times New Roman" w:eastAsia="Times New Roman" w:hAnsi="Times New Roman" w:cs="Times New Roman"/>
          <w:sz w:val="24"/>
          <w:szCs w:val="24"/>
        </w:rPr>
        <w:t xml:space="preserve"> već predstavlja procijenjenu ukupnu količinu generisanog komunalnog otpada, jer je količina utvrđena mjerenjem sakupljenog otpada korigovana u odnosu na tadašnji obuhvat organizovanim sakupljanjem od približno 81,2%. Zbog toga povećanje obuhvata </w:t>
      </w:r>
      <w:r w:rsidRPr="00615350">
        <w:rPr>
          <w:rFonts w:ascii="Times New Roman" w:eastAsia="Times New Roman" w:hAnsi="Times New Roman" w:cs="Times New Roman"/>
          <w:sz w:val="24"/>
          <w:szCs w:val="24"/>
        </w:rPr>
        <w:lastRenderedPageBreak/>
        <w:t>sakupljanjem u planskom periodu neće samo po sebi povećavati projektovanu količinu generisanog otpada, već količinu otpada koja će biti obuhvaćena organizovanim sistemom.</w:t>
      </w:r>
    </w:p>
    <w:p w:rsidR="00D53412" w:rsidRPr="00615350" w:rsidRDefault="00D53412" w:rsidP="00D53412">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Istovremeno, u planskom periodu očekuje se postepeno povećanje obuhvata organizovanim sakupljanjem, razvoj primarne selekcije, odvojeno sakupljanje reciklabilnih frakcija i biootpada i unapređenje upravljanja neopasnim građevinskim otpadom. Projekcija ukupno generisanog otpada zato predstavlja polaznu osnovu za procjenu količina koje će biti potrebno usmjeravati ka odvojenom sakupljanju, pripremi za ponovnu upotrebu, reciklaži i drugim postupcima obrade, uz postepeno smanjivanje udjela miješanog otpada koji se upućuje na konačno odstranjivanje.</w:t>
      </w:r>
    </w:p>
    <w:p w:rsidR="00B010E7" w:rsidRPr="00615350" w:rsidRDefault="00B010E7" w:rsidP="00795B04">
      <w:pPr>
        <w:pStyle w:val="Heading2"/>
        <w:rPr>
          <w:rFonts w:eastAsia="Times New Roman"/>
        </w:rPr>
      </w:pPr>
      <w:bookmarkStart w:id="30" w:name="_Toc240282289"/>
      <w:r w:rsidRPr="00615350">
        <w:rPr>
          <w:rFonts w:eastAsia="Times New Roman"/>
        </w:rPr>
        <w:t>4.2. Projekcija količina komunalnog otpada</w:t>
      </w:r>
      <w:bookmarkEnd w:id="30"/>
    </w:p>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Projekcija količina komunalnog otpada za period 2026–2029. godine izrađena je na osnovu lokalno utvrđene specifične stope generisanja komunalnog otpada i planske demografske pretpostavke za opštinu Berane.</w:t>
      </w:r>
    </w:p>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Kao lokalna polazna vrijednost koristi se specifično generisanje od </w:t>
      </w:r>
      <w:r w:rsidRPr="00615350">
        <w:rPr>
          <w:rFonts w:ascii="Times New Roman" w:eastAsia="Times New Roman" w:hAnsi="Times New Roman" w:cs="Times New Roman"/>
          <w:b/>
          <w:bCs/>
          <w:sz w:val="24"/>
          <w:szCs w:val="24"/>
        </w:rPr>
        <w:t>351 kg/stan./god.</w:t>
      </w:r>
      <w:r w:rsidRPr="00615350">
        <w:rPr>
          <w:rFonts w:ascii="Times New Roman" w:eastAsia="Times New Roman" w:hAnsi="Times New Roman" w:cs="Times New Roman"/>
          <w:sz w:val="24"/>
          <w:szCs w:val="24"/>
        </w:rPr>
        <w:t xml:space="preserve">, utvrđeno na osnovu četiri sezonske kampanje neposrednog mjerenja komunalnog otpada sprovedene tokom 2024. godine. Na osnovu izvršenih mjerenja, projektovanja rezultata na godišnji nivo i korekcije u odnosu na tada korišćeni obuhvat organizovanim sakupljanjem, ukupna količina generisanog komunalnog otpada na teritoriji opštine Berane procijenjena je na oko </w:t>
      </w:r>
      <w:r w:rsidRPr="00615350">
        <w:rPr>
          <w:rFonts w:ascii="Times New Roman" w:eastAsia="Times New Roman" w:hAnsi="Times New Roman" w:cs="Times New Roman"/>
          <w:b/>
          <w:bCs/>
          <w:sz w:val="24"/>
          <w:szCs w:val="24"/>
        </w:rPr>
        <w:t>8.832 t/god.</w:t>
      </w:r>
      <w:r w:rsidRPr="00615350">
        <w:rPr>
          <w:rFonts w:ascii="Times New Roman" w:eastAsia="Times New Roman" w:hAnsi="Times New Roman" w:cs="Times New Roman"/>
          <w:sz w:val="24"/>
          <w:szCs w:val="24"/>
        </w:rPr>
        <w:t xml:space="preserve"> </w:t>
      </w:r>
    </w:p>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 tome treba imati u vidu da je mjerenje izvršeno tokom 2024. godine, dok je za obračun specifičnog generisanja korišćena raspoloživa populaciona osnova iz Popisa 2023. godine, prema kojem je opština Berane imala </w:t>
      </w:r>
      <w:r w:rsidRPr="00615350">
        <w:rPr>
          <w:rFonts w:ascii="Times New Roman" w:eastAsia="Times New Roman" w:hAnsi="Times New Roman" w:cs="Times New Roman"/>
          <w:b/>
          <w:bCs/>
          <w:sz w:val="24"/>
          <w:szCs w:val="24"/>
        </w:rPr>
        <w:t>25.162 stanovnika</w:t>
      </w:r>
      <w:r w:rsidRPr="00615350">
        <w:rPr>
          <w:rFonts w:ascii="Times New Roman" w:eastAsia="Times New Roman" w:hAnsi="Times New Roman" w:cs="Times New Roman"/>
          <w:sz w:val="24"/>
          <w:szCs w:val="24"/>
        </w:rPr>
        <w:t xml:space="preserve">. Zbog toga se vrijednost od 8.832 t/god. u ovom Planu koristi kao </w:t>
      </w:r>
      <w:r w:rsidRPr="00615350">
        <w:rPr>
          <w:rFonts w:ascii="Times New Roman" w:eastAsia="Times New Roman" w:hAnsi="Times New Roman" w:cs="Times New Roman"/>
          <w:b/>
          <w:bCs/>
          <w:sz w:val="24"/>
          <w:szCs w:val="24"/>
        </w:rPr>
        <w:t>lokalna bazna procjena generisanja komunalnog otpada</w:t>
      </w:r>
      <w:r w:rsidRPr="00615350">
        <w:rPr>
          <w:rFonts w:ascii="Times New Roman" w:eastAsia="Times New Roman" w:hAnsi="Times New Roman" w:cs="Times New Roman"/>
          <w:sz w:val="24"/>
          <w:szCs w:val="24"/>
        </w:rPr>
        <w:t>, a ne kao rezultat posebne demografske procjene za 2024. godinu.</w:t>
      </w:r>
    </w:p>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planski period koristi se demografska pretpostavka usklađena sa Državnim planom upravljanja otpadom 2025–2029. DPUO za Berane za 2029. godinu koristi projektovani broj od </w:t>
      </w:r>
      <w:r w:rsidRPr="00615350">
        <w:rPr>
          <w:rFonts w:ascii="Times New Roman" w:eastAsia="Times New Roman" w:hAnsi="Times New Roman" w:cs="Times New Roman"/>
          <w:b/>
          <w:bCs/>
          <w:sz w:val="24"/>
          <w:szCs w:val="24"/>
        </w:rPr>
        <w:t>26.242 stanovnika</w:t>
      </w:r>
      <w:r w:rsidRPr="00615350">
        <w:rPr>
          <w:rFonts w:ascii="Times New Roman" w:eastAsia="Times New Roman" w:hAnsi="Times New Roman" w:cs="Times New Roman"/>
          <w:sz w:val="24"/>
          <w:szCs w:val="24"/>
        </w:rPr>
        <w:t xml:space="preserve">. Za potrebe ovog Lokalnog plana, vrijednosti za međugodine 2026–2028. određene su linearnom interpolacijom između rezultata Popisa 2023. godine i planske vrijednosti DPUO za 2029. godinu. Tako dobijene međugodišnje vrijednosti predstavljaju </w:t>
      </w:r>
      <w:r w:rsidRPr="00615350">
        <w:rPr>
          <w:rFonts w:ascii="Times New Roman" w:eastAsia="Times New Roman" w:hAnsi="Times New Roman" w:cs="Times New Roman"/>
          <w:b/>
          <w:bCs/>
          <w:sz w:val="24"/>
          <w:szCs w:val="24"/>
        </w:rPr>
        <w:t>proračun ovog Plana</w:t>
      </w:r>
      <w:r w:rsidRPr="00615350">
        <w:rPr>
          <w:rFonts w:ascii="Times New Roman" w:eastAsia="Times New Roman" w:hAnsi="Times New Roman" w:cs="Times New Roman"/>
          <w:sz w:val="24"/>
          <w:szCs w:val="24"/>
        </w:rPr>
        <w:t>, a ne vrijednosti neposredno preuzete iz DPUO.</w:t>
      </w:r>
    </w:p>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osnovnom lokalnom scenariju zadržana je konstantna specifična stopa generisanja od </w:t>
      </w:r>
      <w:r w:rsidRPr="00615350">
        <w:rPr>
          <w:rFonts w:ascii="Times New Roman" w:eastAsia="Times New Roman" w:hAnsi="Times New Roman" w:cs="Times New Roman"/>
          <w:b/>
          <w:bCs/>
          <w:sz w:val="24"/>
          <w:szCs w:val="24"/>
        </w:rPr>
        <w:t>351 kg/stan./god.</w:t>
      </w:r>
      <w:r w:rsidRPr="00615350">
        <w:rPr>
          <w:rFonts w:ascii="Times New Roman" w:eastAsia="Times New Roman" w:hAnsi="Times New Roman" w:cs="Times New Roman"/>
          <w:sz w:val="24"/>
          <w:szCs w:val="24"/>
        </w:rPr>
        <w:t xml:space="preserve"> Ovakav pristup izabran je zato što se radi o lokalno utvrđenoj vrijednosti zasnovanoj na neposrednim mjerenjima, dok raspoloživi lokalni podaci ne pružaju dovoljno pouzdanu osnovu za definisanje posebne godišnje stope rasta generisanja otpada po stanovniku.</w:t>
      </w:r>
    </w:p>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Projektovana godišnja količina komunalnog otpada izračunata je prema izrazu:</w:t>
      </w:r>
    </w:p>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lastRenderedPageBreak/>
        <w:t>Q = P × q / 1.000</w:t>
      </w:r>
    </w:p>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gdje je:</w:t>
      </w:r>
    </w:p>
    <w:p w:rsidR="00BD0C57" w:rsidRPr="00615350" w:rsidRDefault="00BD0C57" w:rsidP="00C1197A">
      <w:pPr>
        <w:numPr>
          <w:ilvl w:val="0"/>
          <w:numId w:val="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Q</w:t>
      </w:r>
      <w:r w:rsidRPr="00615350">
        <w:rPr>
          <w:rFonts w:ascii="Times New Roman" w:eastAsia="Times New Roman" w:hAnsi="Times New Roman" w:cs="Times New Roman"/>
          <w:sz w:val="24"/>
          <w:szCs w:val="24"/>
        </w:rPr>
        <w:t xml:space="preserve"> – projektovana godišnja količina komunalnog otpada (t/god.); </w:t>
      </w:r>
    </w:p>
    <w:p w:rsidR="00BD0C57" w:rsidRPr="00615350" w:rsidRDefault="00BD0C57" w:rsidP="00C1197A">
      <w:pPr>
        <w:numPr>
          <w:ilvl w:val="0"/>
          <w:numId w:val="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P</w:t>
      </w:r>
      <w:r w:rsidRPr="00615350">
        <w:rPr>
          <w:rFonts w:ascii="Times New Roman" w:eastAsia="Times New Roman" w:hAnsi="Times New Roman" w:cs="Times New Roman"/>
          <w:sz w:val="24"/>
          <w:szCs w:val="24"/>
        </w:rPr>
        <w:t xml:space="preserve"> – planski broj stanovnika; </w:t>
      </w:r>
    </w:p>
    <w:p w:rsidR="00BD0C57" w:rsidRPr="00615350" w:rsidRDefault="00BD0C57" w:rsidP="00C1197A">
      <w:pPr>
        <w:numPr>
          <w:ilvl w:val="0"/>
          <w:numId w:val="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q</w:t>
      </w:r>
      <w:r w:rsidRPr="00615350">
        <w:rPr>
          <w:rFonts w:ascii="Times New Roman" w:eastAsia="Times New Roman" w:hAnsi="Times New Roman" w:cs="Times New Roman"/>
          <w:sz w:val="24"/>
          <w:szCs w:val="24"/>
        </w:rPr>
        <w:t xml:space="preserve"> – specifično generisanje komunalnog otpada (351 kg/stan./god.). </w:t>
      </w:r>
    </w:p>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osnovu navedenih pretpostavki dobijena je sljedeća lokalna projekcija:</w:t>
      </w:r>
    </w:p>
    <w:p w:rsidR="00795B04" w:rsidRPr="00615350" w:rsidRDefault="00795B04" w:rsidP="00795B04">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11 Lokalne projekcije</w:t>
      </w:r>
    </w:p>
    <w:tbl>
      <w:tblPr>
        <w:tblStyle w:val="LightShading-Accent1"/>
        <w:tblW w:w="0" w:type="auto"/>
        <w:jc w:val="center"/>
        <w:tblLook w:val="04A0" w:firstRow="1" w:lastRow="0" w:firstColumn="1" w:lastColumn="0" w:noHBand="0" w:noVBand="1"/>
      </w:tblPr>
      <w:tblGrid>
        <w:gridCol w:w="811"/>
        <w:gridCol w:w="2094"/>
        <w:gridCol w:w="2737"/>
        <w:gridCol w:w="1911"/>
      </w:tblGrid>
      <w:tr w:rsidR="00BD0C57" w:rsidRPr="00615350" w:rsidTr="0089762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1" w:type="dxa"/>
            <w:hideMark/>
          </w:tcPr>
          <w:p w:rsidR="00BD0C57" w:rsidRPr="00615350" w:rsidRDefault="00BD0C57"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0" w:type="auto"/>
            <w:hideMark/>
          </w:tcPr>
          <w:p w:rsidR="00BD0C57" w:rsidRPr="00615350" w:rsidRDefault="00BD0C57"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Planski broj stanovnika</w:t>
            </w:r>
          </w:p>
        </w:tc>
        <w:tc>
          <w:tcPr>
            <w:tcW w:w="2737" w:type="dxa"/>
            <w:hideMark/>
          </w:tcPr>
          <w:p w:rsidR="00BD0C57" w:rsidRPr="00615350" w:rsidRDefault="00BD0C57"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Specifično generisanje (kg/stan./god.)</w:t>
            </w:r>
          </w:p>
        </w:tc>
        <w:tc>
          <w:tcPr>
            <w:tcW w:w="1911" w:type="dxa"/>
            <w:hideMark/>
          </w:tcPr>
          <w:p w:rsidR="00BD0C57" w:rsidRPr="00615350" w:rsidRDefault="00BD0C57"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Projektovana količina komunalnog otpada (t/god.)</w:t>
            </w:r>
          </w:p>
        </w:tc>
      </w:tr>
      <w:tr w:rsidR="00BD0C57" w:rsidRPr="00615350" w:rsidTr="008976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1" w:type="dxa"/>
            <w:hideMark/>
          </w:tcPr>
          <w:p w:rsidR="00BD0C57" w:rsidRPr="00615350" w:rsidRDefault="00BD0C57"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2026.</w:t>
            </w:r>
          </w:p>
        </w:tc>
        <w:tc>
          <w:tcPr>
            <w:tcW w:w="0" w:type="auto"/>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25.702</w:t>
            </w:r>
          </w:p>
        </w:tc>
        <w:tc>
          <w:tcPr>
            <w:tcW w:w="2737" w:type="dxa"/>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351</w:t>
            </w:r>
          </w:p>
        </w:tc>
        <w:tc>
          <w:tcPr>
            <w:tcW w:w="1911" w:type="dxa"/>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9.022</w:t>
            </w:r>
          </w:p>
        </w:tc>
      </w:tr>
      <w:tr w:rsidR="00BD0C57" w:rsidRPr="00615350" w:rsidTr="00897624">
        <w:trPr>
          <w:jc w:val="center"/>
        </w:trPr>
        <w:tc>
          <w:tcPr>
            <w:cnfStyle w:val="001000000000" w:firstRow="0" w:lastRow="0" w:firstColumn="1" w:lastColumn="0" w:oddVBand="0" w:evenVBand="0" w:oddHBand="0" w:evenHBand="0" w:firstRowFirstColumn="0" w:firstRowLastColumn="0" w:lastRowFirstColumn="0" w:lastRowLastColumn="0"/>
            <w:tcW w:w="811" w:type="dxa"/>
            <w:hideMark/>
          </w:tcPr>
          <w:p w:rsidR="00BD0C57" w:rsidRPr="00615350" w:rsidRDefault="00BD0C57"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2027.</w:t>
            </w:r>
          </w:p>
        </w:tc>
        <w:tc>
          <w:tcPr>
            <w:tcW w:w="0" w:type="auto"/>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25.882</w:t>
            </w:r>
          </w:p>
        </w:tc>
        <w:tc>
          <w:tcPr>
            <w:tcW w:w="2737" w:type="dxa"/>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351</w:t>
            </w:r>
          </w:p>
        </w:tc>
        <w:tc>
          <w:tcPr>
            <w:tcW w:w="1911" w:type="dxa"/>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9.085</w:t>
            </w:r>
          </w:p>
        </w:tc>
      </w:tr>
      <w:tr w:rsidR="00BD0C57" w:rsidRPr="00615350" w:rsidTr="008976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11" w:type="dxa"/>
            <w:hideMark/>
          </w:tcPr>
          <w:p w:rsidR="00BD0C57" w:rsidRPr="00615350" w:rsidRDefault="00BD0C57"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2028.</w:t>
            </w:r>
          </w:p>
        </w:tc>
        <w:tc>
          <w:tcPr>
            <w:tcW w:w="0" w:type="auto"/>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26.062</w:t>
            </w:r>
          </w:p>
        </w:tc>
        <w:tc>
          <w:tcPr>
            <w:tcW w:w="2737" w:type="dxa"/>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351</w:t>
            </w:r>
          </w:p>
        </w:tc>
        <w:tc>
          <w:tcPr>
            <w:tcW w:w="1911" w:type="dxa"/>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9.148</w:t>
            </w:r>
          </w:p>
        </w:tc>
      </w:tr>
      <w:tr w:rsidR="00BD0C57" w:rsidRPr="00615350" w:rsidTr="00897624">
        <w:trPr>
          <w:jc w:val="center"/>
        </w:trPr>
        <w:tc>
          <w:tcPr>
            <w:cnfStyle w:val="001000000000" w:firstRow="0" w:lastRow="0" w:firstColumn="1" w:lastColumn="0" w:oddVBand="0" w:evenVBand="0" w:oddHBand="0" w:evenHBand="0" w:firstRowFirstColumn="0" w:firstRowLastColumn="0" w:lastRowFirstColumn="0" w:lastRowLastColumn="0"/>
            <w:tcW w:w="811" w:type="dxa"/>
            <w:hideMark/>
          </w:tcPr>
          <w:p w:rsidR="00BD0C57" w:rsidRPr="00615350" w:rsidRDefault="00BD0C57"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2029.</w:t>
            </w:r>
          </w:p>
        </w:tc>
        <w:tc>
          <w:tcPr>
            <w:tcW w:w="0" w:type="auto"/>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26.242</w:t>
            </w:r>
          </w:p>
        </w:tc>
        <w:tc>
          <w:tcPr>
            <w:tcW w:w="2737" w:type="dxa"/>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351</w:t>
            </w:r>
          </w:p>
        </w:tc>
        <w:tc>
          <w:tcPr>
            <w:tcW w:w="1911" w:type="dxa"/>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9.211</w:t>
            </w:r>
          </w:p>
        </w:tc>
      </w:tr>
    </w:tbl>
    <w:p w:rsidR="00BD0C57" w:rsidRPr="00615350" w:rsidRDefault="00BD0C57"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Projektovane količine pokazuju umjeren rast ukupnog generisanja komunalnog otpada. U lokalnom scenariju količina raste sa bazne procjene od oko </w:t>
      </w:r>
      <w:r w:rsidRPr="00615350">
        <w:rPr>
          <w:rFonts w:ascii="Times New Roman" w:eastAsia="Times New Roman" w:hAnsi="Times New Roman" w:cs="Times New Roman"/>
          <w:b/>
          <w:bCs/>
          <w:sz w:val="24"/>
          <w:szCs w:val="24"/>
        </w:rPr>
        <w:t>8.832 t/god.</w:t>
      </w:r>
      <w:r w:rsidRPr="00615350">
        <w:rPr>
          <w:rFonts w:ascii="Times New Roman" w:eastAsia="Times New Roman" w:hAnsi="Times New Roman" w:cs="Times New Roman"/>
          <w:sz w:val="24"/>
          <w:szCs w:val="24"/>
        </w:rPr>
        <w:t xml:space="preserve"> na približno </w:t>
      </w:r>
      <w:r w:rsidRPr="00615350">
        <w:rPr>
          <w:rFonts w:ascii="Times New Roman" w:eastAsia="Times New Roman" w:hAnsi="Times New Roman" w:cs="Times New Roman"/>
          <w:b/>
          <w:bCs/>
          <w:sz w:val="24"/>
          <w:szCs w:val="24"/>
        </w:rPr>
        <w:t>9.211 t/god. u 2029. godini</w:t>
      </w:r>
      <w:r w:rsidRPr="00615350">
        <w:rPr>
          <w:rFonts w:ascii="Times New Roman" w:eastAsia="Times New Roman" w:hAnsi="Times New Roman" w:cs="Times New Roman"/>
          <w:sz w:val="24"/>
          <w:szCs w:val="24"/>
        </w:rPr>
        <w:t xml:space="preserve">, odnosno za oko </w:t>
      </w:r>
      <w:r w:rsidRPr="00615350">
        <w:rPr>
          <w:rFonts w:ascii="Times New Roman" w:eastAsia="Times New Roman" w:hAnsi="Times New Roman" w:cs="Times New Roman"/>
          <w:b/>
          <w:bCs/>
          <w:sz w:val="24"/>
          <w:szCs w:val="24"/>
        </w:rPr>
        <w:t>4,3%</w:t>
      </w:r>
      <w:r w:rsidRPr="00615350">
        <w:rPr>
          <w:rFonts w:ascii="Times New Roman" w:eastAsia="Times New Roman" w:hAnsi="Times New Roman" w:cs="Times New Roman"/>
          <w:sz w:val="24"/>
          <w:szCs w:val="24"/>
        </w:rPr>
        <w:t>. Rast je posljedica isključivo korišćene planske promjene broja stanovnika, dok je specifično generisanje otpada po stanovniku zadržano na nivou utvrđenom lokalnim mjerenjima.</w:t>
      </w:r>
    </w:p>
    <w:p w:rsidR="00BD0C57" w:rsidRPr="00615350" w:rsidRDefault="00BD0C57" w:rsidP="006D7DCD">
      <w:pPr>
        <w:rPr>
          <w:rFonts w:ascii="Times New Roman" w:hAnsi="Times New Roman" w:cs="Times New Roman"/>
          <w:b/>
          <w:sz w:val="24"/>
        </w:rPr>
      </w:pPr>
      <w:r w:rsidRPr="00615350">
        <w:rPr>
          <w:rFonts w:ascii="Times New Roman" w:hAnsi="Times New Roman" w:cs="Times New Roman"/>
          <w:b/>
          <w:sz w:val="24"/>
        </w:rPr>
        <w:t>Poređenje sa projekcijom DPUO</w:t>
      </w:r>
    </w:p>
    <w:p w:rsidR="00AC0EB6" w:rsidRPr="00615350" w:rsidRDefault="00AC0EB6" w:rsidP="00AC0EB6">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Državni plan upravljanja otpadom za period 2025–2029. godine za opštinu Berane za 2029. godinu projektuje </w:t>
      </w:r>
      <w:r w:rsidRPr="00615350">
        <w:rPr>
          <w:rFonts w:ascii="Times New Roman" w:eastAsia="Times New Roman" w:hAnsi="Times New Roman" w:cs="Times New Roman"/>
          <w:b/>
          <w:bCs/>
          <w:sz w:val="24"/>
          <w:szCs w:val="24"/>
        </w:rPr>
        <w:t>26.242 stanovnika i 11.957 t/god. komunalnog otpada</w:t>
      </w:r>
      <w:r w:rsidRPr="00615350">
        <w:rPr>
          <w:rFonts w:ascii="Times New Roman" w:eastAsia="Times New Roman" w:hAnsi="Times New Roman" w:cs="Times New Roman"/>
          <w:sz w:val="24"/>
          <w:szCs w:val="24"/>
        </w:rPr>
        <w:t>.</w:t>
      </w:r>
    </w:p>
    <w:p w:rsidR="00AC0EB6" w:rsidRPr="00615350" w:rsidRDefault="00AC0EB6" w:rsidP="00AC0EB6">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Kada se projektovana količina DPUO stavi u odnos sa projektovanim brojem stanovnika, dobija se implicitna vrijednost od približno </w:t>
      </w:r>
      <w:r w:rsidRPr="00615350">
        <w:rPr>
          <w:rFonts w:ascii="Times New Roman" w:eastAsia="Times New Roman" w:hAnsi="Times New Roman" w:cs="Times New Roman"/>
          <w:b/>
          <w:bCs/>
          <w:sz w:val="24"/>
          <w:szCs w:val="24"/>
        </w:rPr>
        <w:t>456 kg/stan./god.</w:t>
      </w:r>
      <w:r w:rsidRPr="00615350">
        <w:rPr>
          <w:rFonts w:ascii="Times New Roman" w:eastAsia="Times New Roman" w:hAnsi="Times New Roman" w:cs="Times New Roman"/>
          <w:sz w:val="24"/>
          <w:szCs w:val="24"/>
        </w:rPr>
        <w:t xml:space="preserve">, odnosno oko </w:t>
      </w:r>
      <w:r w:rsidRPr="00615350">
        <w:rPr>
          <w:rFonts w:ascii="Times New Roman" w:eastAsia="Times New Roman" w:hAnsi="Times New Roman" w:cs="Times New Roman"/>
          <w:b/>
          <w:bCs/>
          <w:sz w:val="24"/>
          <w:szCs w:val="24"/>
        </w:rPr>
        <w:t>1,25 kg/stan./dan</w:t>
      </w:r>
      <w:r w:rsidRPr="00615350">
        <w:rPr>
          <w:rFonts w:ascii="Times New Roman" w:eastAsia="Times New Roman" w:hAnsi="Times New Roman" w:cs="Times New Roman"/>
          <w:sz w:val="24"/>
          <w:szCs w:val="24"/>
        </w:rPr>
        <w:t>. Ovu vrijednost ne treba tumačiti kao zasebno utvrđenu stopu generisanja u DPUO, već kao proračunsku vrijednost koja proizlazi iz njegove ukupne projekcije za Berane.</w:t>
      </w:r>
    </w:p>
    <w:p w:rsidR="00795B04" w:rsidRPr="00615350" w:rsidRDefault="00795B04" w:rsidP="00795B04">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Tabela br. 12 </w:t>
      </w:r>
      <w:r w:rsidR="00F3669C" w:rsidRPr="00615350">
        <w:rPr>
          <w:rFonts w:ascii="Times New Roman" w:eastAsia="Times New Roman" w:hAnsi="Times New Roman" w:cs="Times New Roman"/>
          <w:sz w:val="24"/>
          <w:szCs w:val="24"/>
        </w:rPr>
        <w:t>Poređenje lokalnih i DPUO projekcija</w:t>
      </w:r>
    </w:p>
    <w:tbl>
      <w:tblPr>
        <w:tblStyle w:val="LightShading-Accent1"/>
        <w:tblW w:w="0" w:type="auto"/>
        <w:jc w:val="center"/>
        <w:tblLook w:val="04A0" w:firstRow="1" w:lastRow="0" w:firstColumn="1" w:lastColumn="0" w:noHBand="0" w:noVBand="1"/>
      </w:tblPr>
      <w:tblGrid>
        <w:gridCol w:w="3591"/>
        <w:gridCol w:w="1600"/>
        <w:gridCol w:w="1710"/>
      </w:tblGrid>
      <w:tr w:rsidR="00BD0C57" w:rsidRPr="00615350" w:rsidTr="006153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91" w:type="dxa"/>
            <w:hideMark/>
          </w:tcPr>
          <w:p w:rsidR="00BD0C57" w:rsidRPr="00615350" w:rsidRDefault="00BD0C57"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Pokazatelj za 2029.</w:t>
            </w:r>
          </w:p>
        </w:tc>
        <w:tc>
          <w:tcPr>
            <w:tcW w:w="0" w:type="auto"/>
            <w:hideMark/>
          </w:tcPr>
          <w:p w:rsidR="00BD0C57" w:rsidRPr="00615350" w:rsidRDefault="00BD0C57"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Lokalni scenario</w:t>
            </w:r>
          </w:p>
        </w:tc>
        <w:tc>
          <w:tcPr>
            <w:tcW w:w="0" w:type="auto"/>
            <w:hideMark/>
          </w:tcPr>
          <w:p w:rsidR="00BD0C57" w:rsidRPr="00615350" w:rsidRDefault="00BD0C57"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DPUO</w:t>
            </w:r>
          </w:p>
        </w:tc>
      </w:tr>
      <w:tr w:rsidR="00BD0C57"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91" w:type="dxa"/>
            <w:hideMark/>
          </w:tcPr>
          <w:p w:rsidR="00BD0C57" w:rsidRPr="00615350" w:rsidRDefault="00BD0C57"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Broj stanovnika</w:t>
            </w:r>
          </w:p>
        </w:tc>
        <w:tc>
          <w:tcPr>
            <w:tcW w:w="0" w:type="auto"/>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26.242</w:t>
            </w:r>
          </w:p>
        </w:tc>
        <w:tc>
          <w:tcPr>
            <w:tcW w:w="0" w:type="auto"/>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26.242</w:t>
            </w:r>
          </w:p>
        </w:tc>
      </w:tr>
      <w:tr w:rsidR="00BD0C57"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3591" w:type="dxa"/>
            <w:hideMark/>
          </w:tcPr>
          <w:p w:rsidR="00BD0C57" w:rsidRPr="00615350" w:rsidRDefault="00BD0C57"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Specifična/implicitna vrijednost generisanja</w:t>
            </w:r>
          </w:p>
        </w:tc>
        <w:tc>
          <w:tcPr>
            <w:tcW w:w="0" w:type="auto"/>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351 kg/stan./god.</w:t>
            </w:r>
          </w:p>
        </w:tc>
        <w:tc>
          <w:tcPr>
            <w:tcW w:w="0" w:type="auto"/>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≈456 kg/stan./god.</w:t>
            </w:r>
          </w:p>
        </w:tc>
      </w:tr>
      <w:tr w:rsidR="00BD0C57"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91" w:type="dxa"/>
            <w:hideMark/>
          </w:tcPr>
          <w:p w:rsidR="00BD0C57" w:rsidRPr="00615350" w:rsidRDefault="00BD0C57"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Projektovana količina komunalnog otpada</w:t>
            </w:r>
          </w:p>
        </w:tc>
        <w:tc>
          <w:tcPr>
            <w:tcW w:w="0" w:type="auto"/>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9.211 t/god.</w:t>
            </w:r>
          </w:p>
        </w:tc>
        <w:tc>
          <w:tcPr>
            <w:tcW w:w="0" w:type="auto"/>
            <w:hideMark/>
          </w:tcPr>
          <w:p w:rsidR="00BD0C57" w:rsidRPr="00615350" w:rsidRDefault="00BD0C57"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11.957 t/god.</w:t>
            </w:r>
          </w:p>
        </w:tc>
      </w:tr>
      <w:tr w:rsidR="00BD0C57"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3591" w:type="dxa"/>
            <w:hideMark/>
          </w:tcPr>
          <w:p w:rsidR="00BD0C57" w:rsidRPr="00615350" w:rsidRDefault="00BD0C57"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Razlika u odnosu na lokalni scenario</w:t>
            </w:r>
          </w:p>
        </w:tc>
        <w:tc>
          <w:tcPr>
            <w:tcW w:w="0" w:type="auto"/>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w:t>
            </w:r>
          </w:p>
        </w:tc>
        <w:tc>
          <w:tcPr>
            <w:tcW w:w="0" w:type="auto"/>
            <w:hideMark/>
          </w:tcPr>
          <w:p w:rsidR="00BD0C57" w:rsidRPr="00615350" w:rsidRDefault="00BD0C57"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+2.746 t/god.</w:t>
            </w:r>
          </w:p>
        </w:tc>
      </w:tr>
    </w:tbl>
    <w:p w:rsidR="00AC0EB6" w:rsidRPr="00615350" w:rsidRDefault="00AC0EB6" w:rsidP="00AC0EB6">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Projekcija DPUO za 2029. godinu viša je od lokalne projekcije za oko </w:t>
      </w:r>
      <w:r w:rsidRPr="00615350">
        <w:rPr>
          <w:rFonts w:ascii="Times New Roman" w:eastAsia="Times New Roman" w:hAnsi="Times New Roman" w:cs="Times New Roman"/>
          <w:b/>
          <w:bCs/>
          <w:sz w:val="24"/>
          <w:szCs w:val="24"/>
        </w:rPr>
        <w:t>2.746 t/god.</w:t>
      </w:r>
      <w:r w:rsidRPr="00615350">
        <w:rPr>
          <w:rFonts w:ascii="Times New Roman" w:eastAsia="Times New Roman" w:hAnsi="Times New Roman" w:cs="Times New Roman"/>
          <w:sz w:val="24"/>
          <w:szCs w:val="24"/>
        </w:rPr>
        <w:t xml:space="preserve">, odnosno približno </w:t>
      </w:r>
      <w:r w:rsidRPr="00615350">
        <w:rPr>
          <w:rFonts w:ascii="Times New Roman" w:eastAsia="Times New Roman" w:hAnsi="Times New Roman" w:cs="Times New Roman"/>
          <w:b/>
          <w:bCs/>
          <w:sz w:val="24"/>
          <w:szCs w:val="24"/>
        </w:rPr>
        <w:t>29,8%</w:t>
      </w:r>
      <w:r w:rsidRPr="00615350">
        <w:rPr>
          <w:rFonts w:ascii="Times New Roman" w:eastAsia="Times New Roman" w:hAnsi="Times New Roman" w:cs="Times New Roman"/>
          <w:sz w:val="24"/>
          <w:szCs w:val="24"/>
        </w:rPr>
        <w:t>. Budući da je za 2029. godinu u oba scenarija korišćen isti broj stanovnika, razlika proizlazi iz različitih metodoloških polazišta za procjenu budućeg generisanja otpada.</w:t>
      </w:r>
    </w:p>
    <w:p w:rsidR="00AC0EB6" w:rsidRPr="00615350" w:rsidRDefault="00AC0EB6" w:rsidP="00AC0EB6">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Lokalni scenario zasniva se na specifičnom generisanju od </w:t>
      </w:r>
      <w:r w:rsidRPr="00615350">
        <w:rPr>
          <w:rFonts w:ascii="Times New Roman" w:eastAsia="Times New Roman" w:hAnsi="Times New Roman" w:cs="Times New Roman"/>
          <w:b/>
          <w:bCs/>
          <w:sz w:val="24"/>
          <w:szCs w:val="24"/>
        </w:rPr>
        <w:t>351 kg/stan./god.</w:t>
      </w:r>
      <w:r w:rsidRPr="00615350">
        <w:rPr>
          <w:rFonts w:ascii="Times New Roman" w:eastAsia="Times New Roman" w:hAnsi="Times New Roman" w:cs="Times New Roman"/>
          <w:sz w:val="24"/>
          <w:szCs w:val="24"/>
        </w:rPr>
        <w:t>, utvrđenom na osnovu neposrednih mjerenja na teritoriji Berana, dok DPUO primjenjuje širi planski pristup projekciji budućih količina otpada. Zbog toga razliku između dvije projekcije ne treba tumačiti kao neusaglašenost podataka, već kao posljedicu različitih metodoloških pristupa.</w:t>
      </w:r>
    </w:p>
    <w:p w:rsidR="00AC0EB6" w:rsidRPr="00615350" w:rsidRDefault="00AC0EB6" w:rsidP="00AC0EB6">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potrebe ovog Plana </w:t>
      </w:r>
      <w:r w:rsidRPr="00615350">
        <w:rPr>
          <w:rFonts w:ascii="Times New Roman" w:eastAsia="Times New Roman" w:hAnsi="Times New Roman" w:cs="Times New Roman"/>
          <w:b/>
          <w:bCs/>
          <w:sz w:val="24"/>
          <w:szCs w:val="24"/>
        </w:rPr>
        <w:t>lokalna projekcija koristi se kao osnovni scenario za procjenu očekivanih količina otpada u lokalnim uslovima</w:t>
      </w:r>
      <w:r w:rsidRPr="00615350">
        <w:rPr>
          <w:rFonts w:ascii="Times New Roman" w:eastAsia="Times New Roman" w:hAnsi="Times New Roman" w:cs="Times New Roman"/>
          <w:sz w:val="24"/>
          <w:szCs w:val="24"/>
        </w:rPr>
        <w:t xml:space="preserve">, dok se projekcija DPUO od </w:t>
      </w:r>
      <w:r w:rsidRPr="00615350">
        <w:rPr>
          <w:rFonts w:ascii="Times New Roman" w:eastAsia="Times New Roman" w:hAnsi="Times New Roman" w:cs="Times New Roman"/>
          <w:b/>
          <w:bCs/>
          <w:sz w:val="24"/>
          <w:szCs w:val="24"/>
        </w:rPr>
        <w:t>11.957 t/god.</w:t>
      </w:r>
      <w:r w:rsidRPr="00615350">
        <w:rPr>
          <w:rFonts w:ascii="Times New Roman" w:eastAsia="Times New Roman" w:hAnsi="Times New Roman" w:cs="Times New Roman"/>
          <w:sz w:val="24"/>
          <w:szCs w:val="24"/>
        </w:rPr>
        <w:t xml:space="preserve"> koristi kao </w:t>
      </w:r>
      <w:r w:rsidRPr="00615350">
        <w:rPr>
          <w:rFonts w:ascii="Times New Roman" w:eastAsia="Times New Roman" w:hAnsi="Times New Roman" w:cs="Times New Roman"/>
          <w:b/>
          <w:bCs/>
          <w:sz w:val="24"/>
          <w:szCs w:val="24"/>
        </w:rPr>
        <w:t>referentna planska vrijednost pri provjeri potreba i kapaciteta budućeg sistema i infrastrukture</w:t>
      </w:r>
      <w:r w:rsidRPr="00615350">
        <w:rPr>
          <w:rFonts w:ascii="Times New Roman" w:eastAsia="Times New Roman" w:hAnsi="Times New Roman" w:cs="Times New Roman"/>
          <w:sz w:val="24"/>
          <w:szCs w:val="24"/>
        </w:rPr>
        <w:t>. Na taj način lokalni proračun ostaje zasnovan na neposredno utvrđenim podacima, uz istovremeno uvažavanje planskog okvira utvrđenog DPUO.</w:t>
      </w:r>
    </w:p>
    <w:p w:rsidR="00AC0EB6" w:rsidRPr="00615350" w:rsidRDefault="00AC0EB6" w:rsidP="00AC0EB6">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Projektovane količine predstavljaju procjenu </w:t>
      </w:r>
      <w:r w:rsidRPr="00615350">
        <w:rPr>
          <w:rFonts w:ascii="Times New Roman" w:eastAsia="Times New Roman" w:hAnsi="Times New Roman" w:cs="Times New Roman"/>
          <w:b/>
          <w:bCs/>
          <w:sz w:val="24"/>
          <w:szCs w:val="24"/>
        </w:rPr>
        <w:t>ukupnog generisanja komunalnog otpada</w:t>
      </w:r>
      <w:r w:rsidRPr="00615350">
        <w:rPr>
          <w:rFonts w:ascii="Times New Roman" w:eastAsia="Times New Roman" w:hAnsi="Times New Roman" w:cs="Times New Roman"/>
          <w:sz w:val="24"/>
          <w:szCs w:val="24"/>
        </w:rPr>
        <w:t>, a ne količinu miješanog komunalnog otpada koja će biti upućena na dalji postupak/odlaganje. Razvojem odvojenog sakupljanja dio reciklabilnih frakcija, biootpada i drugih odgovarajućih tokova treba postepeno izdvajati iz miješanog komunalnog otpada i usmjeravati ka pripremi za ponovnu upotrebu, reciklaži i drugim postupcima obrade.</w:t>
      </w:r>
    </w:p>
    <w:p w:rsidR="00BD0C57" w:rsidRPr="00615350" w:rsidRDefault="00AC0EB6" w:rsidP="00AC0EB6">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Lokalna projekcija predstavlja osnovu za procjenu potencijalnih i planiranih količina odvojeno sakupljenih frakcija u potpoglavlju 4.3.</w:t>
      </w:r>
    </w:p>
    <w:p w:rsidR="00BE4E44" w:rsidRPr="00615350" w:rsidRDefault="00BE4E44" w:rsidP="00F3669C">
      <w:pPr>
        <w:pStyle w:val="Heading2"/>
        <w:rPr>
          <w:rFonts w:eastAsia="Times New Roman"/>
        </w:rPr>
      </w:pPr>
      <w:bookmarkStart w:id="31" w:name="_Toc240282290"/>
      <w:r w:rsidRPr="00615350">
        <w:rPr>
          <w:rFonts w:eastAsia="Times New Roman"/>
        </w:rPr>
        <w:t>4.3. Projekcija količina i sastava odvojeno sakupljenih frakcija</w:t>
      </w:r>
      <w:bookmarkEnd w:id="31"/>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 sistema odvojenog sakupljanja predstavlja jednu od osnovnih pretpostavki za povećanje pripreme za ponovnu upotrebu i reciklažu komunalnog otpada i smanjenje količine miješanog komunalnog otpada koji se upućuje na dalji tretman i odlaganje. U skladu sa Zakonom o upravljanju otpadom i Državnim planom upravljanja otpadom za period 2025–2029. godine (DPUO), poseban značaj imaju </w:t>
      </w:r>
      <w:r w:rsidRPr="00615350">
        <w:rPr>
          <w:rFonts w:ascii="Times New Roman" w:eastAsia="Times New Roman" w:hAnsi="Times New Roman" w:cs="Times New Roman"/>
          <w:b/>
          <w:bCs/>
          <w:sz w:val="24"/>
          <w:szCs w:val="24"/>
        </w:rPr>
        <w:t>papir i karton, plastika, staklo i metali</w:t>
      </w:r>
      <w:r w:rsidRPr="00615350">
        <w:rPr>
          <w:rFonts w:ascii="Times New Roman" w:eastAsia="Times New Roman" w:hAnsi="Times New Roman" w:cs="Times New Roman"/>
          <w:sz w:val="24"/>
          <w:szCs w:val="24"/>
        </w:rPr>
        <w:t>, za koje je potrebno obezbijediti odvojeno sakupljanje i odgovarajući dalji tretman.</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Zakonom o upravljanju otpadom utvrđen je cilj da se do 2030. godine najmanje </w:t>
      </w:r>
      <w:r w:rsidRPr="00615350">
        <w:rPr>
          <w:rFonts w:ascii="Times New Roman" w:eastAsia="Times New Roman" w:hAnsi="Times New Roman" w:cs="Times New Roman"/>
          <w:b/>
          <w:bCs/>
          <w:sz w:val="24"/>
          <w:szCs w:val="24"/>
        </w:rPr>
        <w:t>50% ukupne mase sakupljenih otpadnih materijala kao što su papir, metal, plastika i staklo</w:t>
      </w:r>
      <w:r w:rsidRPr="00615350">
        <w:rPr>
          <w:rFonts w:ascii="Times New Roman" w:eastAsia="Times New Roman" w:hAnsi="Times New Roman" w:cs="Times New Roman"/>
          <w:sz w:val="24"/>
          <w:szCs w:val="24"/>
        </w:rPr>
        <w:t xml:space="preserve">, iz domaćinstava i drugih izvora u kojima su tokovi otpada slični tokovima otpada iz domaćinstava, pripremi za ponovnu upotrebu i recikliranje. </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period važenja DPUO utvrđen je međucilj prema kojem u </w:t>
      </w:r>
      <w:r w:rsidRPr="00615350">
        <w:rPr>
          <w:rFonts w:ascii="Times New Roman" w:eastAsia="Times New Roman" w:hAnsi="Times New Roman" w:cs="Times New Roman"/>
          <w:b/>
          <w:bCs/>
          <w:sz w:val="24"/>
          <w:szCs w:val="24"/>
        </w:rPr>
        <w:t>2029. godini najmanje 30% papira, metala, plastike i stakla</w:t>
      </w:r>
      <w:r w:rsidRPr="00615350">
        <w:rPr>
          <w:rFonts w:ascii="Times New Roman" w:eastAsia="Times New Roman" w:hAnsi="Times New Roman" w:cs="Times New Roman"/>
          <w:sz w:val="24"/>
          <w:szCs w:val="24"/>
        </w:rPr>
        <w:t xml:space="preserve"> iz domaćinstava i drugih izvora sa sličnim tokovima otpada treba pripremiti za ponovnu upotrebu i reciklažu. Na nacionalnom nivou ovaj cilj je u DPUO kvantifikovan na 57.048 t/god. </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Pored cilja pripreme za ponovnu upotrebu i reciklažu, DPUO utvrđuje i posebnu dinamiku razvoja </w:t>
      </w:r>
      <w:r w:rsidRPr="00615350">
        <w:rPr>
          <w:rFonts w:ascii="Times New Roman" w:eastAsia="Times New Roman" w:hAnsi="Times New Roman" w:cs="Times New Roman"/>
          <w:b/>
          <w:bCs/>
          <w:sz w:val="24"/>
          <w:szCs w:val="24"/>
        </w:rPr>
        <w:t>odvojenog sakupljanja reciklabilnih materijala</w:t>
      </w:r>
      <w:r w:rsidRPr="00615350">
        <w:rPr>
          <w:rFonts w:ascii="Times New Roman" w:eastAsia="Times New Roman" w:hAnsi="Times New Roman" w:cs="Times New Roman"/>
          <w:sz w:val="24"/>
          <w:szCs w:val="24"/>
        </w:rPr>
        <w:t xml:space="preserve">: 15% do 2026. godine, 25% do </w:t>
      </w:r>
      <w:r w:rsidRPr="00615350">
        <w:rPr>
          <w:rFonts w:ascii="Times New Roman" w:eastAsia="Times New Roman" w:hAnsi="Times New Roman" w:cs="Times New Roman"/>
          <w:sz w:val="24"/>
          <w:szCs w:val="24"/>
        </w:rPr>
        <w:lastRenderedPageBreak/>
        <w:t>2028. godine i 40% do 2030. godine. Ove ciljeve treba razlikovati od cilja pripreme za ponovnu upotrebu i reciklažu, jer se odnose na različite faze sistema upravljanja otpadom.</w:t>
      </w:r>
    </w:p>
    <w:p w:rsidR="00B85201" w:rsidRPr="00615350" w:rsidRDefault="00B85201" w:rsidP="00AC0EB6">
      <w:pPr>
        <w:rPr>
          <w:rFonts w:ascii="Times New Roman" w:hAnsi="Times New Roman" w:cs="Times New Roman"/>
          <w:b/>
          <w:sz w:val="24"/>
        </w:rPr>
      </w:pPr>
      <w:r w:rsidRPr="00615350">
        <w:rPr>
          <w:rFonts w:ascii="Times New Roman" w:hAnsi="Times New Roman" w:cs="Times New Roman"/>
          <w:b/>
          <w:sz w:val="24"/>
        </w:rPr>
        <w:t>Potencijal osnovnih reciklabilnih frakcija</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procjenu količina osnovnih reciklabilnih materijala koji se mogu očekivati u komunalnom otpadu tokom planskog perioda korišćeni su rezultati morfološke analize sprovedene na teritoriji opštine Berane tokom 2024. godine. Prosječno učešće pojedinih frakcija iznosilo je:</w:t>
      </w:r>
    </w:p>
    <w:p w:rsidR="00B85201" w:rsidRPr="00615350" w:rsidRDefault="00B85201" w:rsidP="00C1197A">
      <w:pPr>
        <w:numPr>
          <w:ilvl w:val="0"/>
          <w:numId w:val="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papir – 4,6%; </w:t>
      </w:r>
    </w:p>
    <w:p w:rsidR="00B85201" w:rsidRPr="00615350" w:rsidRDefault="00B85201" w:rsidP="00C1197A">
      <w:pPr>
        <w:numPr>
          <w:ilvl w:val="0"/>
          <w:numId w:val="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karton – 6,5%; </w:t>
      </w:r>
    </w:p>
    <w:p w:rsidR="00B85201" w:rsidRPr="00615350" w:rsidRDefault="00B85201" w:rsidP="00C1197A">
      <w:pPr>
        <w:numPr>
          <w:ilvl w:val="0"/>
          <w:numId w:val="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analizirane plastične frakcije – 14,5%; </w:t>
      </w:r>
    </w:p>
    <w:p w:rsidR="00B85201" w:rsidRPr="00615350" w:rsidRDefault="00B85201" w:rsidP="00C1197A">
      <w:pPr>
        <w:numPr>
          <w:ilvl w:val="0"/>
          <w:numId w:val="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staklo – 7,7%; </w:t>
      </w:r>
    </w:p>
    <w:p w:rsidR="00B85201" w:rsidRPr="00615350" w:rsidRDefault="00B85201" w:rsidP="00C1197A">
      <w:pPr>
        <w:numPr>
          <w:ilvl w:val="0"/>
          <w:numId w:val="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metali – 3,8%. </w:t>
      </w:r>
    </w:p>
    <w:p w:rsidR="00B85201" w:rsidRPr="00615350" w:rsidRDefault="00AC0EB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Znači,</w:t>
      </w:r>
      <w:r w:rsidR="00B85201" w:rsidRPr="00615350">
        <w:rPr>
          <w:rFonts w:ascii="Times New Roman" w:eastAsia="Times New Roman" w:hAnsi="Times New Roman" w:cs="Times New Roman"/>
          <w:sz w:val="24"/>
          <w:szCs w:val="24"/>
        </w:rPr>
        <w:t xml:space="preserve"> četiri osnovne grupe reciklabilnih materijala – papir i karton, plastika, staklo i metali – prema rezultatima lokalne morfološke analize zajedno čine približno </w:t>
      </w:r>
      <w:r w:rsidR="00B85201" w:rsidRPr="00615350">
        <w:rPr>
          <w:rFonts w:ascii="Times New Roman" w:eastAsia="Times New Roman" w:hAnsi="Times New Roman" w:cs="Times New Roman"/>
          <w:b/>
          <w:bCs/>
          <w:sz w:val="24"/>
          <w:szCs w:val="24"/>
        </w:rPr>
        <w:t>37,1% mase komunalnog otpada</w:t>
      </w:r>
      <w:r w:rsidR="00B85201" w:rsidRPr="00615350">
        <w:rPr>
          <w:rFonts w:ascii="Times New Roman" w:eastAsia="Times New Roman" w:hAnsi="Times New Roman" w:cs="Times New Roman"/>
          <w:sz w:val="24"/>
          <w:szCs w:val="24"/>
        </w:rPr>
        <w:t>.</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Primjenom navedenog morfološkog sastava na količine komunalnog otpada projektovane prema lokalnom scenariju iz potpoglavlja 4.2. dobija se sljedeći teorijski materijalni potencijal:</w:t>
      </w:r>
    </w:p>
    <w:p w:rsidR="00F3669C" w:rsidRPr="00615350" w:rsidRDefault="00F3669C" w:rsidP="00F3669C">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13 Procjene količina reciklabilnih frakcija</w:t>
      </w:r>
    </w:p>
    <w:tbl>
      <w:tblPr>
        <w:tblStyle w:val="LightShading-Accent1"/>
        <w:tblW w:w="0" w:type="auto"/>
        <w:jc w:val="center"/>
        <w:tblLook w:val="04A0" w:firstRow="1" w:lastRow="0" w:firstColumn="1" w:lastColumn="0" w:noHBand="0" w:noVBand="1"/>
      </w:tblPr>
      <w:tblGrid>
        <w:gridCol w:w="805"/>
        <w:gridCol w:w="1950"/>
        <w:gridCol w:w="1494"/>
        <w:gridCol w:w="1372"/>
        <w:gridCol w:w="1383"/>
        <w:gridCol w:w="1505"/>
      </w:tblGrid>
      <w:tr w:rsidR="00B85201" w:rsidRPr="00615350" w:rsidTr="006153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0" w:type="auto"/>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Papir i karton (t/god.)</w:t>
            </w:r>
          </w:p>
        </w:tc>
        <w:tc>
          <w:tcPr>
            <w:tcW w:w="0" w:type="auto"/>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Plastika (t/god.)</w:t>
            </w:r>
          </w:p>
        </w:tc>
        <w:tc>
          <w:tcPr>
            <w:tcW w:w="0" w:type="auto"/>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Staklo (t/god.)</w:t>
            </w:r>
          </w:p>
        </w:tc>
        <w:tc>
          <w:tcPr>
            <w:tcW w:w="0" w:type="auto"/>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Metali (t/god.)</w:t>
            </w:r>
          </w:p>
        </w:tc>
        <w:tc>
          <w:tcPr>
            <w:tcW w:w="0" w:type="auto"/>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Ukupno (t/god.)</w:t>
            </w:r>
          </w:p>
        </w:tc>
      </w:tr>
      <w:tr w:rsidR="00B85201"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2026.</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1.001</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1.308</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695</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343</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3.347</w:t>
            </w:r>
          </w:p>
        </w:tc>
      </w:tr>
      <w:tr w:rsidR="00B85201"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2027.</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1.008</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1.317</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700</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345</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3.370</w:t>
            </w:r>
          </w:p>
        </w:tc>
      </w:tr>
      <w:tr w:rsidR="00B85201"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2028.</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1.015</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1.326</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704</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348</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3.393</w:t>
            </w:r>
          </w:p>
        </w:tc>
      </w:tr>
      <w:tr w:rsidR="00B85201"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2029.</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1.022</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1.336</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709</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350</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3.417</w:t>
            </w:r>
          </w:p>
        </w:tc>
      </w:tr>
    </w:tbl>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i/>
          <w:iCs/>
          <w:sz w:val="24"/>
          <w:szCs w:val="24"/>
        </w:rPr>
        <w:t>Napomena: vrijednosti su zaokružene, pa su moguća minimalna odstupanja između zbira pojedinačnih frakcija i vrijednosti dobijene neposrednim obračunom ukupnog udjela.</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Prikazane količine predstavljaju </w:t>
      </w:r>
      <w:r w:rsidRPr="00615350">
        <w:rPr>
          <w:rFonts w:ascii="Times New Roman" w:eastAsia="Times New Roman" w:hAnsi="Times New Roman" w:cs="Times New Roman"/>
          <w:b/>
          <w:bCs/>
          <w:sz w:val="24"/>
          <w:szCs w:val="24"/>
        </w:rPr>
        <w:t>procijenjenu količinu navedenih materijala sadržanu u ukupno generisanom komunalnom otpadu</w:t>
      </w:r>
      <w:r w:rsidRPr="00615350">
        <w:rPr>
          <w:rFonts w:ascii="Times New Roman" w:eastAsia="Times New Roman" w:hAnsi="Times New Roman" w:cs="Times New Roman"/>
          <w:sz w:val="24"/>
          <w:szCs w:val="24"/>
        </w:rPr>
        <w:t>, a ne količine koje će automatski biti odvojeno sakupljene, pripremljene za ponovnu upotrebu ili reciklirane. Stvarno ostvarene količine zavisiće od obuhvata stanovništva sistemom odvojenog sakupljanja, dinamike uvođenja primarne selekcije, raspoloživosti posuda i mjesta za odvojeno sakupljanje, kvaliteta razdvajanja na mjestu nastanka, organizacije transporta i raspoloživih kapaciteta za sortiranje i dalji tretman.</w:t>
      </w:r>
    </w:p>
    <w:p w:rsidR="00B85201" w:rsidRPr="00615350" w:rsidRDefault="00B85201" w:rsidP="00AC0EB6">
      <w:pPr>
        <w:rPr>
          <w:rFonts w:ascii="Times New Roman" w:hAnsi="Times New Roman" w:cs="Times New Roman"/>
          <w:b/>
          <w:sz w:val="24"/>
        </w:rPr>
      </w:pPr>
      <w:r w:rsidRPr="00615350">
        <w:rPr>
          <w:rFonts w:ascii="Times New Roman" w:hAnsi="Times New Roman" w:cs="Times New Roman"/>
          <w:b/>
          <w:sz w:val="24"/>
        </w:rPr>
        <w:t>Odvojeno sakupljanje reciklabilnih frakcija</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DPUO predviđa postepeno povećanje odvojenog sakupljanja reciklabilnih materijala, sa ciljem od </w:t>
      </w:r>
      <w:r w:rsidRPr="00615350">
        <w:rPr>
          <w:rFonts w:ascii="Times New Roman" w:eastAsia="Times New Roman" w:hAnsi="Times New Roman" w:cs="Times New Roman"/>
          <w:b/>
          <w:bCs/>
          <w:sz w:val="24"/>
          <w:szCs w:val="24"/>
        </w:rPr>
        <w:t>15% do 2026. godine i 25% do 2028. godine</w:t>
      </w:r>
      <w:r w:rsidRPr="00615350">
        <w:rPr>
          <w:rFonts w:ascii="Times New Roman" w:eastAsia="Times New Roman" w:hAnsi="Times New Roman" w:cs="Times New Roman"/>
          <w:sz w:val="24"/>
          <w:szCs w:val="24"/>
        </w:rPr>
        <w:t xml:space="preserve">, dok je za 2030. godinu predviđeno 40%. </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Ako se ovi procenti, za potrebe planskog proračuna, primijene na lokalno procijenjeni potencijal četiri osnovne reciklabilne frakcije, dobija se sljedeći red veličine potrebnog odvojenog sakupljanja:</w:t>
      </w:r>
    </w:p>
    <w:p w:rsidR="00F3669C" w:rsidRPr="00615350" w:rsidRDefault="00F3669C" w:rsidP="00F3669C">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14 Procijenjeni potencijal, cilj odvojenog sakupljanja prema DPUO i odgovarajuće količine</w:t>
      </w:r>
    </w:p>
    <w:tbl>
      <w:tblPr>
        <w:tblStyle w:val="LightShading-Accent1"/>
        <w:tblW w:w="0" w:type="auto"/>
        <w:tblLook w:val="04A0" w:firstRow="1" w:lastRow="0" w:firstColumn="1" w:lastColumn="0" w:noHBand="0" w:noVBand="1"/>
      </w:tblPr>
      <w:tblGrid>
        <w:gridCol w:w="805"/>
        <w:gridCol w:w="2666"/>
        <w:gridCol w:w="2730"/>
        <w:gridCol w:w="2655"/>
      </w:tblGrid>
      <w:tr w:rsidR="00B85201" w:rsidRPr="00615350" w:rsidTr="00615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0" w:type="auto"/>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Procijenjeni potencijal (t/god.)</w:t>
            </w:r>
          </w:p>
        </w:tc>
        <w:tc>
          <w:tcPr>
            <w:tcW w:w="2730" w:type="dxa"/>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Cilj odvojenog sakupljanja prema DPUO</w:t>
            </w:r>
          </w:p>
        </w:tc>
        <w:tc>
          <w:tcPr>
            <w:tcW w:w="2655" w:type="dxa"/>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Odgovarajuća količina*</w:t>
            </w:r>
          </w:p>
        </w:tc>
      </w:tr>
      <w:tr w:rsidR="00B85201"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2026.</w:t>
            </w:r>
          </w:p>
        </w:tc>
        <w:tc>
          <w:tcPr>
            <w:tcW w:w="0" w:type="auto"/>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3.347</w:t>
            </w:r>
          </w:p>
        </w:tc>
        <w:tc>
          <w:tcPr>
            <w:tcW w:w="2730" w:type="dxa"/>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15%</w:t>
            </w:r>
          </w:p>
        </w:tc>
        <w:tc>
          <w:tcPr>
            <w:tcW w:w="2655" w:type="dxa"/>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oko 502 t/god.</w:t>
            </w:r>
          </w:p>
        </w:tc>
      </w:tr>
      <w:tr w:rsidR="00B85201"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2028.</w:t>
            </w:r>
          </w:p>
        </w:tc>
        <w:tc>
          <w:tcPr>
            <w:tcW w:w="0" w:type="auto"/>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3.393</w:t>
            </w:r>
          </w:p>
        </w:tc>
        <w:tc>
          <w:tcPr>
            <w:tcW w:w="2730" w:type="dxa"/>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25%</w:t>
            </w:r>
          </w:p>
        </w:tc>
        <w:tc>
          <w:tcPr>
            <w:tcW w:w="2655" w:type="dxa"/>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oko 848 t/god.</w:t>
            </w:r>
          </w:p>
        </w:tc>
      </w:tr>
    </w:tbl>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*Količine predstavljaju </w:t>
      </w:r>
      <w:r w:rsidRPr="00615350">
        <w:rPr>
          <w:rFonts w:ascii="Times New Roman" w:eastAsia="Times New Roman" w:hAnsi="Times New Roman" w:cs="Times New Roman"/>
          <w:b/>
          <w:bCs/>
          <w:sz w:val="24"/>
          <w:szCs w:val="24"/>
        </w:rPr>
        <w:t>lokalni planski proračun dobijen primjenom procentualnih ciljeva DPUO na procijenjeni lokalni materijalni potencijal</w:t>
      </w:r>
      <w:r w:rsidRPr="00615350">
        <w:rPr>
          <w:rFonts w:ascii="Times New Roman" w:eastAsia="Times New Roman" w:hAnsi="Times New Roman" w:cs="Times New Roman"/>
          <w:sz w:val="24"/>
          <w:szCs w:val="24"/>
        </w:rPr>
        <w:t>, a ne količine koje DPUO neposredno propisuje za opštinu Berane.</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2027. i 2029. godinu DPUO u ovoj dinamici ne daje poseban procentualni međucilj. Zbog toga se u ovom poglavlju ne uvode proizvoljne stope za te godine. Detaljnija dinamika uspostavljanja sistema i godišnje operativne vrijednosti mogu se utvrditi Akcionim planom, u skladu sa stvarnom dinamikom razvoja infrastrukture i sistema odvojenog sakupljanja.</w:t>
      </w:r>
    </w:p>
    <w:p w:rsidR="00AC0EB6" w:rsidRPr="00615350" w:rsidRDefault="00AC0EB6" w:rsidP="00900448">
      <w:pPr>
        <w:spacing w:before="100" w:beforeAutospacing="1" w:after="100" w:afterAutospacing="1"/>
        <w:jc w:val="both"/>
        <w:rPr>
          <w:rFonts w:ascii="Times New Roman" w:eastAsia="Times New Roman" w:hAnsi="Times New Roman" w:cs="Times New Roman"/>
          <w:sz w:val="24"/>
          <w:szCs w:val="24"/>
        </w:rPr>
      </w:pPr>
    </w:p>
    <w:p w:rsidR="00B85201" w:rsidRPr="00615350" w:rsidRDefault="00B85201" w:rsidP="00AC0EB6">
      <w:pPr>
        <w:rPr>
          <w:rFonts w:ascii="Times New Roman" w:hAnsi="Times New Roman" w:cs="Times New Roman"/>
          <w:b/>
          <w:sz w:val="24"/>
        </w:rPr>
      </w:pPr>
      <w:r w:rsidRPr="00615350">
        <w:rPr>
          <w:rFonts w:ascii="Times New Roman" w:hAnsi="Times New Roman" w:cs="Times New Roman"/>
          <w:b/>
          <w:sz w:val="24"/>
        </w:rPr>
        <w:t>Priprema za ponovnu upotrebu i reciklažu</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 ciljeva odvojenog sakupljanja treba odvojeno posmatrati cilj pripreme za ponovnu upotrebu i reciklažu. Za krajnju godinu DPUO, odnosno </w:t>
      </w:r>
      <w:r w:rsidRPr="00615350">
        <w:rPr>
          <w:rFonts w:ascii="Times New Roman" w:eastAsia="Times New Roman" w:hAnsi="Times New Roman" w:cs="Times New Roman"/>
          <w:b/>
          <w:bCs/>
          <w:sz w:val="24"/>
          <w:szCs w:val="24"/>
        </w:rPr>
        <w:t>2029. godinu</w:t>
      </w:r>
      <w:r w:rsidRPr="00615350">
        <w:rPr>
          <w:rFonts w:ascii="Times New Roman" w:eastAsia="Times New Roman" w:hAnsi="Times New Roman" w:cs="Times New Roman"/>
          <w:sz w:val="24"/>
          <w:szCs w:val="24"/>
        </w:rPr>
        <w:t xml:space="preserve">, utvrđen je cilj od najmanje </w:t>
      </w:r>
      <w:r w:rsidRPr="00615350">
        <w:rPr>
          <w:rFonts w:ascii="Times New Roman" w:eastAsia="Times New Roman" w:hAnsi="Times New Roman" w:cs="Times New Roman"/>
          <w:b/>
          <w:bCs/>
          <w:sz w:val="24"/>
          <w:szCs w:val="24"/>
        </w:rPr>
        <w:t>30% papira, metala, plastike i stakla</w:t>
      </w:r>
      <w:r w:rsidRPr="00615350">
        <w:rPr>
          <w:rFonts w:ascii="Times New Roman" w:eastAsia="Times New Roman" w:hAnsi="Times New Roman" w:cs="Times New Roman"/>
          <w:sz w:val="24"/>
          <w:szCs w:val="24"/>
        </w:rPr>
        <w:t xml:space="preserve"> iz domaćinstava i drugih sličnih izvora. </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Primjenom ovog procenta na lokalno procijenjeni materijalni potencijal od oko 3.417 t/god. u 2029. godini dobija se:</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3.417 × 0,30 ≈ 1.025 t/god.</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tome, kao </w:t>
      </w:r>
      <w:r w:rsidRPr="00615350">
        <w:rPr>
          <w:rFonts w:ascii="Times New Roman" w:eastAsia="Times New Roman" w:hAnsi="Times New Roman" w:cs="Times New Roman"/>
          <w:b/>
          <w:bCs/>
          <w:sz w:val="24"/>
          <w:szCs w:val="24"/>
        </w:rPr>
        <w:t>orijentaciona lokalno kvantifikovana vrijednost</w:t>
      </w:r>
      <w:r w:rsidRPr="00615350">
        <w:rPr>
          <w:rFonts w:ascii="Times New Roman" w:eastAsia="Times New Roman" w:hAnsi="Times New Roman" w:cs="Times New Roman"/>
          <w:sz w:val="24"/>
          <w:szCs w:val="24"/>
        </w:rPr>
        <w:t xml:space="preserve">, ostvarivanje cilja DPUO odgovaralo bi pripremi najmanje oko </w:t>
      </w:r>
      <w:r w:rsidRPr="00615350">
        <w:rPr>
          <w:rFonts w:ascii="Times New Roman" w:eastAsia="Times New Roman" w:hAnsi="Times New Roman" w:cs="Times New Roman"/>
          <w:b/>
          <w:bCs/>
          <w:sz w:val="24"/>
          <w:szCs w:val="24"/>
        </w:rPr>
        <w:t>1.025 t/god. papira, kartona, plastike, stakla i metala za ponovnu upotrebu i reciklažu u 2029. godini</w:t>
      </w:r>
      <w:r w:rsidRPr="00615350">
        <w:rPr>
          <w:rFonts w:ascii="Times New Roman" w:eastAsia="Times New Roman" w:hAnsi="Times New Roman" w:cs="Times New Roman"/>
          <w:sz w:val="24"/>
          <w:szCs w:val="24"/>
        </w:rPr>
        <w:t>.</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Ova vrijednost predstavlja proračun za potrebe LPUO Berane, zasnovan na lokalnom morfološkom sastavu i lokalnom scenariju projekcije količina otpada. Ne predstavlja količinu koju DPUO neposredno propisuje za Berane. Zakonski cilj od najmanje 50% do 2030. godine predstavlja naredni nivo koji sistem mora dostići nakon isteka planskog perioda ovog LPUO. </w:t>
      </w:r>
    </w:p>
    <w:p w:rsidR="00B85201" w:rsidRPr="00615350" w:rsidRDefault="00B85201" w:rsidP="00AC0EB6">
      <w:pPr>
        <w:jc w:val="both"/>
        <w:rPr>
          <w:rFonts w:ascii="Times New Roman" w:hAnsi="Times New Roman" w:cs="Times New Roman"/>
          <w:b/>
          <w:sz w:val="24"/>
          <w:szCs w:val="24"/>
        </w:rPr>
      </w:pPr>
      <w:r w:rsidRPr="00615350">
        <w:rPr>
          <w:rFonts w:ascii="Times New Roman" w:hAnsi="Times New Roman" w:cs="Times New Roman"/>
          <w:b/>
          <w:sz w:val="24"/>
          <w:szCs w:val="24"/>
        </w:rPr>
        <w:lastRenderedPageBreak/>
        <w:t>Očekivani sastav osnovnih reciklabilnih frakcija</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osnovu lokalne morfološke analize, najveći potencijal među posmatranim reciklabilnim materijalima ima plastika, zatim papir i karton, staklo i metali. Za 2029. godinu procijenjena struktura je:</w:t>
      </w:r>
    </w:p>
    <w:p w:rsidR="00F3669C" w:rsidRPr="00615350" w:rsidRDefault="00F3669C" w:rsidP="00F3669C">
      <w:pPr>
        <w:spacing w:before="100" w:beforeAutospacing="1" w:after="100" w:afterAutospacing="1"/>
        <w:jc w:val="center"/>
        <w:rPr>
          <w:rFonts w:ascii="Times New Roman" w:eastAsia="Times New Roman" w:hAnsi="Times New Roman" w:cs="Times New Roman"/>
          <w:sz w:val="24"/>
          <w:szCs w:val="24"/>
        </w:rPr>
      </w:pPr>
      <w:bookmarkStart w:id="32" w:name="_GoBack"/>
      <w:bookmarkEnd w:id="32"/>
      <w:r w:rsidRPr="00615350">
        <w:rPr>
          <w:rFonts w:ascii="Times New Roman" w:eastAsia="Times New Roman" w:hAnsi="Times New Roman" w:cs="Times New Roman"/>
          <w:sz w:val="24"/>
          <w:szCs w:val="24"/>
        </w:rPr>
        <w:t>Tabela br. 15 Očekivani sastav osnovnih reciklabilnih frakcija</w:t>
      </w:r>
    </w:p>
    <w:tbl>
      <w:tblPr>
        <w:tblStyle w:val="LightShading-Accent1"/>
        <w:tblW w:w="0" w:type="auto"/>
        <w:jc w:val="center"/>
        <w:tblLook w:val="04A0" w:firstRow="1" w:lastRow="0" w:firstColumn="1" w:lastColumn="0" w:noHBand="0" w:noVBand="1"/>
      </w:tblPr>
      <w:tblGrid>
        <w:gridCol w:w="1428"/>
        <w:gridCol w:w="3303"/>
        <w:gridCol w:w="3204"/>
      </w:tblGrid>
      <w:tr w:rsidR="00615350" w:rsidRPr="00615350" w:rsidTr="006153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b w:val="0"/>
                <w:bCs w:val="0"/>
                <w:color w:val="4F81BD" w:themeColor="accent1"/>
                <w:sz w:val="20"/>
                <w:szCs w:val="24"/>
              </w:rPr>
            </w:pPr>
            <w:r w:rsidRPr="00615350">
              <w:rPr>
                <w:rFonts w:ascii="Times New Roman" w:eastAsia="Times New Roman" w:hAnsi="Times New Roman" w:cs="Times New Roman"/>
                <w:b w:val="0"/>
                <w:bCs w:val="0"/>
                <w:color w:val="4F81BD" w:themeColor="accent1"/>
                <w:sz w:val="20"/>
                <w:szCs w:val="24"/>
              </w:rPr>
              <w:t>Frakcija</w:t>
            </w:r>
          </w:p>
        </w:tc>
        <w:tc>
          <w:tcPr>
            <w:tcW w:w="3303" w:type="dxa"/>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4F81BD" w:themeColor="accent1"/>
                <w:sz w:val="20"/>
                <w:szCs w:val="24"/>
              </w:rPr>
            </w:pPr>
            <w:r w:rsidRPr="00615350">
              <w:rPr>
                <w:rFonts w:ascii="Times New Roman" w:eastAsia="Times New Roman" w:hAnsi="Times New Roman" w:cs="Times New Roman"/>
                <w:b w:val="0"/>
                <w:bCs w:val="0"/>
                <w:color w:val="4F81BD" w:themeColor="accent1"/>
                <w:sz w:val="20"/>
                <w:szCs w:val="24"/>
              </w:rPr>
              <w:t>Procijenjena količina 2029. (t/god.)</w:t>
            </w:r>
          </w:p>
        </w:tc>
        <w:tc>
          <w:tcPr>
            <w:tcW w:w="3204" w:type="dxa"/>
            <w:hideMark/>
          </w:tcPr>
          <w:p w:rsidR="00B85201" w:rsidRPr="00615350" w:rsidRDefault="00B85201"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4F81BD" w:themeColor="accent1"/>
                <w:sz w:val="20"/>
                <w:szCs w:val="24"/>
              </w:rPr>
            </w:pPr>
            <w:r w:rsidRPr="00615350">
              <w:rPr>
                <w:rFonts w:ascii="Times New Roman" w:eastAsia="Times New Roman" w:hAnsi="Times New Roman" w:cs="Times New Roman"/>
                <w:b w:val="0"/>
                <w:bCs w:val="0"/>
                <w:color w:val="4F81BD" w:themeColor="accent1"/>
                <w:sz w:val="20"/>
                <w:szCs w:val="24"/>
              </w:rPr>
              <w:t>Udio u četiri osnovne grupe</w:t>
            </w:r>
          </w:p>
        </w:tc>
      </w:tr>
      <w:tr w:rsidR="00615350"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Plastika</w:t>
            </w:r>
          </w:p>
        </w:tc>
        <w:tc>
          <w:tcPr>
            <w:tcW w:w="3303" w:type="dxa"/>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1.336</w:t>
            </w:r>
          </w:p>
        </w:tc>
        <w:tc>
          <w:tcPr>
            <w:tcW w:w="3204" w:type="dxa"/>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39,1%</w:t>
            </w:r>
          </w:p>
        </w:tc>
      </w:tr>
      <w:tr w:rsidR="00615350"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Papir i karton</w:t>
            </w:r>
          </w:p>
        </w:tc>
        <w:tc>
          <w:tcPr>
            <w:tcW w:w="3303" w:type="dxa"/>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1.022</w:t>
            </w:r>
          </w:p>
        </w:tc>
        <w:tc>
          <w:tcPr>
            <w:tcW w:w="3204" w:type="dxa"/>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29,9%</w:t>
            </w:r>
          </w:p>
        </w:tc>
      </w:tr>
      <w:tr w:rsidR="00615350"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Staklo</w:t>
            </w:r>
          </w:p>
        </w:tc>
        <w:tc>
          <w:tcPr>
            <w:tcW w:w="3303" w:type="dxa"/>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709</w:t>
            </w:r>
          </w:p>
        </w:tc>
        <w:tc>
          <w:tcPr>
            <w:tcW w:w="3204" w:type="dxa"/>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20,8%</w:t>
            </w:r>
          </w:p>
        </w:tc>
      </w:tr>
      <w:tr w:rsidR="00615350"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Metali</w:t>
            </w:r>
          </w:p>
        </w:tc>
        <w:tc>
          <w:tcPr>
            <w:tcW w:w="3303" w:type="dxa"/>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350</w:t>
            </w:r>
          </w:p>
        </w:tc>
        <w:tc>
          <w:tcPr>
            <w:tcW w:w="3204" w:type="dxa"/>
            <w:hideMark/>
          </w:tcPr>
          <w:p w:rsidR="00B85201" w:rsidRPr="00615350" w:rsidRDefault="00B85201"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color w:val="4F81BD" w:themeColor="accent1"/>
                <w:sz w:val="20"/>
                <w:szCs w:val="24"/>
              </w:rPr>
              <w:t>10,2%</w:t>
            </w:r>
          </w:p>
        </w:tc>
      </w:tr>
      <w:tr w:rsidR="00615350"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B85201" w:rsidRPr="00615350" w:rsidRDefault="00B85201" w:rsidP="00900448">
            <w:pPr>
              <w:jc w:val="both"/>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b w:val="0"/>
                <w:bCs w:val="0"/>
                <w:color w:val="4F81BD" w:themeColor="accent1"/>
                <w:sz w:val="20"/>
                <w:szCs w:val="24"/>
              </w:rPr>
              <w:t>Ukupno</w:t>
            </w:r>
          </w:p>
        </w:tc>
        <w:tc>
          <w:tcPr>
            <w:tcW w:w="3303" w:type="dxa"/>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b/>
                <w:bCs/>
                <w:color w:val="4F81BD" w:themeColor="accent1"/>
                <w:sz w:val="20"/>
                <w:szCs w:val="24"/>
              </w:rPr>
              <w:t>3.417</w:t>
            </w:r>
          </w:p>
        </w:tc>
        <w:tc>
          <w:tcPr>
            <w:tcW w:w="3204" w:type="dxa"/>
            <w:hideMark/>
          </w:tcPr>
          <w:p w:rsidR="00B85201" w:rsidRPr="00615350" w:rsidRDefault="00B85201"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4F81BD" w:themeColor="accent1"/>
                <w:sz w:val="20"/>
                <w:szCs w:val="24"/>
              </w:rPr>
            </w:pPr>
            <w:r w:rsidRPr="00615350">
              <w:rPr>
                <w:rFonts w:ascii="Times New Roman" w:eastAsia="Times New Roman" w:hAnsi="Times New Roman" w:cs="Times New Roman"/>
                <w:b/>
                <w:bCs/>
                <w:color w:val="4F81BD" w:themeColor="accent1"/>
                <w:sz w:val="20"/>
                <w:szCs w:val="24"/>
              </w:rPr>
              <w:t>100%</w:t>
            </w:r>
          </w:p>
        </w:tc>
      </w:tr>
    </w:tbl>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Ovakva struktura predstavlja osnovu za planiranje sistema primarne selekcije, vrste i broja posuda, organizacije sakupljanja i transporta i potrebnih kapaciteta za prijem i sortiranje odvojeno sakupljenih materijala. Međutim, prilikom dimenzionisanja infrastrukture treba uzeti u obzir i referentnu projekciju DPUO za Berane, koja za 2029. godinu predviđa veću ukupnu količinu komunalnog otpada od lokalnog scenarija prikazanog u potpoglavlju 4.2.</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Pored četiri osnovne grupe reciklabilnih materijala, morfološka analiza pokazuje prisustvo i drugih frakcija koje mogu biti predmet odvojenog sakupljanja, uključujući tekstil, drvo i električni i elektronski otpad. Zbog posebnih zahtjeva za njihovo sakupljanje i dalje postupanje, ovi tokovi nijesu uključeni u prethodni proračun.</w:t>
      </w:r>
    </w:p>
    <w:p w:rsidR="00B85201" w:rsidRPr="00615350" w:rsidRDefault="00B85201"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Biootpad takođe nije uključen u ovaj proračun. Zbog njegovog visokog učešća u morfološkom sastavu komunalnog otpada (</w:t>
      </w:r>
      <w:r w:rsidRPr="00615350">
        <w:rPr>
          <w:rFonts w:ascii="Times New Roman" w:eastAsia="Times New Roman" w:hAnsi="Times New Roman" w:cs="Times New Roman"/>
          <w:b/>
          <w:bCs/>
          <w:sz w:val="24"/>
          <w:szCs w:val="24"/>
        </w:rPr>
        <w:t>33,3%</w:t>
      </w:r>
      <w:r w:rsidRPr="00615350">
        <w:rPr>
          <w:rFonts w:ascii="Times New Roman" w:eastAsia="Times New Roman" w:hAnsi="Times New Roman" w:cs="Times New Roman"/>
          <w:sz w:val="24"/>
          <w:szCs w:val="24"/>
        </w:rPr>
        <w:t xml:space="preserve">) i posebnih ciljeva i načina biološkog tretmana, projekcija biootpada obrađuje se zasebno u potpoglavlju </w:t>
      </w:r>
      <w:r w:rsidRPr="00615350">
        <w:rPr>
          <w:rFonts w:ascii="Times New Roman" w:eastAsia="Times New Roman" w:hAnsi="Times New Roman" w:cs="Times New Roman"/>
          <w:b/>
          <w:bCs/>
          <w:sz w:val="24"/>
          <w:szCs w:val="24"/>
        </w:rPr>
        <w:t>4.4.</w:t>
      </w:r>
    </w:p>
    <w:p w:rsidR="00BE4E44" w:rsidRPr="00615350" w:rsidRDefault="00BE4E44" w:rsidP="005A7AB1">
      <w:pPr>
        <w:pStyle w:val="Heading2"/>
        <w:rPr>
          <w:rFonts w:eastAsia="Times New Roman"/>
        </w:rPr>
      </w:pPr>
      <w:bookmarkStart w:id="33" w:name="_Toc240282291"/>
      <w:r w:rsidRPr="00615350">
        <w:rPr>
          <w:rFonts w:eastAsia="Times New Roman"/>
        </w:rPr>
        <w:t>4.4. Projekcija biootpada i neopasnog građevinskog otpada</w:t>
      </w:r>
      <w:bookmarkEnd w:id="33"/>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Biootpad i neopasni građevinski otpad predstavljaju tokove koji se, zbog načina nastanka, sakupljanja i tretmana, razmatraju odvojeno od osnovnih reciklabilnih frakcija komunalnog otpada. Projekcija biootpada zasniva se prvenstveno na rezultatima lokalne morfološke analize komunalnog otpada sprovedene tokom 2024. godine, dok se procjena neopasnog građevinskog otpada zasniva na raspoloživim evidencijama DOO „Komunalno“ Berane za period 2022–2025. godine, uz uvažavanje njihovih metodoloških ograničenja.</w:t>
      </w:r>
    </w:p>
    <w:p w:rsidR="006D15D6" w:rsidRPr="00615350" w:rsidRDefault="006D15D6" w:rsidP="003F44B5">
      <w:pPr>
        <w:rPr>
          <w:rFonts w:ascii="Times New Roman" w:hAnsi="Times New Roman" w:cs="Times New Roman"/>
          <w:b/>
          <w:sz w:val="24"/>
        </w:rPr>
      </w:pPr>
      <w:r w:rsidRPr="00615350">
        <w:rPr>
          <w:rFonts w:ascii="Times New Roman" w:hAnsi="Times New Roman" w:cs="Times New Roman"/>
          <w:b/>
          <w:sz w:val="24"/>
        </w:rPr>
        <w:t>Projekcija biootpada</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Rezultati četiri sezonske kampanje morfološke analize iz 2024. godine pokazali su da je kategorija </w:t>
      </w:r>
      <w:r w:rsidRPr="00615350">
        <w:rPr>
          <w:rFonts w:ascii="Times New Roman" w:eastAsia="Times New Roman" w:hAnsi="Times New Roman" w:cs="Times New Roman"/>
          <w:b/>
          <w:bCs/>
          <w:sz w:val="24"/>
          <w:szCs w:val="24"/>
        </w:rPr>
        <w:t>biorazgradivog otpada</w:t>
      </w:r>
      <w:r w:rsidRPr="00615350">
        <w:rPr>
          <w:rFonts w:ascii="Times New Roman" w:eastAsia="Times New Roman" w:hAnsi="Times New Roman" w:cs="Times New Roman"/>
          <w:sz w:val="24"/>
          <w:szCs w:val="24"/>
        </w:rPr>
        <w:t xml:space="preserve"> prosječno učestvovala sa </w:t>
      </w:r>
      <w:r w:rsidRPr="00615350">
        <w:rPr>
          <w:rFonts w:ascii="Times New Roman" w:eastAsia="Times New Roman" w:hAnsi="Times New Roman" w:cs="Times New Roman"/>
          <w:b/>
          <w:bCs/>
          <w:sz w:val="24"/>
          <w:szCs w:val="24"/>
        </w:rPr>
        <w:t>33,3%</w:t>
      </w:r>
      <w:r w:rsidRPr="00615350">
        <w:rPr>
          <w:rFonts w:ascii="Times New Roman" w:eastAsia="Times New Roman" w:hAnsi="Times New Roman" w:cs="Times New Roman"/>
          <w:sz w:val="24"/>
          <w:szCs w:val="24"/>
        </w:rPr>
        <w:t xml:space="preserve"> u analiziranom miješanom komunalnom otpadu. Učešće ove frakcije značajno je variralo sezonski, od 21,5% tokom ljetnje do 51,0% tokom zimske kampanje. </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Kako su papir i karton u morfološkoj analizi evidentirani kao posebne frakcije, udio od 33,3% u ovom proračunu koristi se kao lokalna osnova za procjenu </w:t>
      </w:r>
      <w:r w:rsidRPr="00615350">
        <w:rPr>
          <w:rFonts w:ascii="Times New Roman" w:eastAsia="Times New Roman" w:hAnsi="Times New Roman" w:cs="Times New Roman"/>
          <w:b/>
          <w:bCs/>
          <w:sz w:val="24"/>
          <w:szCs w:val="24"/>
        </w:rPr>
        <w:t>organskog dijela komunalnog otpada pogodnog za biološki tretman</w:t>
      </w:r>
      <w:r w:rsidRPr="00615350">
        <w:rPr>
          <w:rFonts w:ascii="Times New Roman" w:eastAsia="Times New Roman" w:hAnsi="Times New Roman" w:cs="Times New Roman"/>
          <w:sz w:val="24"/>
          <w:szCs w:val="24"/>
        </w:rPr>
        <w:t>, prvenstveno otpada od hrane i kuhinjskog otpada, kao i zelenog i baštenskog otpada. Ovu projekcionu kategoriju ne treba poistovjećivati sa širim zakonskim pojmom biološki razgradivog otpada, koji obuhvata i papir i karton.</w:t>
      </w:r>
    </w:p>
    <w:p w:rsidR="005A7AB1"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Primjenom prosječnog učešća od 33,3% na količine komunalnog otpada projektovane prema lokalnom scenariju iz potpoglavlja 4.2. dobija se sljedeći teorijski potencijal:</w:t>
      </w:r>
    </w:p>
    <w:p w:rsidR="005A7AB1" w:rsidRPr="00615350" w:rsidRDefault="005A7AB1" w:rsidP="005A7AB1">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16 Projekcija biootpada</w:t>
      </w:r>
    </w:p>
    <w:tbl>
      <w:tblPr>
        <w:tblStyle w:val="LightShading-Accent1"/>
        <w:tblW w:w="0" w:type="auto"/>
        <w:jc w:val="center"/>
        <w:tblLook w:val="04A0" w:firstRow="1" w:lastRow="0" w:firstColumn="1" w:lastColumn="0" w:noHBand="0" w:noVBand="1"/>
      </w:tblPr>
      <w:tblGrid>
        <w:gridCol w:w="805"/>
        <w:gridCol w:w="3284"/>
        <w:gridCol w:w="2966"/>
        <w:gridCol w:w="2188"/>
      </w:tblGrid>
      <w:tr w:rsidR="006D15D6" w:rsidRPr="00615350" w:rsidTr="006153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0" w:type="auto"/>
            <w:hideMark/>
          </w:tcPr>
          <w:p w:rsidR="006D15D6" w:rsidRPr="00615350" w:rsidRDefault="006D15D6"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Projektovana količina komunalnog otpada (t/god.)</w:t>
            </w:r>
          </w:p>
        </w:tc>
        <w:tc>
          <w:tcPr>
            <w:tcW w:w="0" w:type="auto"/>
            <w:hideMark/>
          </w:tcPr>
          <w:p w:rsidR="006D15D6" w:rsidRPr="00615350" w:rsidRDefault="006D15D6"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Učešće organske/biorazgradive frakcije</w:t>
            </w:r>
          </w:p>
        </w:tc>
        <w:tc>
          <w:tcPr>
            <w:tcW w:w="0" w:type="auto"/>
            <w:hideMark/>
          </w:tcPr>
          <w:p w:rsidR="006D15D6" w:rsidRPr="00615350" w:rsidRDefault="006D15D6"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Procijenjeni potencijal (t/god.)</w:t>
            </w:r>
          </w:p>
        </w:tc>
      </w:tr>
      <w:tr w:rsidR="006D15D6"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2026.</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9.022</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33,3%</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3.004</w:t>
            </w:r>
          </w:p>
        </w:tc>
      </w:tr>
      <w:tr w:rsidR="006D15D6"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2027.</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9.085</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33,3%</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3.025</w:t>
            </w:r>
          </w:p>
        </w:tc>
      </w:tr>
      <w:tr w:rsidR="006D15D6"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2028.</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9.148</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33,3%</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3.046</w:t>
            </w:r>
          </w:p>
        </w:tc>
      </w:tr>
      <w:tr w:rsidR="006D15D6"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2029.</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9.211</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33,3%</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3.067</w:t>
            </w:r>
          </w:p>
        </w:tc>
      </w:tr>
    </w:tbl>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Prikazane količine predstavljaju </w:t>
      </w:r>
      <w:r w:rsidRPr="00615350">
        <w:rPr>
          <w:rFonts w:ascii="Times New Roman" w:eastAsia="Times New Roman" w:hAnsi="Times New Roman" w:cs="Times New Roman"/>
          <w:b/>
          <w:bCs/>
          <w:sz w:val="24"/>
          <w:szCs w:val="24"/>
        </w:rPr>
        <w:t>procijenjeni ukupni potencijal ove frakcije sadržane u generisanom komunalnom otpadu</w:t>
      </w:r>
      <w:r w:rsidRPr="00615350">
        <w:rPr>
          <w:rFonts w:ascii="Times New Roman" w:eastAsia="Times New Roman" w:hAnsi="Times New Roman" w:cs="Times New Roman"/>
          <w:sz w:val="24"/>
          <w:szCs w:val="24"/>
        </w:rPr>
        <w:t>, a ne količinu koja će u cjelosti biti odvojeno sakupljena ili biološki obrađena. Dio otpada može biti spriječen ili obrađen na mjestu nastanka, naročito kućnim kompostiranjem, dok će dio biti potrebno obuhvatiti organizovanim sistemom odvojenog sakupljanja.</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Ove vrijednosti treba razlikovati od operativnih evidencija DOO „Komunalno“. U lokalnom sistemu je tokom perioda 2022–2025. posebno evidentirano približno </w:t>
      </w:r>
      <w:r w:rsidRPr="00615350">
        <w:rPr>
          <w:rFonts w:ascii="Times New Roman" w:eastAsia="Times New Roman" w:hAnsi="Times New Roman" w:cs="Times New Roman"/>
          <w:b/>
          <w:bCs/>
          <w:sz w:val="24"/>
          <w:szCs w:val="24"/>
        </w:rPr>
        <w:t>950–1.050 t/god. biorazgradivog, drvnog, odnosno parkovskog otpada</w:t>
      </w:r>
      <w:r w:rsidRPr="00615350">
        <w:rPr>
          <w:rFonts w:ascii="Times New Roman" w:eastAsia="Times New Roman" w:hAnsi="Times New Roman" w:cs="Times New Roman"/>
          <w:sz w:val="24"/>
          <w:szCs w:val="24"/>
        </w:rPr>
        <w:t xml:space="preserve">, pri čemu je za 2025. godinu evidentirano oko </w:t>
      </w:r>
      <w:r w:rsidRPr="00615350">
        <w:rPr>
          <w:rFonts w:ascii="Times New Roman" w:eastAsia="Times New Roman" w:hAnsi="Times New Roman" w:cs="Times New Roman"/>
          <w:b/>
          <w:bCs/>
          <w:sz w:val="24"/>
          <w:szCs w:val="24"/>
        </w:rPr>
        <w:t>1.020 t</w:t>
      </w:r>
      <w:r w:rsidRPr="00615350">
        <w:rPr>
          <w:rFonts w:ascii="Times New Roman" w:eastAsia="Times New Roman" w:hAnsi="Times New Roman" w:cs="Times New Roman"/>
          <w:sz w:val="24"/>
          <w:szCs w:val="24"/>
        </w:rPr>
        <w:t>. Ova količina predstavlja tok kojim Komunalno već upravlja i ne može se tumačiti kao ukupna količina biootpada nastala na teritoriji opštine.</w:t>
      </w:r>
    </w:p>
    <w:p w:rsidR="006D15D6" w:rsidRPr="00615350" w:rsidRDefault="006D15D6" w:rsidP="003F44B5">
      <w:pPr>
        <w:rPr>
          <w:rFonts w:ascii="Times New Roman" w:hAnsi="Times New Roman" w:cs="Times New Roman"/>
          <w:b/>
          <w:sz w:val="24"/>
        </w:rPr>
      </w:pPr>
      <w:r w:rsidRPr="00615350">
        <w:rPr>
          <w:rFonts w:ascii="Times New Roman" w:hAnsi="Times New Roman" w:cs="Times New Roman"/>
          <w:b/>
          <w:sz w:val="24"/>
        </w:rPr>
        <w:t>Planski zahtjevi za biootpad</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utvrđuje više međusobno povezanih ciljeva za biootpad. Predviđeno je da se </w:t>
      </w:r>
      <w:r w:rsidRPr="00615350">
        <w:rPr>
          <w:rFonts w:ascii="Times New Roman" w:eastAsia="Times New Roman" w:hAnsi="Times New Roman" w:cs="Times New Roman"/>
          <w:b/>
          <w:bCs/>
          <w:sz w:val="24"/>
          <w:szCs w:val="24"/>
        </w:rPr>
        <w:t>17% biootpada odvojeno sakuplja do 31. decembra 2026. godine</w:t>
      </w:r>
      <w:r w:rsidRPr="00615350">
        <w:rPr>
          <w:rFonts w:ascii="Times New Roman" w:eastAsia="Times New Roman" w:hAnsi="Times New Roman" w:cs="Times New Roman"/>
          <w:sz w:val="24"/>
          <w:szCs w:val="24"/>
        </w:rPr>
        <w:t xml:space="preserve">, dok je za 2030. godinu predviđeno 27%. Za zeleni otpad utvrđen je cilj odvojenog sakupljanja od </w:t>
      </w:r>
      <w:r w:rsidRPr="00615350">
        <w:rPr>
          <w:rFonts w:ascii="Times New Roman" w:eastAsia="Times New Roman" w:hAnsi="Times New Roman" w:cs="Times New Roman"/>
          <w:b/>
          <w:bCs/>
          <w:sz w:val="24"/>
          <w:szCs w:val="24"/>
        </w:rPr>
        <w:t>50% do 2026. godine i 60% do 2030. godine</w:t>
      </w:r>
      <w:r w:rsidRPr="00615350">
        <w:rPr>
          <w:rFonts w:ascii="Times New Roman" w:eastAsia="Times New Roman" w:hAnsi="Times New Roman" w:cs="Times New Roman"/>
          <w:sz w:val="24"/>
          <w:szCs w:val="24"/>
        </w:rPr>
        <w:t xml:space="preserve">, a za kućno kompostiranje najmanje </w:t>
      </w:r>
      <w:r w:rsidRPr="00615350">
        <w:rPr>
          <w:rFonts w:ascii="Times New Roman" w:eastAsia="Times New Roman" w:hAnsi="Times New Roman" w:cs="Times New Roman"/>
          <w:b/>
          <w:bCs/>
          <w:sz w:val="24"/>
          <w:szCs w:val="24"/>
        </w:rPr>
        <w:t>4% biootpada do kraja 2026. godine</w:t>
      </w:r>
      <w:r w:rsidRPr="00615350">
        <w:rPr>
          <w:rFonts w:ascii="Times New Roman" w:eastAsia="Times New Roman" w:hAnsi="Times New Roman" w:cs="Times New Roman"/>
          <w:sz w:val="24"/>
          <w:szCs w:val="24"/>
        </w:rPr>
        <w:t xml:space="preserve">. </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Ako se cilj od 17% odvojeno sakupljenog biootpada orijentaciono primijeni na lokalno procijenjeni potencijal za 2026. godinu od oko 3.004 t, dobija se približno:</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3.004 × 0,17 ≈ 511 t/god.</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Ova vrijednost predstavlja </w:t>
      </w:r>
      <w:r w:rsidRPr="00615350">
        <w:rPr>
          <w:rFonts w:ascii="Times New Roman" w:eastAsia="Times New Roman" w:hAnsi="Times New Roman" w:cs="Times New Roman"/>
          <w:b/>
          <w:bCs/>
          <w:sz w:val="24"/>
          <w:szCs w:val="24"/>
        </w:rPr>
        <w:t>lokalni planski proračun</w:t>
      </w:r>
      <w:r w:rsidRPr="00615350">
        <w:rPr>
          <w:rFonts w:ascii="Times New Roman" w:eastAsia="Times New Roman" w:hAnsi="Times New Roman" w:cs="Times New Roman"/>
          <w:sz w:val="24"/>
          <w:szCs w:val="24"/>
        </w:rPr>
        <w:t>, a ne količinu koju DPUO neposredno propisuje Opštini Berane.</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Primjena cilja od 4% kućnog kompostiranja na isti potencijal daje približno:</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3.004 × 0,04 ≈ 120 t/god.</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odnosno red veličine biootpada koji bi mogao biti obrađen na mjestu nastanka kroz kućno kompostiranje. Ovu količinu treba posmatrati kao plansku orijentaciju za razvoj programa kućnog kompostiranja, a ne kao već ostvarenu vrijednost.</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Navedene dvije količine </w:t>
      </w:r>
      <w:r w:rsidRPr="00615350">
        <w:rPr>
          <w:rFonts w:ascii="Times New Roman" w:eastAsia="Times New Roman" w:hAnsi="Times New Roman" w:cs="Times New Roman"/>
          <w:b/>
          <w:bCs/>
          <w:sz w:val="24"/>
          <w:szCs w:val="24"/>
        </w:rPr>
        <w:t>ne treba automatski sabirati</w:t>
      </w:r>
      <w:r w:rsidRPr="00615350">
        <w:rPr>
          <w:rFonts w:ascii="Times New Roman" w:eastAsia="Times New Roman" w:hAnsi="Times New Roman" w:cs="Times New Roman"/>
          <w:sz w:val="24"/>
          <w:szCs w:val="24"/>
        </w:rPr>
        <w:t>, jer DPUO različito definiše ciljeve odvojenog sakupljanja i kućnog kompostiranja, a bez detaljnije metodologije nije opravdano pretpostaviti da se njihove obračunske osnove u potpunosti isključuju.</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dodatno utvrđuje cilj </w:t>
      </w:r>
      <w:r w:rsidRPr="00615350">
        <w:rPr>
          <w:rFonts w:ascii="Times New Roman" w:eastAsia="Times New Roman" w:hAnsi="Times New Roman" w:cs="Times New Roman"/>
          <w:b/>
          <w:bCs/>
          <w:sz w:val="24"/>
          <w:szCs w:val="24"/>
        </w:rPr>
        <w:t>smanjenja otpada od hrane po stanovniku za 15% do 2029. godine</w:t>
      </w:r>
      <w:r w:rsidRPr="00615350">
        <w:rPr>
          <w:rFonts w:ascii="Times New Roman" w:eastAsia="Times New Roman" w:hAnsi="Times New Roman" w:cs="Times New Roman"/>
          <w:sz w:val="24"/>
          <w:szCs w:val="24"/>
        </w:rPr>
        <w:t>, pri čemu se kućno kompostiranje navodi kao jedna od mjera za ostvarivanje ciljeva prevencije. S obzirom na to da lokalna morfološka analiza ne izdvaja posebno masu otpada od hrane od ostalog organskog otpada, ovaj cilj se u ovom poglavlju ne može pouzdano pretvoriti u lokalnu količinu tona bez dodatnih podataka.</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takođe predviđa da do </w:t>
      </w:r>
      <w:r w:rsidRPr="00615350">
        <w:rPr>
          <w:rFonts w:ascii="Times New Roman" w:eastAsia="Times New Roman" w:hAnsi="Times New Roman" w:cs="Times New Roman"/>
          <w:b/>
          <w:bCs/>
          <w:sz w:val="24"/>
          <w:szCs w:val="24"/>
        </w:rPr>
        <w:t>1. januara 2027. godine komunalni biootpad bude odvojeno sakupljan ili recikliran na izvoru</w:t>
      </w:r>
      <w:r w:rsidRPr="00615350">
        <w:rPr>
          <w:rFonts w:ascii="Times New Roman" w:eastAsia="Times New Roman" w:hAnsi="Times New Roman" w:cs="Times New Roman"/>
          <w:sz w:val="24"/>
          <w:szCs w:val="24"/>
        </w:rPr>
        <w:t xml:space="preserve">, uz izradu studija potrebnih kapaciteta za biološku obradu i planiranje opreme za kompostiranje u domaćinstvima. Važeći Zakon dodatno propisuje da se od 1. januara 2027. komunalni biootpad koji ulazi u aerobnu ili anaerobnu obradu može računati kao recikliran samo ako je odvojeno sakupljen ili recikliran na izvoru. </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Berane kućno kompostiranje ima poseban potencijal u individualnim i ruralnim domaćinstvima, dok je za zeleni i parkovski otpad racionalno razvijati organizovano odvojeno sakupljanje. U okviru sjevernog regionalnog sistema DPUO predviđa postrojenje za kompostiranje u Bijelom Polju, indikativnog kapaciteta </w:t>
      </w:r>
      <w:r w:rsidRPr="00615350">
        <w:rPr>
          <w:rFonts w:ascii="Times New Roman" w:eastAsia="Times New Roman" w:hAnsi="Times New Roman" w:cs="Times New Roman"/>
          <w:b/>
          <w:bCs/>
          <w:sz w:val="24"/>
          <w:szCs w:val="24"/>
        </w:rPr>
        <w:t>5.069 t/god.</w:t>
      </w:r>
      <w:r w:rsidRPr="00615350">
        <w:rPr>
          <w:rFonts w:ascii="Times New Roman" w:eastAsia="Times New Roman" w:hAnsi="Times New Roman" w:cs="Times New Roman"/>
          <w:sz w:val="24"/>
          <w:szCs w:val="24"/>
        </w:rPr>
        <w:t xml:space="preserve"> Konačan model postupanja sa biootpadom iz Berana treba uskladiti sa tempom razvoja lokalnog sistema i realizacijom regionalne infrastrukture.</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Poseban cilj smanjenja količine </w:t>
      </w:r>
      <w:r w:rsidRPr="00615350">
        <w:rPr>
          <w:rFonts w:ascii="Times New Roman" w:eastAsia="Times New Roman" w:hAnsi="Times New Roman" w:cs="Times New Roman"/>
          <w:b/>
          <w:bCs/>
          <w:sz w:val="24"/>
          <w:szCs w:val="24"/>
        </w:rPr>
        <w:t>biološki razgradivog komunalnog otpada koji se odlaže</w:t>
      </w:r>
      <w:r w:rsidRPr="00615350">
        <w:rPr>
          <w:rFonts w:ascii="Times New Roman" w:eastAsia="Times New Roman" w:hAnsi="Times New Roman" w:cs="Times New Roman"/>
          <w:sz w:val="24"/>
          <w:szCs w:val="24"/>
        </w:rPr>
        <w:t xml:space="preserve"> ne treba miješati sa prethodno navedenim ciljevima za biootpad. Član 27 Zakona propisuje da do 31. decembra 2029. količina biološki razgradivog komunalnog otpada koja se odlaže treba da bude smanjena na najviše </w:t>
      </w:r>
      <w:r w:rsidRPr="00615350">
        <w:rPr>
          <w:rFonts w:ascii="Times New Roman" w:eastAsia="Times New Roman" w:hAnsi="Times New Roman" w:cs="Times New Roman"/>
          <w:b/>
          <w:bCs/>
          <w:sz w:val="24"/>
          <w:szCs w:val="24"/>
        </w:rPr>
        <w:t>50% mase proizvedene 2010. godine</w:t>
      </w:r>
      <w:r w:rsidRPr="00615350">
        <w:rPr>
          <w:rFonts w:ascii="Times New Roman" w:eastAsia="Times New Roman" w:hAnsi="Times New Roman" w:cs="Times New Roman"/>
          <w:sz w:val="24"/>
          <w:szCs w:val="24"/>
        </w:rPr>
        <w:t>. Za lokalno kvantifikovanje ovog cilja potreban je pouzdan podatak o količini biološki razgradivog komunalnog otpada proizvedenog u Beranama 2010. godine; bez tog podatka procenat se ne može metodološki ispravno pretvoriti u lokalnu tonažu.</w:t>
      </w:r>
    </w:p>
    <w:p w:rsidR="006D15D6" w:rsidRPr="00615350" w:rsidRDefault="006D15D6" w:rsidP="00857A24">
      <w:pPr>
        <w:rPr>
          <w:rFonts w:ascii="Times New Roman" w:hAnsi="Times New Roman" w:cs="Times New Roman"/>
          <w:b/>
          <w:sz w:val="24"/>
        </w:rPr>
      </w:pPr>
      <w:r w:rsidRPr="00615350">
        <w:rPr>
          <w:rFonts w:ascii="Times New Roman" w:hAnsi="Times New Roman" w:cs="Times New Roman"/>
          <w:b/>
          <w:sz w:val="24"/>
        </w:rPr>
        <w:t>Projekcija neopasnog građevinskog otpada</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neopasni građevinski otpad ne postoji jednako pouzdana lokalna osnova za projekciju kao za komunalni otpad. Prema dostavljenim podacima, u periodu 2022–2025. godine u lokalnom sistemu evidentirana je zbirna kategorija </w:t>
      </w:r>
      <w:r w:rsidRPr="00615350">
        <w:rPr>
          <w:rFonts w:ascii="Times New Roman" w:eastAsia="Times New Roman" w:hAnsi="Times New Roman" w:cs="Times New Roman"/>
          <w:b/>
          <w:bCs/>
          <w:sz w:val="24"/>
          <w:szCs w:val="24"/>
        </w:rPr>
        <w:t>„zemlja, kamen i građevinski otpad“</w:t>
      </w:r>
      <w:r w:rsidRPr="00615350">
        <w:rPr>
          <w:rFonts w:ascii="Times New Roman" w:eastAsia="Times New Roman" w:hAnsi="Times New Roman" w:cs="Times New Roman"/>
          <w:sz w:val="24"/>
          <w:szCs w:val="24"/>
        </w:rPr>
        <w:t>:</w:t>
      </w:r>
    </w:p>
    <w:p w:rsidR="005A7AB1" w:rsidRPr="00615350" w:rsidRDefault="005A7AB1" w:rsidP="005A7AB1">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Tabela br. 17 Projekcija neopasnog građevinskog otpada</w:t>
      </w:r>
    </w:p>
    <w:tbl>
      <w:tblPr>
        <w:tblStyle w:val="LightShading-Accent1"/>
        <w:tblW w:w="0" w:type="auto"/>
        <w:jc w:val="center"/>
        <w:tblLook w:val="04A0" w:firstRow="1" w:lastRow="0" w:firstColumn="1" w:lastColumn="0" w:noHBand="0" w:noVBand="1"/>
      </w:tblPr>
      <w:tblGrid>
        <w:gridCol w:w="805"/>
        <w:gridCol w:w="3643"/>
      </w:tblGrid>
      <w:tr w:rsidR="006D15D6" w:rsidRPr="00615350" w:rsidTr="006153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0" w:type="auto"/>
            <w:hideMark/>
          </w:tcPr>
          <w:p w:rsidR="006D15D6" w:rsidRPr="00615350" w:rsidRDefault="006D15D6"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Zemlja, kamen i građevinski otpad (t/god.)</w:t>
            </w:r>
          </w:p>
        </w:tc>
      </w:tr>
      <w:tr w:rsidR="006D15D6"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2022.</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1.660</w:t>
            </w:r>
          </w:p>
        </w:tc>
      </w:tr>
      <w:tr w:rsidR="006D15D6"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2023.</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1.500</w:t>
            </w:r>
          </w:p>
        </w:tc>
      </w:tr>
      <w:tr w:rsidR="006D15D6"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2024.</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1.650</w:t>
            </w:r>
          </w:p>
        </w:tc>
      </w:tr>
      <w:tr w:rsidR="006D15D6"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2025.</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1.760</w:t>
            </w:r>
          </w:p>
        </w:tc>
      </w:tr>
    </w:tbl>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Prosječna evidentirana količina u posmatranom periodu iznosi približno </w:t>
      </w:r>
      <w:r w:rsidRPr="00615350">
        <w:rPr>
          <w:rFonts w:ascii="Times New Roman" w:eastAsia="Times New Roman" w:hAnsi="Times New Roman" w:cs="Times New Roman"/>
          <w:b/>
          <w:bCs/>
          <w:sz w:val="24"/>
          <w:szCs w:val="24"/>
        </w:rPr>
        <w:t>1.643 t/god.</w:t>
      </w:r>
      <w:r w:rsidRPr="00615350">
        <w:rPr>
          <w:rFonts w:ascii="Times New Roman" w:eastAsia="Times New Roman" w:hAnsi="Times New Roman" w:cs="Times New Roman"/>
          <w:sz w:val="24"/>
          <w:szCs w:val="24"/>
        </w:rPr>
        <w:t xml:space="preserve">, dok se godišnje vrijednosti kreću u rasponu od oko </w:t>
      </w:r>
      <w:r w:rsidRPr="00615350">
        <w:rPr>
          <w:rFonts w:ascii="Times New Roman" w:eastAsia="Times New Roman" w:hAnsi="Times New Roman" w:cs="Times New Roman"/>
          <w:b/>
          <w:bCs/>
          <w:sz w:val="24"/>
          <w:szCs w:val="24"/>
        </w:rPr>
        <w:t>1.500 do 1.760 t</w:t>
      </w:r>
      <w:r w:rsidRPr="00615350">
        <w:rPr>
          <w:rFonts w:ascii="Times New Roman" w:eastAsia="Times New Roman" w:hAnsi="Times New Roman" w:cs="Times New Roman"/>
          <w:sz w:val="24"/>
          <w:szCs w:val="24"/>
        </w:rPr>
        <w:t xml:space="preserve">. Međutim, riječ je o zbirnoj kategoriji koja obuhvata zemlju, kamen i građevinski otpad, a postojeće količine se u značajnoj mjeri zasnivaju na operativnim procjenama. Zbog toga ih nije moguće u cjelosti poistovjetiti sa količinom neopasnog građevinskog otpada u smislu Zakona. </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Nastanak građevinskog otpada prvenstveno zavisi od intenziteta izgradnje, rekonstrukcije i rušenja objekata, pa nije metodološki opravdano na ovaj tok primijeniti demografsku stopu korišćenu za komunalni otpad. Kratak niz od četiri godine takođe nije dovoljan za pouzdano utvrđivanje posebne godišnje stope rasta.</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Zbog toga se za planski period ne daje precizna prognoza ukupnog nastanka neopasnog građevinskog otpada, već se za potrebe planiranja logistike i potrebnog prihvatnog kapaciteta koristi </w:t>
      </w:r>
      <w:r w:rsidRPr="00615350">
        <w:rPr>
          <w:rFonts w:ascii="Times New Roman" w:eastAsia="Times New Roman" w:hAnsi="Times New Roman" w:cs="Times New Roman"/>
          <w:b/>
          <w:bCs/>
          <w:sz w:val="24"/>
          <w:szCs w:val="24"/>
        </w:rPr>
        <w:t>indikativni red veličine od približno 1.500–1.760 t/god.</w:t>
      </w:r>
      <w:r w:rsidRPr="00615350">
        <w:rPr>
          <w:rFonts w:ascii="Times New Roman" w:eastAsia="Times New Roman" w:hAnsi="Times New Roman" w:cs="Times New Roman"/>
          <w:sz w:val="24"/>
          <w:szCs w:val="24"/>
        </w:rPr>
        <w:t xml:space="preserve">, pri čemu se vrijednost od oko </w:t>
      </w:r>
      <w:r w:rsidRPr="00615350">
        <w:rPr>
          <w:rFonts w:ascii="Times New Roman" w:eastAsia="Times New Roman" w:hAnsi="Times New Roman" w:cs="Times New Roman"/>
          <w:b/>
          <w:bCs/>
          <w:sz w:val="24"/>
          <w:szCs w:val="24"/>
        </w:rPr>
        <w:t>1.760 t/god.</w:t>
      </w:r>
      <w:r w:rsidRPr="00615350">
        <w:rPr>
          <w:rFonts w:ascii="Times New Roman" w:eastAsia="Times New Roman" w:hAnsi="Times New Roman" w:cs="Times New Roman"/>
          <w:sz w:val="24"/>
          <w:szCs w:val="24"/>
        </w:rPr>
        <w:t>, kao posljednja raspoloživa evidentirana količina, može koristiti kao konzervativna planska referenca.</w:t>
      </w:r>
    </w:p>
    <w:p w:rsidR="005A7AB1" w:rsidRPr="00615350" w:rsidRDefault="005A7AB1" w:rsidP="005A7AB1">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18 Indikativna planska vrijednost  neopasnog građevinskog otpada</w:t>
      </w:r>
    </w:p>
    <w:tbl>
      <w:tblPr>
        <w:tblStyle w:val="LightShading-Accent1"/>
        <w:tblW w:w="0" w:type="auto"/>
        <w:jc w:val="center"/>
        <w:tblLook w:val="04A0" w:firstRow="1" w:lastRow="0" w:firstColumn="1" w:lastColumn="0" w:noHBand="0" w:noVBand="1"/>
      </w:tblPr>
      <w:tblGrid>
        <w:gridCol w:w="805"/>
        <w:gridCol w:w="2738"/>
      </w:tblGrid>
      <w:tr w:rsidR="006D15D6" w:rsidRPr="00615350" w:rsidTr="006153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Godina</w:t>
            </w:r>
          </w:p>
        </w:tc>
        <w:tc>
          <w:tcPr>
            <w:tcW w:w="0" w:type="auto"/>
            <w:hideMark/>
          </w:tcPr>
          <w:p w:rsidR="006D15D6" w:rsidRPr="00615350" w:rsidRDefault="006D15D6"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Indikativna planska vrijednost*</w:t>
            </w:r>
          </w:p>
        </w:tc>
      </w:tr>
      <w:tr w:rsidR="006D15D6"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2026.</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oko 1.760 t/god.</w:t>
            </w:r>
          </w:p>
        </w:tc>
      </w:tr>
      <w:tr w:rsidR="006D15D6"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2027.</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oko 1.760 t/god.</w:t>
            </w:r>
          </w:p>
        </w:tc>
      </w:tr>
      <w:tr w:rsidR="006D15D6"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2028.</w:t>
            </w:r>
          </w:p>
        </w:tc>
        <w:tc>
          <w:tcPr>
            <w:tcW w:w="0" w:type="auto"/>
            <w:hideMark/>
          </w:tcPr>
          <w:p w:rsidR="006D15D6" w:rsidRPr="00615350" w:rsidRDefault="006D15D6"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oko 1.760 t/god.</w:t>
            </w:r>
          </w:p>
        </w:tc>
      </w:tr>
      <w:tr w:rsidR="006D15D6"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6D15D6" w:rsidRPr="00615350" w:rsidRDefault="006D15D6"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2029.</w:t>
            </w:r>
          </w:p>
        </w:tc>
        <w:tc>
          <w:tcPr>
            <w:tcW w:w="0" w:type="auto"/>
            <w:hideMark/>
          </w:tcPr>
          <w:p w:rsidR="006D15D6" w:rsidRPr="00615350" w:rsidRDefault="006D15D6"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oko 1.760 t/god.</w:t>
            </w:r>
          </w:p>
        </w:tc>
      </w:tr>
    </w:tbl>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*Vrijednosti predstavljaju plansku referencu za dimenzionisanje sistema, a ne preciznu prognozu stvarnog godišnjeg nastanka otpada.</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Nakon uspostavljanja funkcionalnog mjesta za prijem otpada, vage i evidencije po vrstama i kodovima otpada, navedene projekcione vrijednosti treba provjeravati i korigovati na osnovu stvarno izmjerenih količina.</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Prisustvo oko </w:t>
      </w:r>
      <w:r w:rsidRPr="00615350">
        <w:rPr>
          <w:rFonts w:ascii="Times New Roman" w:eastAsia="Times New Roman" w:hAnsi="Times New Roman" w:cs="Times New Roman"/>
          <w:b/>
          <w:bCs/>
          <w:sz w:val="24"/>
          <w:szCs w:val="24"/>
        </w:rPr>
        <w:t>2,4% građevinskog materijala u morfološki analiziranom miješanom komunalnom otpadu</w:t>
      </w:r>
      <w:r w:rsidRPr="00615350">
        <w:rPr>
          <w:rFonts w:ascii="Times New Roman" w:eastAsia="Times New Roman" w:hAnsi="Times New Roman" w:cs="Times New Roman"/>
          <w:sz w:val="24"/>
          <w:szCs w:val="24"/>
        </w:rPr>
        <w:t xml:space="preserve"> ne treba dodavati količinama iz prethodne tabele. Ta vrijednost pokazuje prisustvo građevinskog materijala u toku komunalnog otpada, ali ne predstavlja zasebno izmjerenu ukupnu količinu nastalog građevinskog otpada.</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Važeći Zakon propisuje da se do 2030. godine najmanje </w:t>
      </w:r>
      <w:r w:rsidRPr="00615350">
        <w:rPr>
          <w:rFonts w:ascii="Times New Roman" w:eastAsia="Times New Roman" w:hAnsi="Times New Roman" w:cs="Times New Roman"/>
          <w:b/>
          <w:bCs/>
          <w:sz w:val="24"/>
          <w:szCs w:val="24"/>
        </w:rPr>
        <w:t>70% mase sakupljenog neopasnog građevinskog otpada</w:t>
      </w:r>
      <w:r w:rsidRPr="00615350">
        <w:rPr>
          <w:rFonts w:ascii="Times New Roman" w:eastAsia="Times New Roman" w:hAnsi="Times New Roman" w:cs="Times New Roman"/>
          <w:sz w:val="24"/>
          <w:szCs w:val="24"/>
        </w:rPr>
        <w:t xml:space="preserve"> pripremi za ponovnu upotrebu, recikliranje i druge načine materijalne </w:t>
      </w:r>
      <w:r w:rsidRPr="00615350">
        <w:rPr>
          <w:rFonts w:ascii="Times New Roman" w:eastAsia="Times New Roman" w:hAnsi="Times New Roman" w:cs="Times New Roman"/>
          <w:sz w:val="24"/>
          <w:szCs w:val="24"/>
        </w:rPr>
        <w:lastRenderedPageBreak/>
        <w:t xml:space="preserve">prerade, uključujući postupke popunjavanja u kojima se otpad koristi kao zamjena za druge materijale, uz izuzetak materijala iz prirode označenog brojem 17 05 04. </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Berane ovaj cilj treba posmatrati kao </w:t>
      </w:r>
      <w:r w:rsidRPr="00615350">
        <w:rPr>
          <w:rFonts w:ascii="Times New Roman" w:eastAsia="Times New Roman" w:hAnsi="Times New Roman" w:cs="Times New Roman"/>
          <w:b/>
          <w:bCs/>
          <w:sz w:val="24"/>
          <w:szCs w:val="24"/>
        </w:rPr>
        <w:t>zakonski cilj do 2030. godine</w:t>
      </w:r>
      <w:r w:rsidRPr="00615350">
        <w:rPr>
          <w:rFonts w:ascii="Times New Roman" w:eastAsia="Times New Roman" w:hAnsi="Times New Roman" w:cs="Times New Roman"/>
          <w:sz w:val="24"/>
          <w:szCs w:val="24"/>
        </w:rPr>
        <w:t>, a ne kao procenat koji mora biti dostignut već 2029. godine. Tokom planskog perioda 2026–2029. potrebno je uspostaviti tehničke i organizacione pretpostavke za njegovo ostvarivanje: kontrolisani prijem, vaganje i evidenciju otpada, izdvajanje pojedinih frakcija i njihovo usmjeravanje ka ponovnoj upotrebi, reciklaži ili drugoj materijalnoj preradi.</w:t>
      </w:r>
    </w:p>
    <w:p w:rsidR="006D15D6" w:rsidRPr="00615350" w:rsidRDefault="006D15D6" w:rsidP="00857A24">
      <w:pPr>
        <w:pStyle w:val="Heading2"/>
        <w:rPr>
          <w:rFonts w:eastAsia="Times New Roman"/>
        </w:rPr>
      </w:pPr>
      <w:bookmarkStart w:id="34" w:name="_Toc240282292"/>
      <w:r w:rsidRPr="00615350">
        <w:rPr>
          <w:rFonts w:eastAsia="Times New Roman"/>
        </w:rPr>
        <w:t>Zaključak projekcija</w:t>
      </w:r>
      <w:bookmarkEnd w:id="34"/>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lokalnom scenariju, u 2029. godini može se očekivati oko </w:t>
      </w:r>
      <w:r w:rsidRPr="00615350">
        <w:rPr>
          <w:rFonts w:ascii="Times New Roman" w:eastAsia="Times New Roman" w:hAnsi="Times New Roman" w:cs="Times New Roman"/>
          <w:b/>
          <w:bCs/>
          <w:sz w:val="24"/>
          <w:szCs w:val="24"/>
        </w:rPr>
        <w:t>3.067 t organske/biorazgradive frakcije komunalnog otpada pogodne za biološki tretman</w:t>
      </w:r>
      <w:r w:rsidRPr="00615350">
        <w:rPr>
          <w:rFonts w:ascii="Times New Roman" w:eastAsia="Times New Roman" w:hAnsi="Times New Roman" w:cs="Times New Roman"/>
          <w:sz w:val="24"/>
          <w:szCs w:val="24"/>
        </w:rPr>
        <w:t xml:space="preserve">. Za zbirni tok zemlje, kamena i građevinskog otpada, zbog ograničene pouzdanosti postojećih podataka, koristi se indikativni planski red veličine do približno </w:t>
      </w:r>
      <w:r w:rsidRPr="00615350">
        <w:rPr>
          <w:rFonts w:ascii="Times New Roman" w:eastAsia="Times New Roman" w:hAnsi="Times New Roman" w:cs="Times New Roman"/>
          <w:b/>
          <w:bCs/>
          <w:sz w:val="24"/>
          <w:szCs w:val="24"/>
        </w:rPr>
        <w:t>1.760 t/god.</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Ove dvije vrijednosti imaju različit metodološki status. Projekcija biootpada izvedena je iz lokalno utvrđenog morfološkog sastava i projektovane količine komunalnog otpada, dok je vrijednost za građevinski otpad zasnovana na operativnim evidencijama postojećeg sistema i služi prvenstveno kao </w:t>
      </w:r>
      <w:r w:rsidRPr="00615350">
        <w:rPr>
          <w:rFonts w:ascii="Times New Roman" w:eastAsia="Times New Roman" w:hAnsi="Times New Roman" w:cs="Times New Roman"/>
          <w:b/>
          <w:bCs/>
          <w:sz w:val="24"/>
          <w:szCs w:val="24"/>
        </w:rPr>
        <w:t>planska referenca za dimenzionisanje potrebnog kapaciteta</w:t>
      </w:r>
      <w:r w:rsidRPr="00615350">
        <w:rPr>
          <w:rFonts w:ascii="Times New Roman" w:eastAsia="Times New Roman" w:hAnsi="Times New Roman" w:cs="Times New Roman"/>
          <w:sz w:val="24"/>
          <w:szCs w:val="24"/>
        </w:rPr>
        <w:t>.</w:t>
      </w:r>
    </w:p>
    <w:p w:rsidR="006D15D6" w:rsidRPr="00615350" w:rsidRDefault="006D15D6"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taj način su u poglavlju 4 utvrđene osnovne projekcione vrijednosti komunalnog otpada, osnovnih reciklabilnih frakcija, biootpada i neopasnog građevinskog otpada, koje predstavljaju osnovu za definisanje ciljeva LPUO za period 2026–2029. godine i planiranje budućeg sistema upravljanja otpadom.</w:t>
      </w:r>
    </w:p>
    <w:p w:rsidR="00506009" w:rsidRPr="00615350" w:rsidRDefault="00A47512" w:rsidP="00C26278">
      <w:pPr>
        <w:pStyle w:val="Heading1"/>
      </w:pPr>
      <w:bookmarkStart w:id="35" w:name="_Toc240282293"/>
      <w:r w:rsidRPr="00615350">
        <w:t xml:space="preserve">5 </w:t>
      </w:r>
      <w:r w:rsidR="00506009" w:rsidRPr="00615350">
        <w:t xml:space="preserve"> CILJEVI LOKALNOG PLANA</w:t>
      </w:r>
      <w:bookmarkEnd w:id="35"/>
    </w:p>
    <w:p w:rsidR="00506009" w:rsidRPr="00615350" w:rsidRDefault="00506009" w:rsidP="00C26278">
      <w:pPr>
        <w:pStyle w:val="Heading2"/>
        <w:rPr>
          <w:rFonts w:eastAsia="Times New Roman"/>
        </w:rPr>
      </w:pPr>
      <w:bookmarkStart w:id="36" w:name="_Toc240282294"/>
      <w:r w:rsidRPr="00615350">
        <w:rPr>
          <w:rFonts w:eastAsia="Times New Roman"/>
        </w:rPr>
        <w:t>5.1. Opšti cilj</w:t>
      </w:r>
      <w:bookmarkEnd w:id="36"/>
    </w:p>
    <w:p w:rsidR="00F240E0" w:rsidRPr="00615350" w:rsidRDefault="00F240E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Opšti cilj Lokalnog plana upravljanja komunalnim i neopasnim građevinskim otpadom Opštine Berane za period 2026–2029. godine je:</w:t>
      </w:r>
    </w:p>
    <w:p w:rsidR="00F240E0" w:rsidRPr="00615350" w:rsidRDefault="00F240E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uspostavljanje funkcionalnog, pouzdanog i održivog sistema upravljanja komunalnim i neopasnim građevinskim otpadom, zasnovanog na principima hijerarhije upravljanja otpadom, sprječavanju nastanka otpada, povećanju obuhvata organizovanim sakupljanjem, razvoju odvojenog sakupljanja, ponovne upotrebe i reciklaže, unapređenju upravljanja biootpadom i neopasnim građevinskim otpadom, smanjenju količina otpada koje se odlažu i postepenom uključivanju Opštine Berane u regionalni sistem upravljanja otpadom utvrđen DPUO 2025–2029.</w:t>
      </w:r>
    </w:p>
    <w:p w:rsidR="00F240E0" w:rsidRPr="00615350" w:rsidRDefault="00F240E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Ovako definisan opšti cilj usklađen je sa osnovnim principima upravljanja otpadom utvrđenim Zakonom o upravljanju otpadom i pravcima razvoja sistema definisanim DPUO 2025–2029. Upravljanje otpadom treba razvijati u skladu sa hijerarhijom upravljanja </w:t>
      </w:r>
      <w:r w:rsidRPr="00615350">
        <w:rPr>
          <w:rFonts w:ascii="Times New Roman" w:eastAsia="Times New Roman" w:hAnsi="Times New Roman" w:cs="Times New Roman"/>
          <w:sz w:val="24"/>
          <w:szCs w:val="24"/>
        </w:rPr>
        <w:lastRenderedPageBreak/>
        <w:t>otpadom, prema kojoj se prednost daje sprječavanju nastanka otpada, pripremi za ponovnu upotrebu, reciklaži i drugim postupcima prerade, dok odlaganje predstavlja posljednju opciju u postupanju sa otpadom.</w:t>
      </w:r>
    </w:p>
    <w:p w:rsidR="00F240E0" w:rsidRPr="00615350" w:rsidRDefault="00F240E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Opštinu Berane ostvarivanje opšteg cilja podrazumijeva unapređenje postojećeg sistema u oblastima u kojima su analizom stanja utvrđena ključna ograničenja: nepotpun obuhvat organizovanim sakupljanjem, nedovoljno razvijeno odvojeno sakupljanje, značajno učešće biootpada u komunalnom otpadu, prisustvo neuređenih odlagališta, nedovoljno definisan sistem upravljanja neopasnim građevinskim otpadom i nedostatak odgovarajućih lokalnih kapaciteta za prijem, razvrstavanje i pripremu pojedinih tokova otpada za dalji tretman.</w:t>
      </w:r>
    </w:p>
    <w:p w:rsidR="00F240E0" w:rsidRPr="00615350" w:rsidRDefault="00F240E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Poseban pravac razvoja predstavlja usklađivanje lokalnog sistema sa regionalnim konceptom utvrđenim DPUO. Opština Berane uključena je u </w:t>
      </w:r>
      <w:r w:rsidRPr="00615350">
        <w:rPr>
          <w:rFonts w:ascii="Times New Roman" w:eastAsia="Times New Roman" w:hAnsi="Times New Roman" w:cs="Times New Roman"/>
          <w:b/>
          <w:bCs/>
          <w:sz w:val="24"/>
          <w:szCs w:val="24"/>
        </w:rPr>
        <w:t>sjeverni regionalni sistem upravljanja otpadom sa Regionalnim centrom za upravljanje otpadom u Bijelom Polju</w:t>
      </w:r>
      <w:r w:rsidRPr="00615350">
        <w:rPr>
          <w:rFonts w:ascii="Times New Roman" w:eastAsia="Times New Roman" w:hAnsi="Times New Roman" w:cs="Times New Roman"/>
          <w:sz w:val="24"/>
          <w:szCs w:val="24"/>
        </w:rPr>
        <w:t>. Razvoj lokalnog sistema treba da bude usklađen sa uspostavljanjem regionalne infrastrukture i da omogući postepeni prelazak sa postojećeg sistema, dominantno zasnovanog na sakupljanju, transportu i privremenom skladištenju miješanog komunalnog otpada, na sistem u kojem će se veći dio otpada sprječavati, odvojeno sakupljati i usmjeravati ka ponovnoj upotrebi, reciklaži i drugim odgovarajućim postupcima prerade.</w:t>
      </w:r>
    </w:p>
    <w:p w:rsidR="00F240E0" w:rsidRPr="00615350" w:rsidRDefault="00F240E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Ostvarivanje opšteg cilja podrazumijeva:</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povećanje obuhvata stanovništva i naselja redovnim i pouzdanim sistemom sakupljanja komunalnog otpada; </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 odvojenog sakupljanja papira i kartona, plastike, stakla i metala, biootpada i drugih tokova za koje je odvojeno sakupljanje propisano ili planski predviđeno; </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povećanje količina otpada pripremljenih za ponovnu upotrebu, reciklažu i druge odgovarajuće postupke prerade; </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smanjenje nastanka otpada i količine miješanog i rezidualnog komunalnog otpada koji se upućuje na odlaganje; </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uspostavljanje funkcionalnog sistema sakupljanja, evidencije, privremenog skladištenja i odgovarajućeg tretmana neopasnog građevinskog otpada; </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unapređenje upravljanja biootpadom kroz odvojeno sakupljanje, kompostiranje na mjestu nastanka i druge odgovarajuće postupke biološke obrade; </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sanaciju neuređenih odlagališta i sprovođenje mjera za sprečavanje njihovog ponovnog formiranja; </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 lokalne infrastrukture i stvaranje tehničkih i organizacionih uslova za povezivanje lokalnog sistema sa Regionalnim centrom za upravljanje otpadom u Bijelom Polju; </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usklađivanje lokalnog sistema sa organizovanim sistemima proširene odgovornosti proizvođača za tokove otpada na koje se ti sistemi primjenjuju; </w:t>
      </w:r>
    </w:p>
    <w:p w:rsidR="00F240E0" w:rsidRPr="00615350" w:rsidRDefault="00F240E0" w:rsidP="00C1197A">
      <w:pPr>
        <w:numPr>
          <w:ilvl w:val="0"/>
          <w:numId w:val="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unapređenje evidencija i monitoringa tokova otpada, institucionalnih i tehničkih kapaciteta, finansijske održivosti sistema, kao i informisanja i učešća javnosti. </w:t>
      </w:r>
    </w:p>
    <w:p w:rsidR="00F240E0" w:rsidRPr="00615350" w:rsidRDefault="00F240E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Opšti cilj predstavlja osnov za definisanje posebnih, mjerljivih ciljeva, ciljnih vrijednosti, mjera i aktivnosti za period 2026–2029. godine.</w:t>
      </w:r>
    </w:p>
    <w:p w:rsidR="00A47512" w:rsidRPr="00615350" w:rsidRDefault="00A47512" w:rsidP="00C26278">
      <w:pPr>
        <w:pStyle w:val="Heading2"/>
        <w:rPr>
          <w:rFonts w:eastAsia="Times New Roman"/>
        </w:rPr>
      </w:pPr>
      <w:bookmarkStart w:id="37" w:name="_Toc240282295"/>
      <w:r w:rsidRPr="00615350">
        <w:rPr>
          <w:rFonts w:eastAsia="Times New Roman"/>
        </w:rPr>
        <w:t>5.2. Posebni ciljevi i ciljne vrijednosti</w:t>
      </w:r>
      <w:bookmarkEnd w:id="37"/>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Polazeći od opšteg cilja Plana, postojećeg stanja sistema upravljanja otpadom u Opštini Berane, projekcija količina otpada iz poglavlja 4, kao i ciljeva, rokova i mjera utvrđenih Zakonom o upravljanju otpadom i DPUO 2025–2029, za planski period definišu se posebni ciljevi usmjereni na povećanje obuhvata organizovanim sakupljanjem, razvoj odvojenog sakupljanja i reciklaže, unapređenje upravljanja biootpadom i posebnim tokovima otpada, uspostavljanje funkcionalnog sistema upravljanja neopasnim građevinskim otpadom, sanaciju neuređenih odlagališta, razvoj potrebne infrastrukture i unapređenje praćenja sistema.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 utvrđivanju ciljnih vrijednosti razlikuju se </w:t>
      </w:r>
      <w:r w:rsidRPr="00615350">
        <w:rPr>
          <w:rFonts w:ascii="Times New Roman" w:eastAsia="Times New Roman" w:hAnsi="Times New Roman" w:cs="Times New Roman"/>
          <w:b/>
          <w:bCs/>
          <w:sz w:val="24"/>
          <w:szCs w:val="24"/>
        </w:rPr>
        <w:t>ciljevi i rokovi utvrđeni Zakonom i DPUO, relevantni za lokalni nivo</w:t>
      </w:r>
      <w:r w:rsidRPr="00615350">
        <w:rPr>
          <w:rFonts w:ascii="Times New Roman" w:eastAsia="Times New Roman" w:hAnsi="Times New Roman" w:cs="Times New Roman"/>
          <w:sz w:val="24"/>
          <w:szCs w:val="24"/>
        </w:rPr>
        <w:t>, od lokalnih organizacionih i infrastrukturnih pokazatelja kojima se prati razvoj sistema u Beranama. Na taj način Lokalni plan preuzima relevantne zahtjeve planskog dokumenta višeg reda, dok se za pitanja za koja DPUO ne određuje neposrednu lokalnu ciljnu vrijednost definišu mjerljivi rezultati koje je potrebno ostvariti do kraja planskog perioda.</w:t>
      </w:r>
    </w:p>
    <w:p w:rsidR="0031277E" w:rsidRPr="00615350" w:rsidRDefault="0031277E" w:rsidP="00900448">
      <w:pPr>
        <w:spacing w:before="100" w:beforeAutospacing="1" w:after="100" w:afterAutospacing="1"/>
        <w:jc w:val="both"/>
        <w:outlineLvl w:val="2"/>
        <w:rPr>
          <w:rFonts w:ascii="Times New Roman" w:eastAsia="Times New Roman" w:hAnsi="Times New Roman" w:cs="Times New Roman"/>
          <w:b/>
          <w:bCs/>
          <w:sz w:val="24"/>
          <w:szCs w:val="24"/>
        </w:rPr>
      </w:pPr>
      <w:bookmarkStart w:id="38" w:name="_Toc240282296"/>
      <w:r w:rsidRPr="00615350">
        <w:rPr>
          <w:rFonts w:ascii="Times New Roman" w:eastAsia="Times New Roman" w:hAnsi="Times New Roman" w:cs="Times New Roman"/>
          <w:b/>
          <w:bCs/>
          <w:sz w:val="24"/>
          <w:szCs w:val="24"/>
        </w:rPr>
        <w:t>Posebni cilj 1 – Povećanje obuhvata organizovanim sakupljanjem komunalnog otpada</w:t>
      </w:r>
      <w:bookmarkEnd w:id="38"/>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Postojeći obuhvat organizovanim sakupljanjem iznosi oko </w:t>
      </w:r>
      <w:r w:rsidRPr="00615350">
        <w:rPr>
          <w:rFonts w:ascii="Times New Roman" w:eastAsia="Times New Roman" w:hAnsi="Times New Roman" w:cs="Times New Roman"/>
          <w:b/>
          <w:bCs/>
          <w:sz w:val="24"/>
          <w:szCs w:val="24"/>
        </w:rPr>
        <w:t>81,2%</w:t>
      </w:r>
      <w:r w:rsidRPr="00615350">
        <w:rPr>
          <w:rFonts w:ascii="Times New Roman" w:eastAsia="Times New Roman" w:hAnsi="Times New Roman" w:cs="Times New Roman"/>
          <w:sz w:val="24"/>
          <w:szCs w:val="24"/>
        </w:rPr>
        <w:t>, pri čemu je gradsko područje obuhvaćeno u većoj mjeri, dok pojedina ruralna i udaljenija naselja još nijesu u potpunosti uključena u sistem.</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kao cilj razvoja sistema utvrđuje povezivanje približno </w:t>
      </w:r>
      <w:r w:rsidRPr="00615350">
        <w:rPr>
          <w:rFonts w:ascii="Times New Roman" w:eastAsia="Times New Roman" w:hAnsi="Times New Roman" w:cs="Times New Roman"/>
          <w:b/>
          <w:bCs/>
          <w:sz w:val="24"/>
          <w:szCs w:val="24"/>
        </w:rPr>
        <w:t>100% stanovništva na organizovane usluge sakupljanja do 2026. godine</w:t>
      </w:r>
      <w:r w:rsidRPr="00615350">
        <w:rPr>
          <w:rFonts w:ascii="Times New Roman" w:eastAsia="Times New Roman" w:hAnsi="Times New Roman" w:cs="Times New Roman"/>
          <w:sz w:val="24"/>
          <w:szCs w:val="24"/>
        </w:rPr>
        <w:t>. Za Berane to podrazumijeva prioritetno proširenje usluge na preostala ruralna naselja, obezbjeđivanje dovoljnog broja posuda i odgovarajuće opreme i optimizaciju ruta i dinamike sakupljanja.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Ciljna vrijednost: približno 100% stanovništva obuhvaćeno dostupnom organizovanom uslugom sakupljanja komunalnog otpada, u skladu sa ciljem DPUO za 2026. godinu, uz održavanje dostignutog nivoa tokom ostatka planskog perioda.</w:t>
      </w:r>
    </w:p>
    <w:p w:rsidR="0031277E" w:rsidRPr="00615350" w:rsidRDefault="0031277E" w:rsidP="00900448">
      <w:pPr>
        <w:spacing w:before="100" w:beforeAutospacing="1" w:after="100" w:afterAutospacing="1"/>
        <w:jc w:val="both"/>
        <w:outlineLvl w:val="2"/>
        <w:rPr>
          <w:rFonts w:ascii="Times New Roman" w:eastAsia="Times New Roman" w:hAnsi="Times New Roman" w:cs="Times New Roman"/>
          <w:b/>
          <w:bCs/>
          <w:sz w:val="24"/>
          <w:szCs w:val="24"/>
        </w:rPr>
      </w:pPr>
      <w:bookmarkStart w:id="39" w:name="_Toc240282297"/>
      <w:r w:rsidRPr="00615350">
        <w:rPr>
          <w:rFonts w:ascii="Times New Roman" w:eastAsia="Times New Roman" w:hAnsi="Times New Roman" w:cs="Times New Roman"/>
          <w:b/>
          <w:bCs/>
          <w:sz w:val="24"/>
          <w:szCs w:val="24"/>
        </w:rPr>
        <w:t>Posebni cilj 2 – Razvoj odvojenog sakupljanja i povećanje pripreme za ponovnu upotrebu i reciklažu</w:t>
      </w:r>
      <w:bookmarkEnd w:id="39"/>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Potrebno je uspostaviti funkcionalan sistem odvojenog sakupljanja papira i kartona, plastike, stakla i metala, uz razvoj potrebne lokalne infrastrukture za njihov prijem, privremeno skladištenje i odgovarajuće usmjeravanje ka sortiranju i daljoj preradi.</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Lokalna morfološka analiza pokazuje da ove četiri grupe materijala zajedno čine približno </w:t>
      </w:r>
      <w:r w:rsidRPr="00615350">
        <w:rPr>
          <w:rFonts w:ascii="Times New Roman" w:eastAsia="Times New Roman" w:hAnsi="Times New Roman" w:cs="Times New Roman"/>
          <w:b/>
          <w:bCs/>
          <w:sz w:val="24"/>
          <w:szCs w:val="24"/>
        </w:rPr>
        <w:t>37,1% komunalnog otpada</w:t>
      </w:r>
      <w:r w:rsidRPr="00615350">
        <w:rPr>
          <w:rFonts w:ascii="Times New Roman" w:eastAsia="Times New Roman" w:hAnsi="Times New Roman" w:cs="Times New Roman"/>
          <w:sz w:val="24"/>
          <w:szCs w:val="24"/>
        </w:rPr>
        <w:t xml:space="preserve">, odnosno da njihov procijenjeni potencijal prema lokalnom scenariju u 2029. godini iznosi oko </w:t>
      </w:r>
      <w:r w:rsidRPr="00615350">
        <w:rPr>
          <w:rFonts w:ascii="Times New Roman" w:eastAsia="Times New Roman" w:hAnsi="Times New Roman" w:cs="Times New Roman"/>
          <w:b/>
          <w:bCs/>
          <w:sz w:val="24"/>
          <w:szCs w:val="24"/>
        </w:rPr>
        <w:t>3.417 t/god.</w:t>
      </w:r>
      <w:r w:rsidRPr="00615350">
        <w:rPr>
          <w:rFonts w:ascii="Times New Roman" w:eastAsia="Times New Roman" w:hAnsi="Times New Roman" w:cs="Times New Roman"/>
          <w:sz w:val="24"/>
          <w:szCs w:val="24"/>
        </w:rPr>
        <w:t xml:space="preserve"> </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DPUO utvrđuje dinamiku razvoja </w:t>
      </w:r>
      <w:r w:rsidRPr="00615350">
        <w:rPr>
          <w:rFonts w:ascii="Times New Roman" w:eastAsia="Times New Roman" w:hAnsi="Times New Roman" w:cs="Times New Roman"/>
          <w:b/>
          <w:bCs/>
          <w:sz w:val="24"/>
          <w:szCs w:val="24"/>
        </w:rPr>
        <w:t>odvojenog sakupljanja reciklabilnih materijala</w:t>
      </w:r>
      <w:r w:rsidRPr="00615350">
        <w:rPr>
          <w:rFonts w:ascii="Times New Roman" w:eastAsia="Times New Roman" w:hAnsi="Times New Roman" w:cs="Times New Roman"/>
          <w:sz w:val="24"/>
          <w:szCs w:val="24"/>
        </w:rPr>
        <w:t xml:space="preserve"> od 15% do 2026. godine, 25% do 2028. godine i 40% do 2030. godine. Ove vrijednosti predstavljaju cilj odvojenog sakupljanja i treba ih razlikovati od cilja pripreme za ponovnu upotrebu i reciklažu.</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krajnju godinu perioda DPUO, odnosno </w:t>
      </w:r>
      <w:r w:rsidRPr="00615350">
        <w:rPr>
          <w:rFonts w:ascii="Times New Roman" w:eastAsia="Times New Roman" w:hAnsi="Times New Roman" w:cs="Times New Roman"/>
          <w:b/>
          <w:bCs/>
          <w:sz w:val="24"/>
          <w:szCs w:val="24"/>
        </w:rPr>
        <w:t>2029. godinu</w:t>
      </w:r>
      <w:r w:rsidRPr="00615350">
        <w:rPr>
          <w:rFonts w:ascii="Times New Roman" w:eastAsia="Times New Roman" w:hAnsi="Times New Roman" w:cs="Times New Roman"/>
          <w:sz w:val="24"/>
          <w:szCs w:val="24"/>
        </w:rPr>
        <w:t xml:space="preserve">, utvrđeno je da najmanje </w:t>
      </w:r>
      <w:r w:rsidRPr="00615350">
        <w:rPr>
          <w:rFonts w:ascii="Times New Roman" w:eastAsia="Times New Roman" w:hAnsi="Times New Roman" w:cs="Times New Roman"/>
          <w:b/>
          <w:bCs/>
          <w:sz w:val="24"/>
          <w:szCs w:val="24"/>
        </w:rPr>
        <w:t>30% papira, metala, plastike i stakla</w:t>
      </w:r>
      <w:r w:rsidRPr="00615350">
        <w:rPr>
          <w:rFonts w:ascii="Times New Roman" w:eastAsia="Times New Roman" w:hAnsi="Times New Roman" w:cs="Times New Roman"/>
          <w:sz w:val="24"/>
          <w:szCs w:val="24"/>
        </w:rPr>
        <w:t xml:space="preserve"> iz domaćinstava i drugih izvora sa sličnim tokovima otpada treba pripremiti za ponovnu upotrebu i reciklažu. U odnosu na lokalno procijenjeni potencijal ovih frakcija od 3.417 t/god., ovaj cilj odgovara orijentacionoj lokalnoj količini od oko </w:t>
      </w:r>
      <w:r w:rsidRPr="00615350">
        <w:rPr>
          <w:rFonts w:ascii="Times New Roman" w:eastAsia="Times New Roman" w:hAnsi="Times New Roman" w:cs="Times New Roman"/>
          <w:b/>
          <w:bCs/>
          <w:sz w:val="24"/>
          <w:szCs w:val="24"/>
        </w:rPr>
        <w:t>1.025 t/god.</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Ciljne vrijednosti:</w:t>
      </w:r>
    </w:p>
    <w:p w:rsidR="0031277E" w:rsidRPr="00615350" w:rsidRDefault="0031277E" w:rsidP="00C1197A">
      <w:pPr>
        <w:numPr>
          <w:ilvl w:val="0"/>
          <w:numId w:val="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najmanje </w:t>
      </w:r>
      <w:r w:rsidRPr="00615350">
        <w:rPr>
          <w:rFonts w:ascii="Times New Roman" w:eastAsia="Times New Roman" w:hAnsi="Times New Roman" w:cs="Times New Roman"/>
          <w:b/>
          <w:bCs/>
          <w:sz w:val="24"/>
          <w:szCs w:val="24"/>
        </w:rPr>
        <w:t>15% reciklabilnih materijala odvojeno sakupljati do 2026. godine</w:t>
      </w:r>
      <w:r w:rsidRPr="00615350">
        <w:rPr>
          <w:rFonts w:ascii="Times New Roman" w:eastAsia="Times New Roman" w:hAnsi="Times New Roman" w:cs="Times New Roman"/>
          <w:sz w:val="24"/>
          <w:szCs w:val="24"/>
        </w:rPr>
        <w:t xml:space="preserve">; </w:t>
      </w:r>
    </w:p>
    <w:p w:rsidR="0031277E" w:rsidRPr="00615350" w:rsidRDefault="0031277E" w:rsidP="00C1197A">
      <w:pPr>
        <w:numPr>
          <w:ilvl w:val="0"/>
          <w:numId w:val="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najmanje </w:t>
      </w:r>
      <w:r w:rsidRPr="00615350">
        <w:rPr>
          <w:rFonts w:ascii="Times New Roman" w:eastAsia="Times New Roman" w:hAnsi="Times New Roman" w:cs="Times New Roman"/>
          <w:b/>
          <w:bCs/>
          <w:sz w:val="24"/>
          <w:szCs w:val="24"/>
        </w:rPr>
        <w:t>25% odvojeno sakupljati do 2028. godine</w:t>
      </w:r>
      <w:r w:rsidRPr="00615350">
        <w:rPr>
          <w:rFonts w:ascii="Times New Roman" w:eastAsia="Times New Roman" w:hAnsi="Times New Roman" w:cs="Times New Roman"/>
          <w:sz w:val="24"/>
          <w:szCs w:val="24"/>
        </w:rPr>
        <w:t xml:space="preserve">; </w:t>
      </w:r>
    </w:p>
    <w:p w:rsidR="0031277E" w:rsidRPr="00615350" w:rsidRDefault="0031277E" w:rsidP="00C1197A">
      <w:pPr>
        <w:numPr>
          <w:ilvl w:val="0"/>
          <w:numId w:val="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2029. godine najmanje </w:t>
      </w:r>
      <w:r w:rsidRPr="00615350">
        <w:rPr>
          <w:rFonts w:ascii="Times New Roman" w:eastAsia="Times New Roman" w:hAnsi="Times New Roman" w:cs="Times New Roman"/>
          <w:b/>
          <w:bCs/>
          <w:sz w:val="24"/>
          <w:szCs w:val="24"/>
        </w:rPr>
        <w:t>30% papira, kartona, plastike, stakla i metala pripremiti za ponovnu upotrebu i reciklažu</w:t>
      </w:r>
      <w:r w:rsidRPr="00615350">
        <w:rPr>
          <w:rFonts w:ascii="Times New Roman" w:eastAsia="Times New Roman" w:hAnsi="Times New Roman" w:cs="Times New Roman"/>
          <w:sz w:val="24"/>
          <w:szCs w:val="24"/>
        </w:rPr>
        <w:t xml:space="preserve">, što prema lokalnoj projekciji predstavlja približno </w:t>
      </w:r>
      <w:r w:rsidRPr="00615350">
        <w:rPr>
          <w:rFonts w:ascii="Times New Roman" w:eastAsia="Times New Roman" w:hAnsi="Times New Roman" w:cs="Times New Roman"/>
          <w:b/>
          <w:bCs/>
          <w:sz w:val="24"/>
          <w:szCs w:val="24"/>
        </w:rPr>
        <w:t>1.025 t/god.</w:t>
      </w:r>
      <w:r w:rsidRPr="00615350">
        <w:rPr>
          <w:rFonts w:ascii="Times New Roman" w:eastAsia="Times New Roman" w:hAnsi="Times New Roman" w:cs="Times New Roman"/>
          <w:sz w:val="24"/>
          <w:szCs w:val="24"/>
        </w:rPr>
        <w:t xml:space="preserve"> </w:t>
      </w:r>
    </w:p>
    <w:p w:rsidR="0031277E" w:rsidRPr="00615350" w:rsidRDefault="0031277E" w:rsidP="00900448">
      <w:pPr>
        <w:spacing w:before="100" w:beforeAutospacing="1" w:after="100" w:afterAutospacing="1"/>
        <w:jc w:val="both"/>
        <w:outlineLvl w:val="2"/>
        <w:rPr>
          <w:rFonts w:ascii="Times New Roman" w:eastAsia="Times New Roman" w:hAnsi="Times New Roman" w:cs="Times New Roman"/>
          <w:b/>
          <w:bCs/>
          <w:sz w:val="24"/>
          <w:szCs w:val="24"/>
        </w:rPr>
      </w:pPr>
      <w:bookmarkStart w:id="40" w:name="_Toc240282298"/>
      <w:r w:rsidRPr="00615350">
        <w:rPr>
          <w:rFonts w:ascii="Times New Roman" w:eastAsia="Times New Roman" w:hAnsi="Times New Roman" w:cs="Times New Roman"/>
          <w:b/>
          <w:bCs/>
          <w:sz w:val="24"/>
          <w:szCs w:val="24"/>
        </w:rPr>
        <w:t>Posebni cilj 3 – Uspostavljanje odvojenog upravljanja biootpadom</w:t>
      </w:r>
      <w:bookmarkEnd w:id="40"/>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Organska/biorazgradiva frakcija predstavlja pojedinačno najveću kategoriju u analiziranom komunalnom otpadu u Beranama, sa prosječnim učešćem od </w:t>
      </w:r>
      <w:r w:rsidRPr="00615350">
        <w:rPr>
          <w:rFonts w:ascii="Times New Roman" w:eastAsia="Times New Roman" w:hAnsi="Times New Roman" w:cs="Times New Roman"/>
          <w:b/>
          <w:bCs/>
          <w:sz w:val="24"/>
          <w:szCs w:val="24"/>
        </w:rPr>
        <w:t>33,3%</w:t>
      </w:r>
      <w:r w:rsidRPr="00615350">
        <w:rPr>
          <w:rFonts w:ascii="Times New Roman" w:eastAsia="Times New Roman" w:hAnsi="Times New Roman" w:cs="Times New Roman"/>
          <w:sz w:val="24"/>
          <w:szCs w:val="24"/>
        </w:rPr>
        <w:t xml:space="preserve">. Prema lokalnom scenariju, njen procijenjeni potencijal u 2029. godini iznosi oko </w:t>
      </w:r>
      <w:r w:rsidRPr="00615350">
        <w:rPr>
          <w:rFonts w:ascii="Times New Roman" w:eastAsia="Times New Roman" w:hAnsi="Times New Roman" w:cs="Times New Roman"/>
          <w:b/>
          <w:bCs/>
          <w:sz w:val="24"/>
          <w:szCs w:val="24"/>
        </w:rPr>
        <w:t>3.067 t/god.</w:t>
      </w:r>
      <w:r w:rsidRPr="00615350">
        <w:rPr>
          <w:rFonts w:ascii="Times New Roman" w:eastAsia="Times New Roman" w:hAnsi="Times New Roman" w:cs="Times New Roman"/>
          <w:sz w:val="24"/>
          <w:szCs w:val="24"/>
        </w:rPr>
        <w:t xml:space="preserve"> </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za biootpad i zeleni otpad utvrđuje više povezanih ciljeva: </w:t>
      </w:r>
      <w:r w:rsidRPr="00615350">
        <w:rPr>
          <w:rFonts w:ascii="Times New Roman" w:eastAsia="Times New Roman" w:hAnsi="Times New Roman" w:cs="Times New Roman"/>
          <w:b/>
          <w:bCs/>
          <w:sz w:val="24"/>
          <w:szCs w:val="24"/>
        </w:rPr>
        <w:t>17% biootpada odvojeno sakupljati do 31. decembra 2026. godine</w:t>
      </w:r>
      <w:r w:rsidRPr="00615350">
        <w:rPr>
          <w:rFonts w:ascii="Times New Roman" w:eastAsia="Times New Roman" w:hAnsi="Times New Roman" w:cs="Times New Roman"/>
          <w:sz w:val="24"/>
          <w:szCs w:val="24"/>
        </w:rPr>
        <w:t xml:space="preserve">, najmanje </w:t>
      </w:r>
      <w:r w:rsidRPr="00615350">
        <w:rPr>
          <w:rFonts w:ascii="Times New Roman" w:eastAsia="Times New Roman" w:hAnsi="Times New Roman" w:cs="Times New Roman"/>
          <w:b/>
          <w:bCs/>
          <w:sz w:val="24"/>
          <w:szCs w:val="24"/>
        </w:rPr>
        <w:t>4% biootpada obuhvatiti kućnim kompostiranjem do kraja 2026. godine</w:t>
      </w:r>
      <w:r w:rsidRPr="00615350">
        <w:rPr>
          <w:rFonts w:ascii="Times New Roman" w:eastAsia="Times New Roman" w:hAnsi="Times New Roman" w:cs="Times New Roman"/>
          <w:sz w:val="24"/>
          <w:szCs w:val="24"/>
        </w:rPr>
        <w:t xml:space="preserve">, dok je za zeleni otpad predviđeno </w:t>
      </w:r>
      <w:r w:rsidRPr="00615350">
        <w:rPr>
          <w:rFonts w:ascii="Times New Roman" w:eastAsia="Times New Roman" w:hAnsi="Times New Roman" w:cs="Times New Roman"/>
          <w:b/>
          <w:bCs/>
          <w:sz w:val="24"/>
          <w:szCs w:val="24"/>
        </w:rPr>
        <w:t>50% odvojenog sakupljanja do 2026. godine</w:t>
      </w:r>
      <w:r w:rsidRPr="00615350">
        <w:rPr>
          <w:rFonts w:ascii="Times New Roman" w:eastAsia="Times New Roman" w:hAnsi="Times New Roman" w:cs="Times New Roman"/>
          <w:sz w:val="24"/>
          <w:szCs w:val="24"/>
        </w:rPr>
        <w:t xml:space="preserve">. Od 1. januara 2027. godine komunalni biootpad treba da bude odvojeno sakupljen ili recikliran na izvoru. </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Berane je potrebno kombinovati kućno kompostiranje, naročito u individualnim i ruralnim domaćinstvima, sa organizovanim odvojenim sakupljanjem zelenog i drugog pogodnog biootpada.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Ciljne vrijednosti:</w:t>
      </w:r>
    </w:p>
    <w:p w:rsidR="0031277E" w:rsidRPr="00615350" w:rsidRDefault="0031277E" w:rsidP="00C1197A">
      <w:pPr>
        <w:numPr>
          <w:ilvl w:val="0"/>
          <w:numId w:val="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kraja 2026. godine odvojeno sakupljati najmanje </w:t>
      </w:r>
      <w:r w:rsidRPr="00615350">
        <w:rPr>
          <w:rFonts w:ascii="Times New Roman" w:eastAsia="Times New Roman" w:hAnsi="Times New Roman" w:cs="Times New Roman"/>
          <w:b/>
          <w:bCs/>
          <w:sz w:val="24"/>
          <w:szCs w:val="24"/>
        </w:rPr>
        <w:t>17% biootpada</w:t>
      </w:r>
      <w:r w:rsidRPr="00615350">
        <w:rPr>
          <w:rFonts w:ascii="Times New Roman" w:eastAsia="Times New Roman" w:hAnsi="Times New Roman" w:cs="Times New Roman"/>
          <w:sz w:val="24"/>
          <w:szCs w:val="24"/>
        </w:rPr>
        <w:t xml:space="preserve">; </w:t>
      </w:r>
    </w:p>
    <w:p w:rsidR="0031277E" w:rsidRPr="00615350" w:rsidRDefault="0031277E" w:rsidP="00C1197A">
      <w:pPr>
        <w:numPr>
          <w:ilvl w:val="0"/>
          <w:numId w:val="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kraja 2026. godine najmanje </w:t>
      </w:r>
      <w:r w:rsidRPr="00615350">
        <w:rPr>
          <w:rFonts w:ascii="Times New Roman" w:eastAsia="Times New Roman" w:hAnsi="Times New Roman" w:cs="Times New Roman"/>
          <w:b/>
          <w:bCs/>
          <w:sz w:val="24"/>
          <w:szCs w:val="24"/>
        </w:rPr>
        <w:t>4% biootpada obuhvatiti kućnim kompostiranjem</w:t>
      </w:r>
      <w:r w:rsidRPr="00615350">
        <w:rPr>
          <w:rFonts w:ascii="Times New Roman" w:eastAsia="Times New Roman" w:hAnsi="Times New Roman" w:cs="Times New Roman"/>
          <w:sz w:val="24"/>
          <w:szCs w:val="24"/>
        </w:rPr>
        <w:t xml:space="preserve">; </w:t>
      </w:r>
    </w:p>
    <w:p w:rsidR="0031277E" w:rsidRPr="00615350" w:rsidRDefault="0031277E" w:rsidP="00C1197A">
      <w:pPr>
        <w:numPr>
          <w:ilvl w:val="0"/>
          <w:numId w:val="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razvijati sistem kojim će od </w:t>
      </w:r>
      <w:r w:rsidRPr="00615350">
        <w:rPr>
          <w:rFonts w:ascii="Times New Roman" w:eastAsia="Times New Roman" w:hAnsi="Times New Roman" w:cs="Times New Roman"/>
          <w:b/>
          <w:bCs/>
          <w:sz w:val="24"/>
          <w:szCs w:val="24"/>
        </w:rPr>
        <w:t>1. januara 2027. godine komunalni biootpad biti odvojeno sakupljan ili recikliran na izvoru</w:t>
      </w:r>
      <w:r w:rsidRPr="00615350">
        <w:rPr>
          <w:rFonts w:ascii="Times New Roman" w:eastAsia="Times New Roman" w:hAnsi="Times New Roman" w:cs="Times New Roman"/>
          <w:sz w:val="24"/>
          <w:szCs w:val="24"/>
        </w:rPr>
        <w:t xml:space="preserve">; </w:t>
      </w:r>
    </w:p>
    <w:p w:rsidR="0031277E" w:rsidRPr="00615350" w:rsidRDefault="0031277E" w:rsidP="00C1197A">
      <w:pPr>
        <w:numPr>
          <w:ilvl w:val="0"/>
          <w:numId w:val="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razvijati odvojeno sakupljanje zelenog otpada u pravcu ostvarivanja cilja DPUO od </w:t>
      </w:r>
      <w:r w:rsidRPr="00615350">
        <w:rPr>
          <w:rFonts w:ascii="Times New Roman" w:eastAsia="Times New Roman" w:hAnsi="Times New Roman" w:cs="Times New Roman"/>
          <w:b/>
          <w:bCs/>
          <w:sz w:val="24"/>
          <w:szCs w:val="24"/>
        </w:rPr>
        <w:t>50% do 2026. godine</w:t>
      </w:r>
      <w:r w:rsidRPr="00615350">
        <w:rPr>
          <w:rFonts w:ascii="Times New Roman" w:eastAsia="Times New Roman" w:hAnsi="Times New Roman" w:cs="Times New Roman"/>
          <w:sz w:val="24"/>
          <w:szCs w:val="24"/>
        </w:rPr>
        <w:t xml:space="preserve">, uz prethodno uspostavljanje pouzdanije evidencije ovog toka. </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Posebno će se kroz mjere sprječavanja nastanka otpada pratiti i cilj DPUO da se do 2029. godine </w:t>
      </w:r>
      <w:r w:rsidRPr="00615350">
        <w:rPr>
          <w:rFonts w:ascii="Times New Roman" w:eastAsia="Times New Roman" w:hAnsi="Times New Roman" w:cs="Times New Roman"/>
          <w:b/>
          <w:bCs/>
          <w:sz w:val="24"/>
          <w:szCs w:val="24"/>
        </w:rPr>
        <w:t>otpad od hrane po stanovniku smanji za 15%</w:t>
      </w:r>
      <w:r w:rsidRPr="00615350">
        <w:rPr>
          <w:rFonts w:ascii="Times New Roman" w:eastAsia="Times New Roman" w:hAnsi="Times New Roman" w:cs="Times New Roman"/>
          <w:sz w:val="24"/>
          <w:szCs w:val="24"/>
        </w:rPr>
        <w:t xml:space="preserve">. </w:t>
      </w:r>
    </w:p>
    <w:p w:rsidR="0031277E" w:rsidRPr="00615350" w:rsidRDefault="0031277E" w:rsidP="00900448">
      <w:pPr>
        <w:spacing w:before="100" w:beforeAutospacing="1" w:after="100" w:afterAutospacing="1"/>
        <w:jc w:val="both"/>
        <w:outlineLvl w:val="2"/>
        <w:rPr>
          <w:rFonts w:ascii="Times New Roman" w:eastAsia="Times New Roman" w:hAnsi="Times New Roman" w:cs="Times New Roman"/>
          <w:b/>
          <w:bCs/>
          <w:sz w:val="24"/>
          <w:szCs w:val="24"/>
        </w:rPr>
      </w:pPr>
      <w:bookmarkStart w:id="41" w:name="_Toc240282299"/>
      <w:r w:rsidRPr="00615350">
        <w:rPr>
          <w:rFonts w:ascii="Times New Roman" w:eastAsia="Times New Roman" w:hAnsi="Times New Roman" w:cs="Times New Roman"/>
          <w:b/>
          <w:bCs/>
          <w:sz w:val="24"/>
          <w:szCs w:val="24"/>
        </w:rPr>
        <w:t>Posebni cilj 4 – Unapređenje upravljanja posebnim tokovima otpada iz domaćinstava</w:t>
      </w:r>
      <w:bookmarkEnd w:id="41"/>
    </w:p>
    <w:p w:rsidR="00D94B9A" w:rsidRPr="00615350" w:rsidRDefault="00D94B9A" w:rsidP="00D94B9A">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Potrebno je unaprijediti odvojeno sakupljanje tekstila, kabastog otpada, otpadne električne i elektronske opreme, baterija i akumulatora i drugih odgovarajućih posebnih tokova koji nastaju u domaćinstvima, kroz lokalni sistem sakupljanja, planirani reciklažni centar i sisteme proširene odgovornosti proizvođača, gdje su primjenjivi.</w:t>
      </w:r>
    </w:p>
    <w:p w:rsidR="00D94B9A" w:rsidRPr="00615350" w:rsidRDefault="00D94B9A" w:rsidP="00D94B9A">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razlikuje ciljeve </w:t>
      </w:r>
      <w:r w:rsidRPr="00615350">
        <w:rPr>
          <w:rFonts w:ascii="Times New Roman" w:eastAsia="Times New Roman" w:hAnsi="Times New Roman" w:cs="Times New Roman"/>
          <w:b/>
          <w:bCs/>
          <w:sz w:val="24"/>
          <w:szCs w:val="24"/>
        </w:rPr>
        <w:t>odvojenog sakupljanja</w:t>
      </w:r>
      <w:r w:rsidRPr="00615350">
        <w:rPr>
          <w:rFonts w:ascii="Times New Roman" w:eastAsia="Times New Roman" w:hAnsi="Times New Roman" w:cs="Times New Roman"/>
          <w:sz w:val="24"/>
          <w:szCs w:val="24"/>
        </w:rPr>
        <w:t xml:space="preserve"> od ciljeva </w:t>
      </w:r>
      <w:r w:rsidRPr="00615350">
        <w:rPr>
          <w:rFonts w:ascii="Times New Roman" w:eastAsia="Times New Roman" w:hAnsi="Times New Roman" w:cs="Times New Roman"/>
          <w:b/>
          <w:bCs/>
          <w:sz w:val="24"/>
          <w:szCs w:val="24"/>
        </w:rPr>
        <w:t>ponovne upotrebe i reciklaže</w:t>
      </w:r>
      <w:r w:rsidRPr="00615350">
        <w:rPr>
          <w:rFonts w:ascii="Times New Roman" w:eastAsia="Times New Roman" w:hAnsi="Times New Roman" w:cs="Times New Roman"/>
          <w:sz w:val="24"/>
          <w:szCs w:val="24"/>
        </w:rPr>
        <w:t xml:space="preserve">. Za tekstil je predviđeno odvojeno sakupljanje najmanje </w:t>
      </w:r>
      <w:r w:rsidRPr="00615350">
        <w:rPr>
          <w:rFonts w:ascii="Times New Roman" w:eastAsia="Times New Roman" w:hAnsi="Times New Roman" w:cs="Times New Roman"/>
          <w:b/>
          <w:bCs/>
          <w:sz w:val="24"/>
          <w:szCs w:val="24"/>
        </w:rPr>
        <w:t>10% do kraja 2026. godine</w:t>
      </w:r>
      <w:r w:rsidRPr="00615350">
        <w:rPr>
          <w:rFonts w:ascii="Times New Roman" w:eastAsia="Times New Roman" w:hAnsi="Times New Roman" w:cs="Times New Roman"/>
          <w:sz w:val="24"/>
          <w:szCs w:val="24"/>
        </w:rPr>
        <w:t xml:space="preserve">, dok je za kabasti otpad predviđeno najmanje </w:t>
      </w:r>
      <w:r w:rsidRPr="00615350">
        <w:rPr>
          <w:rFonts w:ascii="Times New Roman" w:eastAsia="Times New Roman" w:hAnsi="Times New Roman" w:cs="Times New Roman"/>
          <w:b/>
          <w:bCs/>
          <w:sz w:val="24"/>
          <w:szCs w:val="24"/>
        </w:rPr>
        <w:t>15% do kraja 2026. godine</w:t>
      </w:r>
      <w:r w:rsidRPr="00615350">
        <w:rPr>
          <w:rFonts w:ascii="Times New Roman" w:eastAsia="Times New Roman" w:hAnsi="Times New Roman" w:cs="Times New Roman"/>
          <w:sz w:val="24"/>
          <w:szCs w:val="24"/>
        </w:rPr>
        <w:t>.</w:t>
      </w:r>
    </w:p>
    <w:p w:rsidR="00D94B9A" w:rsidRPr="00615350" w:rsidRDefault="00D94B9A" w:rsidP="00D94B9A">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dodatno predviđa da do 2027. godine </w:t>
      </w:r>
      <w:r w:rsidRPr="00615350">
        <w:rPr>
          <w:rFonts w:ascii="Times New Roman" w:eastAsia="Times New Roman" w:hAnsi="Times New Roman" w:cs="Times New Roman"/>
          <w:b/>
          <w:bCs/>
          <w:sz w:val="24"/>
          <w:szCs w:val="24"/>
        </w:rPr>
        <w:t>10% tekstila bude ponovo upotrijebljeno ili reciklirano</w:t>
      </w:r>
      <w:r w:rsidRPr="00615350">
        <w:rPr>
          <w:rFonts w:ascii="Times New Roman" w:eastAsia="Times New Roman" w:hAnsi="Times New Roman" w:cs="Times New Roman"/>
          <w:sz w:val="24"/>
          <w:szCs w:val="24"/>
        </w:rPr>
        <w:t xml:space="preserve">, a da do 2028. godine </w:t>
      </w:r>
      <w:r w:rsidRPr="00615350">
        <w:rPr>
          <w:rFonts w:ascii="Times New Roman" w:eastAsia="Times New Roman" w:hAnsi="Times New Roman" w:cs="Times New Roman"/>
          <w:b/>
          <w:bCs/>
          <w:sz w:val="24"/>
          <w:szCs w:val="24"/>
        </w:rPr>
        <w:t>20% odvojeno sakupljenog kabastog otpada bude ponovo upotrijebljeno ili reciklirano</w:t>
      </w:r>
      <w:r w:rsidRPr="00615350">
        <w:rPr>
          <w:rFonts w:ascii="Times New Roman" w:eastAsia="Times New Roman" w:hAnsi="Times New Roman" w:cs="Times New Roman"/>
          <w:sz w:val="24"/>
          <w:szCs w:val="24"/>
        </w:rPr>
        <w:t>.</w:t>
      </w:r>
    </w:p>
    <w:p w:rsidR="00D94B9A" w:rsidRPr="00615350" w:rsidRDefault="00D94B9A" w:rsidP="00D94B9A">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Ciljne vrijednosti:</w:t>
      </w:r>
    </w:p>
    <w:p w:rsidR="00D94B9A" w:rsidRPr="00615350" w:rsidRDefault="00D94B9A" w:rsidP="00D94B9A">
      <w:pPr>
        <w:numPr>
          <w:ilvl w:val="0"/>
          <w:numId w:val="49"/>
        </w:num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najmanje </w:t>
      </w:r>
      <w:r w:rsidRPr="00615350">
        <w:rPr>
          <w:rFonts w:ascii="Times New Roman" w:eastAsia="Times New Roman" w:hAnsi="Times New Roman" w:cs="Times New Roman"/>
          <w:b/>
          <w:bCs/>
          <w:sz w:val="24"/>
          <w:szCs w:val="24"/>
        </w:rPr>
        <w:t>10% tekstila odvojeno sakupljati do kraja 2026. godine</w:t>
      </w:r>
      <w:r w:rsidRPr="00615350">
        <w:rPr>
          <w:rFonts w:ascii="Times New Roman" w:eastAsia="Times New Roman" w:hAnsi="Times New Roman" w:cs="Times New Roman"/>
          <w:sz w:val="24"/>
          <w:szCs w:val="24"/>
        </w:rPr>
        <w:t xml:space="preserve">; </w:t>
      </w:r>
    </w:p>
    <w:p w:rsidR="00D94B9A" w:rsidRPr="00615350" w:rsidRDefault="00D94B9A" w:rsidP="00D94B9A">
      <w:pPr>
        <w:numPr>
          <w:ilvl w:val="0"/>
          <w:numId w:val="49"/>
        </w:num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2027. godine </w:t>
      </w:r>
      <w:r w:rsidRPr="00615350">
        <w:rPr>
          <w:rFonts w:ascii="Times New Roman" w:eastAsia="Times New Roman" w:hAnsi="Times New Roman" w:cs="Times New Roman"/>
          <w:b/>
          <w:bCs/>
          <w:sz w:val="24"/>
          <w:szCs w:val="24"/>
        </w:rPr>
        <w:t>10% tekstila ponovo upotrijebiti ili reciklirati</w:t>
      </w:r>
      <w:r w:rsidRPr="00615350">
        <w:rPr>
          <w:rFonts w:ascii="Times New Roman" w:eastAsia="Times New Roman" w:hAnsi="Times New Roman" w:cs="Times New Roman"/>
          <w:sz w:val="24"/>
          <w:szCs w:val="24"/>
        </w:rPr>
        <w:t xml:space="preserve">, u skladu sa ciljem DPUO; </w:t>
      </w:r>
    </w:p>
    <w:p w:rsidR="00D94B9A" w:rsidRPr="00615350" w:rsidRDefault="00D94B9A" w:rsidP="00D94B9A">
      <w:pPr>
        <w:numPr>
          <w:ilvl w:val="0"/>
          <w:numId w:val="49"/>
        </w:num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najmanje </w:t>
      </w:r>
      <w:r w:rsidRPr="00615350">
        <w:rPr>
          <w:rFonts w:ascii="Times New Roman" w:eastAsia="Times New Roman" w:hAnsi="Times New Roman" w:cs="Times New Roman"/>
          <w:b/>
          <w:bCs/>
          <w:sz w:val="24"/>
          <w:szCs w:val="24"/>
        </w:rPr>
        <w:t>15% kabastog otpada odvojeno sakupljati do kraja 2026. godine</w:t>
      </w:r>
      <w:r w:rsidRPr="00615350">
        <w:rPr>
          <w:rFonts w:ascii="Times New Roman" w:eastAsia="Times New Roman" w:hAnsi="Times New Roman" w:cs="Times New Roman"/>
          <w:sz w:val="24"/>
          <w:szCs w:val="24"/>
        </w:rPr>
        <w:t xml:space="preserve">; </w:t>
      </w:r>
    </w:p>
    <w:p w:rsidR="00D94B9A" w:rsidRPr="00615350" w:rsidRDefault="00D94B9A" w:rsidP="00D94B9A">
      <w:pPr>
        <w:numPr>
          <w:ilvl w:val="0"/>
          <w:numId w:val="49"/>
        </w:num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2028. godine </w:t>
      </w:r>
      <w:r w:rsidRPr="00615350">
        <w:rPr>
          <w:rFonts w:ascii="Times New Roman" w:eastAsia="Times New Roman" w:hAnsi="Times New Roman" w:cs="Times New Roman"/>
          <w:b/>
          <w:bCs/>
          <w:sz w:val="24"/>
          <w:szCs w:val="24"/>
        </w:rPr>
        <w:t>najmanje 20% odvojeno sakupljenog kabastog otpada ponovo upotrijebiti ili reciklirati</w:t>
      </w:r>
      <w:r w:rsidRPr="00615350">
        <w:rPr>
          <w:rFonts w:ascii="Times New Roman" w:eastAsia="Times New Roman" w:hAnsi="Times New Roman" w:cs="Times New Roman"/>
          <w:sz w:val="24"/>
          <w:szCs w:val="24"/>
        </w:rPr>
        <w:t xml:space="preserve">; </w:t>
      </w:r>
    </w:p>
    <w:p w:rsidR="00D94B9A" w:rsidRPr="00615350" w:rsidRDefault="00D94B9A" w:rsidP="00D94B9A">
      <w:pPr>
        <w:numPr>
          <w:ilvl w:val="0"/>
          <w:numId w:val="49"/>
        </w:num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tokom planskog perioda obezbijediti odgovarajuća mjesta i/ili organizovane načine odvojene predaje prioritetnih posebnih tokova otpada iz domaćinstava, uz vođenje evidencije o sakupljenim količinama i njihovu predaju ovlašćenim operaterima ili odgovarajućim sistemima proširene odgovornosti proizvođača.</w:t>
      </w:r>
    </w:p>
    <w:p w:rsidR="0031277E" w:rsidRPr="00615350" w:rsidRDefault="0031277E" w:rsidP="00900448">
      <w:pPr>
        <w:spacing w:before="100" w:beforeAutospacing="1" w:after="100" w:afterAutospacing="1"/>
        <w:jc w:val="both"/>
        <w:outlineLvl w:val="2"/>
        <w:rPr>
          <w:rFonts w:ascii="Times New Roman" w:eastAsia="Times New Roman" w:hAnsi="Times New Roman" w:cs="Times New Roman"/>
          <w:b/>
          <w:bCs/>
          <w:sz w:val="24"/>
          <w:szCs w:val="24"/>
        </w:rPr>
      </w:pPr>
      <w:bookmarkStart w:id="42" w:name="_Toc240282300"/>
      <w:r w:rsidRPr="00615350">
        <w:rPr>
          <w:rFonts w:ascii="Times New Roman" w:eastAsia="Times New Roman" w:hAnsi="Times New Roman" w:cs="Times New Roman"/>
          <w:b/>
          <w:bCs/>
          <w:sz w:val="24"/>
          <w:szCs w:val="24"/>
        </w:rPr>
        <w:t>Posebni cilj 5 – Uspostavljanje funkcionalnog sistema upravljanja neopasnim građevinskim otpadom</w:t>
      </w:r>
      <w:bookmarkEnd w:id="42"/>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Raspoloživi podaci pokazuju da se u lokalnom sistemu evidentira približno </w:t>
      </w:r>
      <w:r w:rsidRPr="00615350">
        <w:rPr>
          <w:rFonts w:ascii="Times New Roman" w:eastAsia="Times New Roman" w:hAnsi="Times New Roman" w:cs="Times New Roman"/>
          <w:b/>
          <w:bCs/>
          <w:sz w:val="24"/>
          <w:szCs w:val="24"/>
        </w:rPr>
        <w:t>1.500–1.760 t/god. zemlje, kamena i građevinskog otpada</w:t>
      </w:r>
      <w:r w:rsidRPr="00615350">
        <w:rPr>
          <w:rFonts w:ascii="Times New Roman" w:eastAsia="Times New Roman" w:hAnsi="Times New Roman" w:cs="Times New Roman"/>
          <w:sz w:val="24"/>
          <w:szCs w:val="24"/>
        </w:rPr>
        <w:t>, ali postojeća evidencija ne omogućava precizno utvrđivanje količine i strukture neopasnog građevinskog otpada po pojedinačnim frakcijama.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planskom periodu potrebno je uspostaviti kontrolisani sistem prijema, vaganja, evidencije, razvrstavanja i postupanja sa neopasnim građevinskim otpadom i stvoriti uslove za njegovo materijalno iskorišćenje.</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Zakonom i DPUO utvrđen je cilj da se do </w:t>
      </w:r>
      <w:r w:rsidRPr="00615350">
        <w:rPr>
          <w:rFonts w:ascii="Times New Roman" w:eastAsia="Times New Roman" w:hAnsi="Times New Roman" w:cs="Times New Roman"/>
          <w:b/>
          <w:bCs/>
          <w:sz w:val="24"/>
          <w:szCs w:val="24"/>
        </w:rPr>
        <w:t>2030. godine najmanje 70% mase sakupljenog neopasnog građevinskog otpada</w:t>
      </w:r>
      <w:r w:rsidRPr="00615350">
        <w:rPr>
          <w:rFonts w:ascii="Times New Roman" w:eastAsia="Times New Roman" w:hAnsi="Times New Roman" w:cs="Times New Roman"/>
          <w:sz w:val="24"/>
          <w:szCs w:val="24"/>
        </w:rPr>
        <w:t xml:space="preserve"> pripremi za ponovnu upotrebu, recikliranje i druge načine materijalne prerade. Zbog završetka ovog LPUO u 2029. godini, osnovni zadatak Plana jeste da tokom planskog perioda uspostavi sistem koji omogućava ostvarivanje tog cilja u 2030. godini.</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lastRenderedPageBreak/>
        <w:t>Ciljna vrijednost do 2029. godine: uspostavljen funkcionalan sistem odvojenog prijema, vaganja, evidencije i razvrstavanja neopasnog građevinskog otpada, uz redovno usmjeravanje pogodnih frakcija ka ponovnoj upotrebi, reciklaži i drugoj materijalnoj preradi.</w:t>
      </w:r>
    </w:p>
    <w:p w:rsidR="0031277E" w:rsidRPr="00615350" w:rsidRDefault="0031277E" w:rsidP="00900448">
      <w:pPr>
        <w:spacing w:before="100" w:beforeAutospacing="1" w:after="100" w:afterAutospacing="1"/>
        <w:jc w:val="both"/>
        <w:outlineLvl w:val="2"/>
        <w:rPr>
          <w:rFonts w:ascii="Times New Roman" w:eastAsia="Times New Roman" w:hAnsi="Times New Roman" w:cs="Times New Roman"/>
          <w:b/>
          <w:bCs/>
          <w:sz w:val="24"/>
          <w:szCs w:val="24"/>
        </w:rPr>
      </w:pPr>
      <w:bookmarkStart w:id="43" w:name="_Toc240282301"/>
      <w:r w:rsidRPr="00615350">
        <w:rPr>
          <w:rFonts w:ascii="Times New Roman" w:eastAsia="Times New Roman" w:hAnsi="Times New Roman" w:cs="Times New Roman"/>
          <w:b/>
          <w:bCs/>
          <w:sz w:val="24"/>
          <w:szCs w:val="24"/>
        </w:rPr>
        <w:t>Posebni cilj 6 – Sanacija neuređenih odlagališta i sprečavanje njihovog ponovnog nastanka</w:t>
      </w:r>
      <w:bookmarkEnd w:id="43"/>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Neuređena odlagališta predstavljaju jedan od značajnih lokalnih problema. Zvanični popisi pokazuju da broj evidentiranih lokacija varira po godinama, pa cilj ne treba svesti samo na jednokratno uklanjanje otpada, već na sanaciju, praćenje i sprečavanje njihovog ponovnog nastanka.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Sanaciju treba povezati sa proširenjem organizovanog sakupljanja, dostupnošću sistema za predaju kabastog i građevinskog otpada, pojačanim nadzorom i kontinuiranim informisanjem stanovništva.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Ciljna vrijednost do 2029. godine: sanirati evidentirana aktivna neuređena odlagališta za koja je nadležna Opština, u skladu sa utvrđenim prioritetima, uz uspostavljanje redovno ažurirane evidencije, praćenje saniranih lokacija i sprovođenje mjera za sprečavanje ponovnog nelegalnog odlaganja.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Broj saniranih lokacija, broj novih lokacija i broj saniranih lokacija na kojima je ponovo došlo do nepropisnog odlaganja koristiće se kao osnovni indikatori praćenja.</w:t>
      </w:r>
    </w:p>
    <w:p w:rsidR="0031277E" w:rsidRPr="00615350" w:rsidRDefault="0031277E" w:rsidP="00900448">
      <w:pPr>
        <w:spacing w:before="100" w:beforeAutospacing="1" w:after="100" w:afterAutospacing="1"/>
        <w:jc w:val="both"/>
        <w:outlineLvl w:val="2"/>
        <w:rPr>
          <w:rFonts w:ascii="Times New Roman" w:eastAsia="Times New Roman" w:hAnsi="Times New Roman" w:cs="Times New Roman"/>
          <w:b/>
          <w:bCs/>
          <w:sz w:val="24"/>
          <w:szCs w:val="24"/>
        </w:rPr>
      </w:pPr>
      <w:bookmarkStart w:id="44" w:name="_Toc240282302"/>
      <w:r w:rsidRPr="00615350">
        <w:rPr>
          <w:rFonts w:ascii="Times New Roman" w:eastAsia="Times New Roman" w:hAnsi="Times New Roman" w:cs="Times New Roman"/>
          <w:b/>
          <w:bCs/>
          <w:sz w:val="24"/>
          <w:szCs w:val="24"/>
        </w:rPr>
        <w:t>Posebni cilj 7 – Razvoj lokalne infrastrukture i povezivanje sa regionalnim sistemom</w:t>
      </w:r>
      <w:bookmarkEnd w:id="44"/>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za Berane predviđa </w:t>
      </w:r>
      <w:r w:rsidRPr="00615350">
        <w:rPr>
          <w:rFonts w:ascii="Times New Roman" w:eastAsia="Times New Roman" w:hAnsi="Times New Roman" w:cs="Times New Roman"/>
          <w:b/>
          <w:bCs/>
          <w:sz w:val="24"/>
          <w:szCs w:val="24"/>
        </w:rPr>
        <w:t>reciklažni centar</w:t>
      </w:r>
      <w:r w:rsidRPr="00615350">
        <w:rPr>
          <w:rFonts w:ascii="Times New Roman" w:eastAsia="Times New Roman" w:hAnsi="Times New Roman" w:cs="Times New Roman"/>
          <w:sz w:val="24"/>
          <w:szCs w:val="24"/>
        </w:rPr>
        <w:t xml:space="preserve"> kao dio lokalne infrastrukture sjevernog regionalnog sistema. Njegovu konačnu funkciju, sadržaj i tehnički kapacitet potrebno je utvrditi u skladu sa DPUO, raspoloživom projektnom dokumentacijom i odgovarajućim studijskim i tehničkim analizama.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Berane je istovremeno uključeno u sjeverni regionalni sistem sa Regionalnim centrom za upravljanje otpadom u Bijelom Polju. U okviru Regionalnog centra u Bijelom Polju DPUO predviđa MRF kapaciteta </w:t>
      </w:r>
      <w:r w:rsidRPr="00615350">
        <w:rPr>
          <w:rFonts w:ascii="Times New Roman" w:eastAsia="Times New Roman" w:hAnsi="Times New Roman" w:cs="Times New Roman"/>
          <w:b/>
          <w:bCs/>
          <w:sz w:val="24"/>
          <w:szCs w:val="24"/>
        </w:rPr>
        <w:t>13.980 t/god.</w:t>
      </w:r>
      <w:r w:rsidRPr="00615350">
        <w:rPr>
          <w:rFonts w:ascii="Times New Roman" w:eastAsia="Times New Roman" w:hAnsi="Times New Roman" w:cs="Times New Roman"/>
          <w:sz w:val="24"/>
          <w:szCs w:val="24"/>
        </w:rPr>
        <w:t xml:space="preserve">, postrojenje za kompostiranje odvojeno sakupljenog biološkog otpada kapaciteta </w:t>
      </w:r>
      <w:r w:rsidRPr="00615350">
        <w:rPr>
          <w:rFonts w:ascii="Times New Roman" w:eastAsia="Times New Roman" w:hAnsi="Times New Roman" w:cs="Times New Roman"/>
          <w:b/>
          <w:bCs/>
          <w:sz w:val="24"/>
          <w:szCs w:val="24"/>
        </w:rPr>
        <w:t>5.069 t/god.</w:t>
      </w:r>
      <w:r w:rsidRPr="00615350">
        <w:rPr>
          <w:rFonts w:ascii="Times New Roman" w:eastAsia="Times New Roman" w:hAnsi="Times New Roman" w:cs="Times New Roman"/>
          <w:sz w:val="24"/>
          <w:szCs w:val="24"/>
        </w:rPr>
        <w:t xml:space="preserve">, MBT kapaciteta </w:t>
      </w:r>
      <w:r w:rsidRPr="00615350">
        <w:rPr>
          <w:rFonts w:ascii="Times New Roman" w:eastAsia="Times New Roman" w:hAnsi="Times New Roman" w:cs="Times New Roman"/>
          <w:b/>
          <w:bCs/>
          <w:sz w:val="24"/>
          <w:szCs w:val="24"/>
        </w:rPr>
        <w:t>49.804 t/god.</w:t>
      </w:r>
      <w:r w:rsidRPr="00615350">
        <w:rPr>
          <w:rFonts w:ascii="Times New Roman" w:eastAsia="Times New Roman" w:hAnsi="Times New Roman" w:cs="Times New Roman"/>
          <w:sz w:val="24"/>
          <w:szCs w:val="24"/>
        </w:rPr>
        <w:t xml:space="preserve"> i regionalnu deponiju kapaciteta </w:t>
      </w:r>
      <w:r w:rsidRPr="00615350">
        <w:rPr>
          <w:rFonts w:ascii="Times New Roman" w:eastAsia="Times New Roman" w:hAnsi="Times New Roman" w:cs="Times New Roman"/>
          <w:b/>
          <w:bCs/>
          <w:sz w:val="24"/>
          <w:szCs w:val="24"/>
        </w:rPr>
        <w:t>34.257 t/god.</w:t>
      </w:r>
      <w:r w:rsidRPr="00615350">
        <w:rPr>
          <w:rFonts w:ascii="Times New Roman" w:eastAsia="Times New Roman" w:hAnsi="Times New Roman" w:cs="Times New Roman"/>
          <w:sz w:val="24"/>
          <w:szCs w:val="24"/>
        </w:rPr>
        <w:t xml:space="preserve"> </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Ciljna vrijednost do 2029. godine: stvoriti tehničke, prostorne, organizacione i finansijske uslove za uspostavljanje planiranog reciklažnog centra u Beranama i funkcionalno povezivanje lokalnog sistema sa Regionalnim centrom za upravljanje otpadom u Bijelom Polju, u skladu sa stvarnom dinamikom realizacije regionalne infrastrukture.</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Po uspostavljanju funkcionalnog regionalnog sistema i obezbjeđivanju uslova za prijem otpada iz Berana potrebno je obustaviti privremeno skladištenje miješanog komunalnog otpada na lokaciji „Rujiške laze“ i pristupiti njenom zatvaranju, sanaciji i rekultivaciji.</w:t>
      </w:r>
    </w:p>
    <w:p w:rsidR="0031277E" w:rsidRPr="00615350" w:rsidRDefault="0031277E" w:rsidP="00900448">
      <w:pPr>
        <w:spacing w:before="100" w:beforeAutospacing="1" w:after="100" w:afterAutospacing="1"/>
        <w:jc w:val="both"/>
        <w:outlineLvl w:val="2"/>
        <w:rPr>
          <w:rFonts w:ascii="Times New Roman" w:eastAsia="Times New Roman" w:hAnsi="Times New Roman" w:cs="Times New Roman"/>
          <w:b/>
          <w:bCs/>
          <w:sz w:val="24"/>
          <w:szCs w:val="24"/>
        </w:rPr>
      </w:pPr>
      <w:bookmarkStart w:id="45" w:name="_Toc240282303"/>
      <w:r w:rsidRPr="00615350">
        <w:rPr>
          <w:rFonts w:ascii="Times New Roman" w:eastAsia="Times New Roman" w:hAnsi="Times New Roman" w:cs="Times New Roman"/>
          <w:b/>
          <w:bCs/>
          <w:sz w:val="24"/>
          <w:szCs w:val="24"/>
        </w:rPr>
        <w:t>Posebni cilj 8 – Unapređenje evidencije, monitoringa i učešća javnosti</w:t>
      </w:r>
      <w:bookmarkEnd w:id="45"/>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Pouzdane i provjerljive evidencije predstavljaju osnov za praćenje ostvarivanja svih ciljeva Plana. U planskom periodu potrebno je unaprijediti podatke o količinama generisanog, sakupljenog, odvojeno sakupljenog, pripremljenog za ponovnu upotrebu, recikliranog, tretiranog i odloženog otpada, uz postepeno uspostavljanje vaganja relevantnih tokova.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Istovremeno je potrebno kontinuirano sprovoditi informisanje i edukaciju stanovništva o sprječavanju nastanka otpada, pravilnom razdvajanju, kućnom kompostiranju, smanjenju korišćenja jednokratnih proizvoda i pravilnom postupanju sa kabastim, građevinskim i drugim posebnim tokovima otpada.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Ciljna vrijednost do 2029. godine: uspostavljen sistem godišnjeg praćenja ključnih indikatora LPUO na osnovu mjerljivih i provjerljivih podataka, uz kontinuirano informisanje, edukaciju i uključivanje korisnika sistema.</w:t>
      </w:r>
    </w:p>
    <w:p w:rsidR="0031277E" w:rsidRPr="00615350" w:rsidRDefault="00C26278" w:rsidP="00D94B9A">
      <w:pPr>
        <w:jc w:val="center"/>
        <w:rPr>
          <w:rFonts w:ascii="Times New Roman" w:hAnsi="Times New Roman" w:cs="Times New Roman"/>
          <w:sz w:val="24"/>
        </w:rPr>
      </w:pPr>
      <w:r w:rsidRPr="00615350">
        <w:rPr>
          <w:rFonts w:ascii="Times New Roman" w:hAnsi="Times New Roman" w:cs="Times New Roman"/>
          <w:sz w:val="24"/>
        </w:rPr>
        <w:t xml:space="preserve">Tabela br. 19 </w:t>
      </w:r>
      <w:r w:rsidR="0031277E" w:rsidRPr="00615350">
        <w:rPr>
          <w:rFonts w:ascii="Times New Roman" w:hAnsi="Times New Roman" w:cs="Times New Roman"/>
          <w:sz w:val="24"/>
        </w:rPr>
        <w:t>Pregled ključnih ciljnih vrijednosti</w:t>
      </w:r>
    </w:p>
    <w:tbl>
      <w:tblPr>
        <w:tblStyle w:val="LightShading-Accent1"/>
        <w:tblW w:w="0" w:type="auto"/>
        <w:tblLook w:val="04A0" w:firstRow="1" w:lastRow="0" w:firstColumn="1" w:lastColumn="0" w:noHBand="0" w:noVBand="1"/>
      </w:tblPr>
      <w:tblGrid>
        <w:gridCol w:w="3182"/>
        <w:gridCol w:w="1620"/>
        <w:gridCol w:w="1973"/>
        <w:gridCol w:w="2468"/>
      </w:tblGrid>
      <w:tr w:rsidR="0031277E" w:rsidRPr="00615350" w:rsidTr="00615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Pokazatelj</w:t>
            </w:r>
          </w:p>
        </w:tc>
        <w:tc>
          <w:tcPr>
            <w:tcW w:w="0" w:type="auto"/>
            <w:hideMark/>
          </w:tcPr>
          <w:p w:rsidR="0031277E" w:rsidRPr="00615350" w:rsidRDefault="0031277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Polazno stanje</w:t>
            </w:r>
          </w:p>
        </w:tc>
        <w:tc>
          <w:tcPr>
            <w:tcW w:w="0" w:type="auto"/>
            <w:hideMark/>
          </w:tcPr>
          <w:p w:rsidR="0031277E" w:rsidRPr="00615350" w:rsidRDefault="0031277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Rok</w:t>
            </w:r>
          </w:p>
        </w:tc>
        <w:tc>
          <w:tcPr>
            <w:tcW w:w="2468" w:type="dxa"/>
            <w:hideMark/>
          </w:tcPr>
          <w:p w:rsidR="0031277E" w:rsidRPr="00615350" w:rsidRDefault="0031277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Ciljna vrijednost</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Obuhvat organizovanim sakupljanjem</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oko 81,2%</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2026.</w:t>
            </w:r>
          </w:p>
        </w:tc>
        <w:tc>
          <w:tcPr>
            <w:tcW w:w="2468" w:type="dxa"/>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≈100%</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Odvojeno sakupljanje osnovnih reciklabilnih materijala</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sistem nedovoljno razvijen</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2026.</w:t>
            </w:r>
          </w:p>
        </w:tc>
        <w:tc>
          <w:tcPr>
            <w:tcW w:w="2468" w:type="dxa"/>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≥15%</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Odvojeno sakupljanje osnovnih reciklabilnih materijala</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2028.</w:t>
            </w:r>
          </w:p>
        </w:tc>
        <w:tc>
          <w:tcPr>
            <w:tcW w:w="2468" w:type="dxa"/>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≥25%</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Papir, karton, plastika, staklo i metali – priprema za ponovnu upotrebu/reciklažu</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sistem nedovoljno razvijen</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2029.</w:t>
            </w:r>
          </w:p>
        </w:tc>
        <w:tc>
          <w:tcPr>
            <w:tcW w:w="2468" w:type="dxa"/>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≥30%</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Biootpad – odvojeno sakupljanje</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sistem nije potpuno uspostavljen</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2026.</w:t>
            </w:r>
          </w:p>
        </w:tc>
        <w:tc>
          <w:tcPr>
            <w:tcW w:w="2468" w:type="dxa"/>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≥17%</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Kućno kompostiranje</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nema sistemskog programa</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2026.</w:t>
            </w:r>
          </w:p>
        </w:tc>
        <w:tc>
          <w:tcPr>
            <w:tcW w:w="2468" w:type="dxa"/>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≥4% biootpada</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Biootpad</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sistem nije potpuno uspostavljen</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od 1.1.2027.</w:t>
            </w:r>
          </w:p>
        </w:tc>
        <w:tc>
          <w:tcPr>
            <w:tcW w:w="2468" w:type="dxa"/>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odvojeno sakupljanje ili recikliranje na izvoru</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Tekstil – odvojeno sakupljanje</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nije sistemski razvijeno</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2026.</w:t>
            </w:r>
          </w:p>
        </w:tc>
        <w:tc>
          <w:tcPr>
            <w:tcW w:w="2468" w:type="dxa"/>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≥10%</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Tekstil – ponovna upotreba/reciklaža</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nije sistemski razvijeno</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2027.</w:t>
            </w:r>
          </w:p>
        </w:tc>
        <w:tc>
          <w:tcPr>
            <w:tcW w:w="2468" w:type="dxa"/>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≥10%</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Kabasti otpad – odvojeno sakupljanje</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djelimično sakupljanje</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2026.</w:t>
            </w:r>
          </w:p>
        </w:tc>
        <w:tc>
          <w:tcPr>
            <w:tcW w:w="2468" w:type="dxa"/>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≥15%</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Kabasti otpad – ponovna upotreba/reciklaža odvojeno sakupljene količine</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djelimično sakupljanje</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2028.</w:t>
            </w:r>
          </w:p>
        </w:tc>
        <w:tc>
          <w:tcPr>
            <w:tcW w:w="2468" w:type="dxa"/>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Neopasni građevinski otpad</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nepotpuna evidencija</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2029.</w:t>
            </w:r>
          </w:p>
        </w:tc>
        <w:tc>
          <w:tcPr>
            <w:tcW w:w="2468" w:type="dxa"/>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funkcionalan sistem prijema, vaganja, evidencije i razvrstavanja</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Neuređena odlagališta</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evidentirane aktivne lokacije</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2029.</w:t>
            </w:r>
          </w:p>
        </w:tc>
        <w:tc>
          <w:tcPr>
            <w:tcW w:w="2468" w:type="dxa"/>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sanacija lokacija u nadležnosti Opštine prema prioritetima i praćenje ponovnog nastanka</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Reciklažni centar Berane</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planiran DPUO</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2029. / prema realizaciji</w:t>
            </w:r>
          </w:p>
        </w:tc>
        <w:tc>
          <w:tcPr>
            <w:tcW w:w="2468" w:type="dxa"/>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stvoreni uslovi za uspostavljanje i funkcionisanje</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Regionalni sistem</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nije operativno povezan</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prema realizaciji RCUO</w:t>
            </w:r>
          </w:p>
        </w:tc>
        <w:tc>
          <w:tcPr>
            <w:tcW w:w="2468" w:type="dxa"/>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funkcionalno povezivanje sa RCUO Bijelo Polje</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„Rujiške laze“</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privremeno skladištenje</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po uspostavljanju regionalnog sistema</w:t>
            </w:r>
          </w:p>
        </w:tc>
        <w:tc>
          <w:tcPr>
            <w:tcW w:w="2468" w:type="dxa"/>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prestanak korišćenja, zatvaranje, sanacija i rekultivacija</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Evidencija i monitoring</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nepotpuno mjerenje</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2029.</w:t>
            </w:r>
          </w:p>
        </w:tc>
        <w:tc>
          <w:tcPr>
            <w:tcW w:w="2468" w:type="dxa"/>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godišnje praćenje ključnih tokova i indikatora na osnovu provjerljivih podataka</w:t>
            </w:r>
          </w:p>
        </w:tc>
      </w:tr>
    </w:tbl>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ciljeve za koje Zakon i DPUO utvrđuju konkretan rok i procentualnu vrijednost, u ovom Planu preuzimaju se upravo ti rokovi i vrijednosti. Za organizacione i infrastrukturne ciljeve specifične za Berane definiše se mjerljiv rezultat koji treba postići tokom planskog perioda. Detaljna dinamika realizacije pojedinačnih mjera i aktivnosti, njihovi nosioci, indikatori i izvori finansiranja utvrđuju se Akcionim planom.</w:t>
      </w:r>
    </w:p>
    <w:p w:rsidR="00042F0D" w:rsidRPr="00615350" w:rsidRDefault="00042F0D" w:rsidP="00C26278">
      <w:pPr>
        <w:pStyle w:val="Heading2"/>
        <w:rPr>
          <w:rFonts w:eastAsia="Times New Roman"/>
        </w:rPr>
      </w:pPr>
      <w:bookmarkStart w:id="46" w:name="_Toc240282304"/>
      <w:r w:rsidRPr="00615350">
        <w:rPr>
          <w:rFonts w:eastAsia="Times New Roman"/>
        </w:rPr>
        <w:t>5.3. Usklađenost ciljeva Lokalnog plana sa Državnim planom upravljanja otpadom 2025–2029.</w:t>
      </w:r>
      <w:bookmarkEnd w:id="46"/>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Ciljevi Lokalnog plana upravljanja komunalnim i neopasnim građevinskim otpadom Opštine Berane za period 2026–2029. godine definisani su u skladu sa ciljevima, mjerama i infrastrukturnim konceptom utvrđenim Državnim planom upravljanja otpadom za period 2025–2029. godine (DPUO), uz uvažavanje postojećeg stanja, raspoloživih lokalnih podataka i specifičnosti sistema upravljanja otpadom na teritoriji opštine Berane.</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Osnovno opredjeljenje DPUO jeste postepeni prelazak sa sistema zasnovanog pretežno na sakupljanju i odlaganju otpada na sistem koji primjenjuje hijerarhiju upravljanja otpadom, odnosno daje prioritet sprječavanju nastanka otpada, pripremi za ponovnu upotrebu, reciklaži i drugim oblicima prerade, dok odlaganje predstavlja krajnju opciju za preostali dio otpada koji nije moguće na odgovarajući način iskoristiti.</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tom smislu, ciljevi ovog Lokalnog plana neposredno doprinose realizaciji državnih ciljeva kroz povećanje obuhvata organizovanim sakupljanjem, razvoj odvojenog sakupljanja i primarne selekcije, povećanje ponovne upotrebe i reciklaže, odvojeno upravljanje biootpadom, unapređenje upravljanja posebnim tokovima iz domaćinstava i neopasnim građevinskim otpadom, razvoj lokalne infrastrukture, sanaciju neuređenih odlagališta i unapređenje sistema evidencije i monitoringa.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Posebno značajan segment predstavlja razvoj sistema za odvojeno sakupljanje papira, metala, plastike i stakla. DPUO predviđa da se </w:t>
      </w:r>
      <w:r w:rsidRPr="00615350">
        <w:rPr>
          <w:rFonts w:ascii="Times New Roman" w:eastAsia="Times New Roman" w:hAnsi="Times New Roman" w:cs="Times New Roman"/>
          <w:b/>
          <w:bCs/>
          <w:sz w:val="24"/>
          <w:szCs w:val="24"/>
        </w:rPr>
        <w:t xml:space="preserve">15% reciklabilnih materijala odvojeno sakuplja do </w:t>
      </w:r>
      <w:r w:rsidRPr="00615350">
        <w:rPr>
          <w:rFonts w:ascii="Times New Roman" w:eastAsia="Times New Roman" w:hAnsi="Times New Roman" w:cs="Times New Roman"/>
          <w:b/>
          <w:bCs/>
          <w:sz w:val="24"/>
          <w:szCs w:val="24"/>
        </w:rPr>
        <w:lastRenderedPageBreak/>
        <w:t>2026. godine, 25% do 2028. godine i 40% do 2030. godine</w:t>
      </w:r>
      <w:r w:rsidRPr="00615350">
        <w:rPr>
          <w:rFonts w:ascii="Times New Roman" w:eastAsia="Times New Roman" w:hAnsi="Times New Roman" w:cs="Times New Roman"/>
          <w:sz w:val="24"/>
          <w:szCs w:val="24"/>
        </w:rPr>
        <w:t>. Ove ciljeve treba razlikovati od cilja pripreme za ponovnu upotrebu i reciklažu.</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krajnju godinu perioda DPUO, odnosno </w:t>
      </w:r>
      <w:r w:rsidRPr="00615350">
        <w:rPr>
          <w:rFonts w:ascii="Times New Roman" w:eastAsia="Times New Roman" w:hAnsi="Times New Roman" w:cs="Times New Roman"/>
          <w:b/>
          <w:bCs/>
          <w:sz w:val="24"/>
          <w:szCs w:val="24"/>
        </w:rPr>
        <w:t>2029. godinu</w:t>
      </w:r>
      <w:r w:rsidRPr="00615350">
        <w:rPr>
          <w:rFonts w:ascii="Times New Roman" w:eastAsia="Times New Roman" w:hAnsi="Times New Roman" w:cs="Times New Roman"/>
          <w:sz w:val="24"/>
          <w:szCs w:val="24"/>
        </w:rPr>
        <w:t xml:space="preserve">, utvrđen je cilj da se najmanje </w:t>
      </w:r>
      <w:r w:rsidRPr="00615350">
        <w:rPr>
          <w:rFonts w:ascii="Times New Roman" w:eastAsia="Times New Roman" w:hAnsi="Times New Roman" w:cs="Times New Roman"/>
          <w:b/>
          <w:bCs/>
          <w:sz w:val="24"/>
          <w:szCs w:val="24"/>
        </w:rPr>
        <w:t>30% papira, metala, plastike i stakla iz domaćinstava i drugih izvora sa sličnim tokovima otpada pripremi za ponovnu upotrebu i reciklažu</w:t>
      </w:r>
      <w:r w:rsidRPr="00615350">
        <w:rPr>
          <w:rFonts w:ascii="Times New Roman" w:eastAsia="Times New Roman" w:hAnsi="Times New Roman" w:cs="Times New Roman"/>
          <w:sz w:val="24"/>
          <w:szCs w:val="24"/>
        </w:rPr>
        <w:t xml:space="preserve">. Za Berane ovaj cilj, prema lokalnoj projekciji iz poglavlja 4, odgovara orijentacionoj količini od približno </w:t>
      </w:r>
      <w:r w:rsidRPr="00615350">
        <w:rPr>
          <w:rFonts w:ascii="Times New Roman" w:eastAsia="Times New Roman" w:hAnsi="Times New Roman" w:cs="Times New Roman"/>
          <w:b/>
          <w:bCs/>
          <w:sz w:val="24"/>
          <w:szCs w:val="24"/>
        </w:rPr>
        <w:t>1.025 t/god.</w:t>
      </w:r>
      <w:r w:rsidRPr="00615350">
        <w:rPr>
          <w:rFonts w:ascii="Times New Roman" w:eastAsia="Times New Roman" w:hAnsi="Times New Roman" w:cs="Times New Roman"/>
          <w:sz w:val="24"/>
          <w:szCs w:val="24"/>
        </w:rPr>
        <w:t xml:space="preserve"> u 2029. godini. Zakonski cilj od najmanje 50% za ove materijale odnosi se na 2030. godinu i predstavlja naredni nivo koji sistem treba da dostigne nakon isteka planskog perioda ovog LPUO.</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oblasti upravljanja biootpadom Lokalni plan prati više povezanih ciljeva DPUO. Predviđeno je da se do kraja 2026. godine </w:t>
      </w:r>
      <w:r w:rsidRPr="00615350">
        <w:rPr>
          <w:rFonts w:ascii="Times New Roman" w:eastAsia="Times New Roman" w:hAnsi="Times New Roman" w:cs="Times New Roman"/>
          <w:b/>
          <w:bCs/>
          <w:sz w:val="24"/>
          <w:szCs w:val="24"/>
        </w:rPr>
        <w:t>najmanje 17% biootpada odvojeno sakuplja</w:t>
      </w:r>
      <w:r w:rsidRPr="00615350">
        <w:rPr>
          <w:rFonts w:ascii="Times New Roman" w:eastAsia="Times New Roman" w:hAnsi="Times New Roman" w:cs="Times New Roman"/>
          <w:sz w:val="24"/>
          <w:szCs w:val="24"/>
        </w:rPr>
        <w:t xml:space="preserve">, da se najmanje </w:t>
      </w:r>
      <w:r w:rsidRPr="00615350">
        <w:rPr>
          <w:rFonts w:ascii="Times New Roman" w:eastAsia="Times New Roman" w:hAnsi="Times New Roman" w:cs="Times New Roman"/>
          <w:b/>
          <w:bCs/>
          <w:sz w:val="24"/>
          <w:szCs w:val="24"/>
        </w:rPr>
        <w:t>4% biootpada obuhvati kućnim kompostiranjem</w:t>
      </w:r>
      <w:r w:rsidRPr="00615350">
        <w:rPr>
          <w:rFonts w:ascii="Times New Roman" w:eastAsia="Times New Roman" w:hAnsi="Times New Roman" w:cs="Times New Roman"/>
          <w:sz w:val="24"/>
          <w:szCs w:val="24"/>
        </w:rPr>
        <w:t xml:space="preserve">, kao i da se do 2026. godine odvojeno sakuplja 50% zelenog otpada. Od </w:t>
      </w:r>
      <w:r w:rsidRPr="00615350">
        <w:rPr>
          <w:rFonts w:ascii="Times New Roman" w:eastAsia="Times New Roman" w:hAnsi="Times New Roman" w:cs="Times New Roman"/>
          <w:b/>
          <w:bCs/>
          <w:sz w:val="24"/>
          <w:szCs w:val="24"/>
        </w:rPr>
        <w:t>1. januara 2027. godine komunalni biootpad treba da bude odvojeno sakupljen ili recikliran na izvoru</w:t>
      </w:r>
      <w:r w:rsidRPr="00615350">
        <w:rPr>
          <w:rFonts w:ascii="Times New Roman" w:eastAsia="Times New Roman" w:hAnsi="Times New Roman" w:cs="Times New Roman"/>
          <w:sz w:val="24"/>
          <w:szCs w:val="24"/>
        </w:rPr>
        <w:t>. Ovi ciljevi imaju poseban značaj za Berane, imajući u vidu da lokalna morfološka analiza pokazuje visoko učešće organske/biorazgradive frakcije od 33,3% u komunalnom otpadu.</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Lokalni plan je usklađen i sa ciljevima DPUO za posebne tokove otpada iz domaćinstava. Za tekstil i kabasti otpad utvrđeni su posebni ciljevi odvojenog sakupljanja, kao i ciljevi njihove ponovne upotrebe i reciklaže. DPUO predviđa najmanje </w:t>
      </w:r>
      <w:r w:rsidRPr="00615350">
        <w:rPr>
          <w:rFonts w:ascii="Times New Roman" w:eastAsia="Times New Roman" w:hAnsi="Times New Roman" w:cs="Times New Roman"/>
          <w:b/>
          <w:bCs/>
          <w:sz w:val="24"/>
          <w:szCs w:val="24"/>
        </w:rPr>
        <w:t>10% odvojenog sakupljanja tekstila i 15% kabastog otpada do kraja 2026. godine</w:t>
      </w:r>
      <w:r w:rsidRPr="00615350">
        <w:rPr>
          <w:rFonts w:ascii="Times New Roman" w:eastAsia="Times New Roman" w:hAnsi="Times New Roman" w:cs="Times New Roman"/>
          <w:sz w:val="24"/>
          <w:szCs w:val="24"/>
        </w:rPr>
        <w:t xml:space="preserve">, dok je u operativnim mjerama predviđeno da do 2027. godine 10% tekstila bude ponovo upotrijebljeno ili reciklirano, odnosno da do 2028. godine 20% odvojeno sakupljenog kabastog otpada bude ponovo upotrijebljeno ili reciklirano. </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pogledu neopasnog građevinskog otpada, Lokalni plan je usmjeren na stvaranje tehničkih i organizacionih pretpostavki za ostvarivanje zakonskog i DPUO cilja prema kojem do </w:t>
      </w:r>
      <w:r w:rsidRPr="00615350">
        <w:rPr>
          <w:rFonts w:ascii="Times New Roman" w:eastAsia="Times New Roman" w:hAnsi="Times New Roman" w:cs="Times New Roman"/>
          <w:b/>
          <w:bCs/>
          <w:sz w:val="24"/>
          <w:szCs w:val="24"/>
        </w:rPr>
        <w:t>2030. godine najmanje 70% mase sakupljenog neopasnog građevinskog otpada treba pripremiti za ponovnu upotrebu, recikliranje i druge oblike materijalne prerade</w:t>
      </w:r>
      <w:r w:rsidRPr="00615350">
        <w:rPr>
          <w:rFonts w:ascii="Times New Roman" w:eastAsia="Times New Roman" w:hAnsi="Times New Roman" w:cs="Times New Roman"/>
          <w:sz w:val="24"/>
          <w:szCs w:val="24"/>
        </w:rPr>
        <w:t>. Kako planski period ovog LPUO završava 2029. godine, prioritet za Berane predstavlja uspostavljanje funkcionalnog sistema kontrolisanog prijema, vaganja, evidencije, razvrstavanja i usmjeravanja pogodnih frakcija ka materijalnom iskorišćenju.</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Usklađenost sa DPUO odnosi se i na planirani infrastrukturni razvoj. Za Berane je u okviru infrastrukture sjevernog regionalnog sistema predviđen </w:t>
      </w:r>
      <w:r w:rsidRPr="00615350">
        <w:rPr>
          <w:rFonts w:ascii="Times New Roman" w:eastAsia="Times New Roman" w:hAnsi="Times New Roman" w:cs="Times New Roman"/>
          <w:b/>
          <w:bCs/>
          <w:sz w:val="24"/>
          <w:szCs w:val="24"/>
        </w:rPr>
        <w:t>reciklažni centar</w:t>
      </w:r>
      <w:r w:rsidRPr="00615350">
        <w:rPr>
          <w:rFonts w:ascii="Times New Roman" w:eastAsia="Times New Roman" w:hAnsi="Times New Roman" w:cs="Times New Roman"/>
          <w:sz w:val="24"/>
          <w:szCs w:val="24"/>
        </w:rPr>
        <w:t>, koji treba da predstavlja lokalnu kariku sistema odvojenog sakupljanja, ponovne upotrebe i upravljanja posebnim tokovima otpada. Konačna funkcija, tehničko rješenje i kapacitet reciklažnog centra treba da budu potvrđeni odgovarajućom projektnom i studijskom dokumentacijom.</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Istovremeno, DPUO predviđa uključivanje Berana u </w:t>
      </w:r>
      <w:r w:rsidRPr="00615350">
        <w:rPr>
          <w:rFonts w:ascii="Times New Roman" w:eastAsia="Times New Roman" w:hAnsi="Times New Roman" w:cs="Times New Roman"/>
          <w:b/>
          <w:bCs/>
          <w:sz w:val="24"/>
          <w:szCs w:val="24"/>
        </w:rPr>
        <w:t>sjeverni regionalni sistem upravljanja otpadom sa Regionalnim centrom u Bijelom Polju</w:t>
      </w:r>
      <w:r w:rsidRPr="00615350">
        <w:rPr>
          <w:rFonts w:ascii="Times New Roman" w:eastAsia="Times New Roman" w:hAnsi="Times New Roman" w:cs="Times New Roman"/>
          <w:sz w:val="24"/>
          <w:szCs w:val="24"/>
        </w:rPr>
        <w:t xml:space="preserve">. U okviru Regionalnog centra planirani su MRF kapaciteta </w:t>
      </w:r>
      <w:r w:rsidRPr="00615350">
        <w:rPr>
          <w:rFonts w:ascii="Times New Roman" w:eastAsia="Times New Roman" w:hAnsi="Times New Roman" w:cs="Times New Roman"/>
          <w:b/>
          <w:bCs/>
          <w:sz w:val="24"/>
          <w:szCs w:val="24"/>
        </w:rPr>
        <w:t>13.980 t/god.</w:t>
      </w:r>
      <w:r w:rsidRPr="00615350">
        <w:rPr>
          <w:rFonts w:ascii="Times New Roman" w:eastAsia="Times New Roman" w:hAnsi="Times New Roman" w:cs="Times New Roman"/>
          <w:sz w:val="24"/>
          <w:szCs w:val="24"/>
        </w:rPr>
        <w:t xml:space="preserve">, postrojenje za kompostiranje odvojeno sakupljenog </w:t>
      </w:r>
      <w:r w:rsidRPr="00615350">
        <w:rPr>
          <w:rFonts w:ascii="Times New Roman" w:eastAsia="Times New Roman" w:hAnsi="Times New Roman" w:cs="Times New Roman"/>
          <w:sz w:val="24"/>
          <w:szCs w:val="24"/>
        </w:rPr>
        <w:lastRenderedPageBreak/>
        <w:t xml:space="preserve">biološkog otpada kapaciteta </w:t>
      </w:r>
      <w:r w:rsidRPr="00615350">
        <w:rPr>
          <w:rFonts w:ascii="Times New Roman" w:eastAsia="Times New Roman" w:hAnsi="Times New Roman" w:cs="Times New Roman"/>
          <w:b/>
          <w:bCs/>
          <w:sz w:val="24"/>
          <w:szCs w:val="24"/>
        </w:rPr>
        <w:t>5.069 t/god.</w:t>
      </w:r>
      <w:r w:rsidRPr="00615350">
        <w:rPr>
          <w:rFonts w:ascii="Times New Roman" w:eastAsia="Times New Roman" w:hAnsi="Times New Roman" w:cs="Times New Roman"/>
          <w:sz w:val="24"/>
          <w:szCs w:val="24"/>
        </w:rPr>
        <w:t xml:space="preserve">, postrojenje za mehaničko-biološki tretman kapaciteta </w:t>
      </w:r>
      <w:r w:rsidRPr="00615350">
        <w:rPr>
          <w:rFonts w:ascii="Times New Roman" w:eastAsia="Times New Roman" w:hAnsi="Times New Roman" w:cs="Times New Roman"/>
          <w:b/>
          <w:bCs/>
          <w:sz w:val="24"/>
          <w:szCs w:val="24"/>
        </w:rPr>
        <w:t>49.804 t/god.</w:t>
      </w:r>
      <w:r w:rsidRPr="00615350">
        <w:rPr>
          <w:rFonts w:ascii="Times New Roman" w:eastAsia="Times New Roman" w:hAnsi="Times New Roman" w:cs="Times New Roman"/>
          <w:sz w:val="24"/>
          <w:szCs w:val="24"/>
        </w:rPr>
        <w:t xml:space="preserve"> i regionalna deponija. Lokalni sistem se zbog toga razvija kao sastavni dio šireg regionalnog sistema, a ne kao potpuno samostalan sistem konačnog tretmana i odlaganja otpada.</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Takav koncept podrazumijeva i postepeno napuštanje postojećeg načina postupanja sa miješanim komunalnim otpadom na lokaciji „Rujiške laze“. Prestanak korišćenja ove lokacije treba vezati za stvarno uspostavljanje funkcionalnog regionalnog sistema i obezbjeđivanje tehničkih, organizacionih i ugovornih uslova za prijem otpada iz Berana u Regionalnom centru Bijelo Polje. Nakon toga potrebno je pristupiti zatvaranju, sanaciji i rekultivaciji lokacije „Rujiške laze“. Ovakav pristup omogućava da se planska dinamika DPUO razlikuje od stvarne operativnosti regionalne infrastrukture. </w:t>
      </w:r>
    </w:p>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Usklađivanje lokalnog sistema obuhvata i saradnju sa organizovanim sistemima </w:t>
      </w:r>
      <w:r w:rsidRPr="00615350">
        <w:rPr>
          <w:rFonts w:ascii="Times New Roman" w:eastAsia="Times New Roman" w:hAnsi="Times New Roman" w:cs="Times New Roman"/>
          <w:b/>
          <w:bCs/>
          <w:sz w:val="24"/>
          <w:szCs w:val="24"/>
        </w:rPr>
        <w:t>proširene odgovornosti proizvođača</w:t>
      </w:r>
      <w:r w:rsidRPr="00615350">
        <w:rPr>
          <w:rFonts w:ascii="Times New Roman" w:eastAsia="Times New Roman" w:hAnsi="Times New Roman" w:cs="Times New Roman"/>
          <w:sz w:val="24"/>
          <w:szCs w:val="24"/>
        </w:rPr>
        <w:t>, naročito za ambalažu, električnu i elektronsku opremu, baterije i akumulatore i druge tokove za koje se ovaj princip primjenjuje. Uloga lokalnog sistema jeste da obezbijedi odgovarajuće uslove za odvojeno preuzimanje i predaju ovih tokova, bez preuzimanja obaveza koje prema propisima pripadaju proizvođačima i organizovanim EPR sistemima.</w:t>
      </w:r>
    </w:p>
    <w:p w:rsidR="0031277E" w:rsidRPr="00615350" w:rsidRDefault="00C26278" w:rsidP="00C26278">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Tabela br. 20 </w:t>
      </w:r>
      <w:r w:rsidR="0031277E" w:rsidRPr="00615350">
        <w:rPr>
          <w:rFonts w:ascii="Times New Roman" w:eastAsia="Times New Roman" w:hAnsi="Times New Roman" w:cs="Times New Roman"/>
          <w:sz w:val="24"/>
          <w:szCs w:val="24"/>
        </w:rPr>
        <w:t>Odnos posebnih ciljeva Lokalnog plana i ključnih opredjeljenja DPUO</w:t>
      </w:r>
    </w:p>
    <w:tbl>
      <w:tblPr>
        <w:tblStyle w:val="LightShading-Accent1"/>
        <w:tblW w:w="0" w:type="auto"/>
        <w:tblLook w:val="04A0" w:firstRow="1" w:lastRow="0" w:firstColumn="1" w:lastColumn="0" w:noHBand="0" w:noVBand="1"/>
      </w:tblPr>
      <w:tblGrid>
        <w:gridCol w:w="2957"/>
        <w:gridCol w:w="6286"/>
      </w:tblGrid>
      <w:tr w:rsidR="0031277E" w:rsidRPr="00615350" w:rsidTr="006153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Posebni cilj LPUO Berane</w:t>
            </w:r>
          </w:p>
        </w:tc>
        <w:tc>
          <w:tcPr>
            <w:tcW w:w="0" w:type="auto"/>
            <w:hideMark/>
          </w:tcPr>
          <w:p w:rsidR="0031277E" w:rsidRPr="00615350" w:rsidRDefault="0031277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Odgovarajuće opredjeljenje/cilj DPUO</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Povećanje obuhvata organizovanim sakupljanjem</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Približno 100% stanovništva obuhvaćeno organizovanim uslugama sakupljanja do 2026.</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Razvoj odvojenog sakupljanja reciklabilnih materijala</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15% do 2026, 25% do 2028. i 40% do 2030.</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Povećanje pripreme za ponovnu upotrebu i reciklažu</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Najmanje 30% papira, metala, plastike i stakla pripremiti za ponovnu upotrebu i reciklažu u 2029.</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Odvojeno upravljanje biootpadom</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17% odvojeno sakupljenog biootpada i najmanje 4% kućnog kompostiranja do 2026; biootpad odvojeno sakupljen ili recikliran na izvoru od 1.1.2027.</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Upravljanje posebnim tokovima iz domaćinstava</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Razvoj odvojenog sakupljanja tekstila, kabastog otpada i drugih posebnih tokova, uz ciljeve ponovne upotrebe i reciklaže</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Upravljanje neopasnim građevinskim otpadom</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Stvaranje uslova za dostizanje najmanje 70% pripreme za ponovnu upotrebu, reciklažu i drugu materijalnu preradu do 2030.</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Sanacija neuređenih odlagališta</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Sanacija neuređenih lokacija i sprečavanje njihovog ponovnog formiranja</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Razvoj lokalne infrastrukture</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Reciklažni centar Berane kao lokalna infrastruktura sjevernog regionalnog sistema</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Povezivanje sa regionalnim sistemom</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Uključivanje Berana u Regionalni centar za upravljanje otpadom Bijelo Polje</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Prestanak korišćenja „Rujiških laza“</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Prelazak na regionalni sistem i zatvaranje/sanacija postojećih neodgovarajućih lokacija nakon uspostavljanja odgovarajućeg rješenja</w:t>
            </w:r>
          </w:p>
        </w:tc>
      </w:tr>
      <w:tr w:rsidR="0031277E" w:rsidRPr="00615350" w:rsidTr="00615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Usklađivanje sa EPR sistemima</w:t>
            </w:r>
          </w:p>
        </w:tc>
        <w:tc>
          <w:tcPr>
            <w:tcW w:w="0" w:type="auto"/>
            <w:hideMark/>
          </w:tcPr>
          <w:p w:rsidR="0031277E" w:rsidRPr="00615350" w:rsidRDefault="0031277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Povezivanje lokalnog sistema sa organizovanim sistemima proširene odgovornosti proizvođača za relevantne tokove</w:t>
            </w:r>
          </w:p>
        </w:tc>
      </w:tr>
      <w:tr w:rsidR="0031277E" w:rsidRPr="00615350" w:rsidTr="00615350">
        <w:tc>
          <w:tcPr>
            <w:cnfStyle w:val="001000000000" w:firstRow="0" w:lastRow="0" w:firstColumn="1" w:lastColumn="0" w:oddVBand="0" w:evenVBand="0" w:oddHBand="0" w:evenHBand="0" w:firstRowFirstColumn="0" w:firstRowLastColumn="0" w:lastRowFirstColumn="0" w:lastRowLastColumn="0"/>
            <w:tcW w:w="0" w:type="auto"/>
            <w:hideMark/>
          </w:tcPr>
          <w:p w:rsidR="0031277E" w:rsidRPr="00615350" w:rsidRDefault="0031277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Unapređenje evidencije i monitoringa</w:t>
            </w:r>
          </w:p>
        </w:tc>
        <w:tc>
          <w:tcPr>
            <w:tcW w:w="0" w:type="auto"/>
            <w:hideMark/>
          </w:tcPr>
          <w:p w:rsidR="0031277E" w:rsidRPr="00615350" w:rsidRDefault="0031277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Pouzdano praćenje količina, tokova otpada i ostvarivanja postavljenih ciljeva</w:t>
            </w:r>
          </w:p>
        </w:tc>
      </w:tr>
    </w:tbl>
    <w:p w:rsidR="0031277E" w:rsidRPr="00615350" w:rsidRDefault="0031277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ovaj način ciljevi Lokalnog plana predstavljaju </w:t>
      </w:r>
      <w:r w:rsidRPr="00615350">
        <w:rPr>
          <w:rFonts w:ascii="Times New Roman" w:eastAsia="Times New Roman" w:hAnsi="Times New Roman" w:cs="Times New Roman"/>
          <w:b/>
          <w:bCs/>
          <w:sz w:val="24"/>
          <w:szCs w:val="24"/>
        </w:rPr>
        <w:t>lokalnu operacionalizaciju ciljeva, mjera i infrastrukturnih opredjeljenja DPUO</w:t>
      </w:r>
      <w:r w:rsidRPr="00615350">
        <w:rPr>
          <w:rFonts w:ascii="Times New Roman" w:eastAsia="Times New Roman" w:hAnsi="Times New Roman" w:cs="Times New Roman"/>
          <w:sz w:val="24"/>
          <w:szCs w:val="24"/>
        </w:rPr>
        <w:t xml:space="preserve">, prilagođenu postojećem stanju, raspoloživim lokalnim podacima i potrebama Opštine Berane. Konkretne mjere, aktivnosti, </w:t>
      </w:r>
      <w:r w:rsidRPr="00615350">
        <w:rPr>
          <w:rFonts w:ascii="Times New Roman" w:eastAsia="Times New Roman" w:hAnsi="Times New Roman" w:cs="Times New Roman"/>
          <w:sz w:val="24"/>
          <w:szCs w:val="24"/>
        </w:rPr>
        <w:lastRenderedPageBreak/>
        <w:t>rokovi, odgovorni subjekti, indikatori i potrebna finansijska sredstva za ostvarivanje ovih ciljeva razrađuju se u narednim poglavljima i Akcionom planu.</w:t>
      </w:r>
    </w:p>
    <w:p w:rsidR="00E77ED5" w:rsidRPr="00615350" w:rsidRDefault="00E77ED5" w:rsidP="00513DC4">
      <w:pPr>
        <w:pStyle w:val="Heading1"/>
        <w:rPr>
          <w:rFonts w:eastAsia="Times New Roman"/>
        </w:rPr>
      </w:pPr>
      <w:bookmarkStart w:id="47" w:name="_Toc240282305"/>
      <w:r w:rsidRPr="00615350">
        <w:rPr>
          <w:rFonts w:eastAsia="Times New Roman"/>
        </w:rPr>
        <w:t>6. PLANIRANI SISTEM UPRAVLJANJA KOMUNALNIM OTPADOM</w:t>
      </w:r>
      <w:bookmarkEnd w:id="47"/>
    </w:p>
    <w:p w:rsidR="00E77ED5" w:rsidRPr="00615350" w:rsidRDefault="00E77ED5" w:rsidP="00513DC4">
      <w:pPr>
        <w:pStyle w:val="Heading2"/>
        <w:rPr>
          <w:rFonts w:eastAsia="Times New Roman"/>
        </w:rPr>
      </w:pPr>
      <w:bookmarkStart w:id="48" w:name="_Toc240282306"/>
      <w:r w:rsidRPr="00615350">
        <w:rPr>
          <w:rFonts w:eastAsia="Times New Roman"/>
        </w:rPr>
        <w:t>6.1. Organizacija sistema sakupljanja i transporta komunalnog otpada</w:t>
      </w:r>
      <w:bookmarkEnd w:id="48"/>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Planirani sistem sakupljanja i transporta komunalnog otpada na teritoriji opštine Berane zasnivaće se na unapređenju postojećeg sistema, povećanju obuhvata stanovništva organizovanom uslugom, prilagođavanju načina sakupljanja karakteristikama gradskih, prigradskih i ruralnih naselja i postepenom razvoju odvojenog sakupljanja pojedinih tokova otpada.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Operativne poslove sakupljanja i transporta komunalnog otpada obavljaće DOO „Komunalno“ Berane, u skladu sa nadležnostima lokalne samouprave i propisima kojima se uređuju upravljanje otpadom i obavljanje komunalnih djelatnosti. Sistem obuhvata sakupljanje otpada iz domaćinstava, poslovnih i komercijalnih objekata, javnih ustanova i sa javnih površina.</w:t>
      </w:r>
    </w:p>
    <w:p w:rsidR="00E77ED5" w:rsidRPr="00615350" w:rsidRDefault="00E77ED5" w:rsidP="00622D0C">
      <w:pPr>
        <w:rPr>
          <w:rFonts w:ascii="Times New Roman" w:hAnsi="Times New Roman" w:cs="Times New Roman"/>
          <w:b/>
          <w:sz w:val="24"/>
        </w:rPr>
      </w:pPr>
      <w:r w:rsidRPr="00615350">
        <w:rPr>
          <w:rFonts w:ascii="Times New Roman" w:hAnsi="Times New Roman" w:cs="Times New Roman"/>
          <w:b/>
          <w:sz w:val="24"/>
        </w:rPr>
        <w:t>Proširenje obuhvata organizovanim sakupljanjem</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Jedan od osnovnih prioriteta u planskom periodu predstavlja proširenje organizovane usluge na domaćinstva i naselja koja trenutno nijesu ili nijesu u potpunosti uključena u sistem.</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novijim raspoloživim lokalnim podacima, od ukupno </w:t>
      </w:r>
      <w:r w:rsidRPr="00615350">
        <w:rPr>
          <w:rFonts w:ascii="Times New Roman" w:eastAsia="Times New Roman" w:hAnsi="Times New Roman" w:cs="Times New Roman"/>
          <w:b/>
          <w:bCs/>
          <w:sz w:val="24"/>
          <w:szCs w:val="24"/>
        </w:rPr>
        <w:t>8.096 domaćinstava</w:t>
      </w:r>
      <w:r w:rsidRPr="00615350">
        <w:rPr>
          <w:rFonts w:ascii="Times New Roman" w:eastAsia="Times New Roman" w:hAnsi="Times New Roman" w:cs="Times New Roman"/>
          <w:sz w:val="24"/>
          <w:szCs w:val="24"/>
        </w:rPr>
        <w:t xml:space="preserve"> organizovanim sakupljanjem komunalnog otpada obuhvaćeno je </w:t>
      </w:r>
      <w:r w:rsidRPr="00615350">
        <w:rPr>
          <w:rFonts w:ascii="Times New Roman" w:eastAsia="Times New Roman" w:hAnsi="Times New Roman" w:cs="Times New Roman"/>
          <w:b/>
          <w:bCs/>
          <w:sz w:val="24"/>
          <w:szCs w:val="24"/>
        </w:rPr>
        <w:t>6.576 domaćinstava, odnosno oko 81,2%</w:t>
      </w:r>
      <w:r w:rsidRPr="00615350">
        <w:rPr>
          <w:rFonts w:ascii="Times New Roman" w:eastAsia="Times New Roman" w:hAnsi="Times New Roman" w:cs="Times New Roman"/>
          <w:sz w:val="24"/>
          <w:szCs w:val="24"/>
        </w:rPr>
        <w:t xml:space="preserve">. Centralno gradsko područje obuhvaćeno je uslugom u potpunosti, dok je obuhvat u pojedinim manjim i udaljenijim, pretežno ruralnim naseljima znatno niži.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glavni izazov daljeg povećanja obuhvata predstavlja obezbjeđivanje dostupne, pouzdane i ekonomski opravdane usluge u prostorno razuđenim ruralnim područjima. Pri proširenju sistema potrebno je uzeti u obzir broj i raspored korisnika, količine otpada, udaljenost naselja, stanje i prohodnost putne mreže, mogućnost pristupa vozilima i ukupne troškove pružanja usluge.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DPUO razvoj sistema usmjerava ka približno potpunom obuhvatu stanovništva organizovanim sakupljanjem, uz modernizaciju sistema, unapređenje organizacije uslužnih područja, optimizaciju ruta i prilagođavanje načina pružanja usluge urbanim i ruralnim područjima.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skladu sa ciljevima utvrđenim u poglavlju 5 ovog Plana, potrebno je prioritetno uključivati preostala nepokrivena domaćinstva i naselja i težiti dostizanju približno </w:t>
      </w:r>
      <w:r w:rsidRPr="00615350">
        <w:rPr>
          <w:rFonts w:ascii="Times New Roman" w:eastAsia="Times New Roman" w:hAnsi="Times New Roman" w:cs="Times New Roman"/>
          <w:b/>
          <w:bCs/>
          <w:sz w:val="24"/>
          <w:szCs w:val="24"/>
        </w:rPr>
        <w:t>100% obuhvata</w:t>
      </w:r>
      <w:r w:rsidRPr="00615350">
        <w:rPr>
          <w:rFonts w:ascii="Times New Roman" w:eastAsia="Times New Roman" w:hAnsi="Times New Roman" w:cs="Times New Roman"/>
          <w:sz w:val="24"/>
          <w:szCs w:val="24"/>
        </w:rPr>
        <w:t>, a nakon toga održavati dostignuti nivo tokom planskog perioda.</w:t>
      </w:r>
    </w:p>
    <w:p w:rsidR="009F1108" w:rsidRPr="00615350" w:rsidRDefault="009F1108" w:rsidP="009F1108">
      <w:pPr>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Konkretna dinamika proširenja, raspored uključivanja naselja, rute i učestalost sakupljanja treba da budu utvrđeni operativnim planom sakupljanja DOO „Komunalno“ i periodično prilagođavani stvarnom broju korisnika, količinama otpada i raspoloživim tehničkim kapacitetima. Za ruralna područja potrebno je pratiti i broj obuhvaćenih domaćinstava, dužinu i učestalost ruta i troškove pružanja usluge, radi njene dalje optimizacije i održivosti</w:t>
      </w:r>
      <w:r w:rsidR="00E939BE" w:rsidRPr="00615350">
        <w:rPr>
          <w:rFonts w:ascii="Times New Roman" w:eastAsia="Times New Roman" w:hAnsi="Times New Roman" w:cs="Times New Roman"/>
          <w:sz w:val="24"/>
          <w:szCs w:val="24"/>
        </w:rPr>
        <w:t>.</w:t>
      </w:r>
    </w:p>
    <w:p w:rsidR="00E77ED5" w:rsidRPr="00615350" w:rsidRDefault="00E77ED5" w:rsidP="00622D0C">
      <w:pPr>
        <w:rPr>
          <w:rFonts w:ascii="Times New Roman" w:hAnsi="Times New Roman" w:cs="Times New Roman"/>
          <w:b/>
          <w:sz w:val="24"/>
        </w:rPr>
      </w:pPr>
      <w:r w:rsidRPr="00615350">
        <w:rPr>
          <w:rFonts w:ascii="Times New Roman" w:hAnsi="Times New Roman" w:cs="Times New Roman"/>
          <w:b/>
          <w:sz w:val="24"/>
        </w:rPr>
        <w:t>Posude i oprema za sakupljanje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Postojeća oprema predstavlja osnovu budućeg sistema, ali će je biti potrebno dopunjavati i prilagođavati proširenju obuhvata i razvoju odvojenog sakupljanja.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Prema novijim raspoloživim podacima DOO „Komunalno“ Berane, preduzeće raspolaže sa:</w:t>
      </w:r>
    </w:p>
    <w:p w:rsidR="00513DC4" w:rsidRPr="00615350" w:rsidRDefault="00513DC4" w:rsidP="00513DC4">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21 Komunalne posude preduzeća Komunalno d.o.o.</w:t>
      </w:r>
    </w:p>
    <w:tbl>
      <w:tblPr>
        <w:tblStyle w:val="LightShading-Accent1"/>
        <w:tblW w:w="0" w:type="auto"/>
        <w:jc w:val="center"/>
        <w:tblLook w:val="04A0" w:firstRow="1" w:lastRow="0" w:firstColumn="1" w:lastColumn="0" w:noHBand="0" w:noVBand="1"/>
      </w:tblPr>
      <w:tblGrid>
        <w:gridCol w:w="2028"/>
        <w:gridCol w:w="756"/>
      </w:tblGrid>
      <w:tr w:rsidR="00E77ED5" w:rsidRPr="00615350" w:rsidTr="006153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b w:val="0"/>
                <w:bCs w:val="0"/>
                <w:sz w:val="24"/>
                <w:szCs w:val="24"/>
              </w:rPr>
            </w:pPr>
            <w:r w:rsidRPr="00615350">
              <w:rPr>
                <w:rFonts w:ascii="Times New Roman" w:eastAsia="Times New Roman" w:hAnsi="Times New Roman" w:cs="Times New Roman"/>
                <w:b w:val="0"/>
                <w:bCs w:val="0"/>
                <w:sz w:val="24"/>
                <w:szCs w:val="24"/>
              </w:rPr>
              <w:t>Vrsta posude</w:t>
            </w:r>
          </w:p>
        </w:tc>
        <w:tc>
          <w:tcPr>
            <w:tcW w:w="0" w:type="auto"/>
            <w:hideMark/>
          </w:tcPr>
          <w:p w:rsidR="00E77ED5" w:rsidRPr="00615350" w:rsidRDefault="00E77ED5"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615350">
              <w:rPr>
                <w:rFonts w:ascii="Times New Roman" w:eastAsia="Times New Roman" w:hAnsi="Times New Roman" w:cs="Times New Roman"/>
                <w:b w:val="0"/>
                <w:bCs w:val="0"/>
                <w:sz w:val="24"/>
                <w:szCs w:val="24"/>
              </w:rPr>
              <w:t>Broj</w:t>
            </w:r>
          </w:p>
        </w:tc>
      </w:tr>
      <w:tr w:rsidR="00E77ED5"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Kontejneri 5 m³</w:t>
            </w:r>
          </w:p>
        </w:tc>
        <w:tc>
          <w:tcPr>
            <w:tcW w:w="0" w:type="auto"/>
            <w:hideMark/>
          </w:tcPr>
          <w:p w:rsidR="00E77ED5" w:rsidRPr="00615350" w:rsidRDefault="00E77ED5"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13</w:t>
            </w:r>
          </w:p>
        </w:tc>
      </w:tr>
      <w:tr w:rsidR="00E77ED5" w:rsidRPr="00615350" w:rsidTr="00615350">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Kontejneri 1,1 m³</w:t>
            </w:r>
          </w:p>
        </w:tc>
        <w:tc>
          <w:tcPr>
            <w:tcW w:w="0" w:type="auto"/>
            <w:hideMark/>
          </w:tcPr>
          <w:p w:rsidR="00E77ED5" w:rsidRPr="00615350" w:rsidRDefault="00E77ED5"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371</w:t>
            </w:r>
          </w:p>
        </w:tc>
      </w:tr>
      <w:tr w:rsidR="00E77ED5" w:rsidRPr="00615350" w:rsidTr="006153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Kante 120 l</w:t>
            </w:r>
          </w:p>
        </w:tc>
        <w:tc>
          <w:tcPr>
            <w:tcW w:w="0" w:type="auto"/>
            <w:hideMark/>
          </w:tcPr>
          <w:p w:rsidR="00E77ED5" w:rsidRPr="00615350" w:rsidRDefault="00E77ED5"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2.167</w:t>
            </w:r>
          </w:p>
        </w:tc>
      </w:tr>
    </w:tbl>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Potrebe za novim posudama treba utvrđivati na osnovu:</w:t>
      </w:r>
    </w:p>
    <w:p w:rsidR="00E77ED5" w:rsidRPr="00615350" w:rsidRDefault="00E77ED5" w:rsidP="00C1197A">
      <w:pPr>
        <w:numPr>
          <w:ilvl w:val="0"/>
          <w:numId w:val="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proširenja usluge na nepokrivena domaćinstva i naselja; </w:t>
      </w:r>
    </w:p>
    <w:p w:rsidR="00E77ED5" w:rsidRPr="00615350" w:rsidRDefault="00E77ED5" w:rsidP="00C1197A">
      <w:pPr>
        <w:numPr>
          <w:ilvl w:val="0"/>
          <w:numId w:val="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zamjene dotrajalih i nefunkcionalnih posuda; </w:t>
      </w:r>
    </w:p>
    <w:p w:rsidR="00E77ED5" w:rsidRPr="00615350" w:rsidRDefault="00E77ED5" w:rsidP="00C1197A">
      <w:pPr>
        <w:numPr>
          <w:ilvl w:val="0"/>
          <w:numId w:val="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razvoja odvojenog sakupljanja; </w:t>
      </w:r>
    </w:p>
    <w:p w:rsidR="00E77ED5" w:rsidRPr="00615350" w:rsidRDefault="00E77ED5" w:rsidP="00C1197A">
      <w:pPr>
        <w:numPr>
          <w:ilvl w:val="0"/>
          <w:numId w:val="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tipa i gustine stanovanja; </w:t>
      </w:r>
    </w:p>
    <w:p w:rsidR="00E77ED5" w:rsidRPr="00615350" w:rsidRDefault="00E77ED5" w:rsidP="00C1197A">
      <w:pPr>
        <w:numPr>
          <w:ilvl w:val="0"/>
          <w:numId w:val="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očekivanih količina pojedinih tokova otpada; </w:t>
      </w:r>
    </w:p>
    <w:p w:rsidR="00E77ED5" w:rsidRPr="00615350" w:rsidRDefault="00E77ED5" w:rsidP="00C1197A">
      <w:pPr>
        <w:numPr>
          <w:ilvl w:val="0"/>
          <w:numId w:val="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planirane učestalosti pražnjenja; </w:t>
      </w:r>
    </w:p>
    <w:p w:rsidR="00E77ED5" w:rsidRPr="00615350" w:rsidRDefault="00E77ED5" w:rsidP="00C1197A">
      <w:pPr>
        <w:numPr>
          <w:ilvl w:val="0"/>
          <w:numId w:val="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mogućnosti pristupa vozilima.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područjima individualnog stanovanja prednost treba dati modelima koji omogućavaju preuzimanje otpada neposredno od korisnika, dok se u područjima kolektivnog stanovanja i na lokacijama sa većom koncentracijom korisnika sistem može organizovati putem zajedničkih kontejnerskih mjesta.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Važećim lokalnim normativnim okvirom već je predviđen sistem odvajanja </w:t>
      </w:r>
      <w:r w:rsidRPr="00615350">
        <w:rPr>
          <w:rFonts w:ascii="Times New Roman" w:eastAsia="Times New Roman" w:hAnsi="Times New Roman" w:cs="Times New Roman"/>
          <w:b/>
          <w:bCs/>
          <w:sz w:val="24"/>
          <w:szCs w:val="24"/>
        </w:rPr>
        <w:t>suve i mokre frakcije</w:t>
      </w:r>
      <w:r w:rsidRPr="00615350">
        <w:rPr>
          <w:rFonts w:ascii="Times New Roman" w:eastAsia="Times New Roman" w:hAnsi="Times New Roman" w:cs="Times New Roman"/>
          <w:sz w:val="24"/>
          <w:szCs w:val="24"/>
        </w:rPr>
        <w:t xml:space="preserve">, kao i model „od vrata do vrata“ za individualni tip stanovanja. Suvu frakciju čine papir i karton, plastika, metal i staklo. Postojeći sistem, međutim, još nije u potpunosti uspostavljen u praksi.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nabavku i postavljanje dodatnih posuda za odvojeno sakupljanje treba uskladiti sa organizacijom posebnog transporta i obezbjeđivanjem odgovarajućeg prijema i daljeg postupanja sa izdvojenim materijalima. Odvojeno sakupljene frakcije ne treba naknadno miješati sa miješanim komunalnim otpadom.</w:t>
      </w:r>
    </w:p>
    <w:p w:rsidR="00E77ED5" w:rsidRPr="00615350" w:rsidRDefault="00E77ED5" w:rsidP="00244512">
      <w:pPr>
        <w:rPr>
          <w:rFonts w:ascii="Times New Roman" w:hAnsi="Times New Roman" w:cs="Times New Roman"/>
          <w:b/>
          <w:sz w:val="24"/>
        </w:rPr>
      </w:pPr>
      <w:r w:rsidRPr="00615350">
        <w:rPr>
          <w:rFonts w:ascii="Times New Roman" w:hAnsi="Times New Roman" w:cs="Times New Roman"/>
          <w:b/>
          <w:sz w:val="24"/>
        </w:rPr>
        <w:lastRenderedPageBreak/>
        <w:t>Vozila i organizacija transporta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DOO „Komunalno“ raspolaže sa </w:t>
      </w:r>
      <w:r w:rsidRPr="00615350">
        <w:rPr>
          <w:rFonts w:ascii="Times New Roman" w:eastAsia="Times New Roman" w:hAnsi="Times New Roman" w:cs="Times New Roman"/>
          <w:b/>
          <w:bCs/>
          <w:sz w:val="24"/>
          <w:szCs w:val="24"/>
        </w:rPr>
        <w:t>10 specijalizovanih vozila</w:t>
      </w:r>
      <w:r w:rsidRPr="00615350">
        <w:rPr>
          <w:rFonts w:ascii="Times New Roman" w:eastAsia="Times New Roman" w:hAnsi="Times New Roman" w:cs="Times New Roman"/>
          <w:sz w:val="24"/>
          <w:szCs w:val="24"/>
        </w:rPr>
        <w:t xml:space="preserve">, različite starosti, kapaciteta i tehničkih karakteristika. Vozni park čine autosmećare sa potisnom pločom, autopodizači i kiper, kapaciteta približno od 5–7 m³ do 20 m³.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Postojeći vozni park prvenstveno je prilagođen sakupljanju miješanog komunalnog otpada. Prema raspoloživim podacima, trenutno nema posebnih vozila namijenjenih isključivo odvojenom sakupljanju reciklabilnih frakcija, biootpada ili opasnog otpada iz domaćinstava.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planskom periodu potrebno je zato predvidjeti </w:t>
      </w:r>
      <w:r w:rsidRPr="00615350">
        <w:rPr>
          <w:rFonts w:ascii="Times New Roman" w:eastAsia="Times New Roman" w:hAnsi="Times New Roman" w:cs="Times New Roman"/>
          <w:b/>
          <w:bCs/>
          <w:sz w:val="24"/>
          <w:szCs w:val="24"/>
        </w:rPr>
        <w:t>postepenu obnovu i funkcionalno prilagođavanje voznog parka</w:t>
      </w:r>
      <w:r w:rsidRPr="00615350">
        <w:rPr>
          <w:rFonts w:ascii="Times New Roman" w:eastAsia="Times New Roman" w:hAnsi="Times New Roman" w:cs="Times New Roman"/>
          <w:sz w:val="24"/>
          <w:szCs w:val="24"/>
        </w:rPr>
        <w:t>. Potrebe za nabavkom vozila treba utvrđivati na osnovu planiranog obuhvata, vrste otpada koji se sakuplja, modela primarne selekcije, karakteristika područja i ekonomske opravdanosti.</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Posebnu pažnju treba posvetiti ruralnim i brdsko-planinskim naseljima, u kojima pristup vozilima većih gabarita može biti otežan. U takvim područjima treba, nakon analize konkretnih ruta, razmotriti korišćenje vozila manjeg kapaciteta ili druge odgovarajuće modele preuzimanja otpada.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Vozila koja se koriste za transport moraju odgovarati vrsti otpada koji se prevozi i biti organizovana tako da se tokom transporta spriječe rasipanje otpada, curenje i drugi mogući negativni uticaji na životnu sredinu.</w:t>
      </w:r>
    </w:p>
    <w:p w:rsidR="00E77ED5" w:rsidRPr="00615350" w:rsidRDefault="00E77ED5" w:rsidP="00244512">
      <w:pPr>
        <w:rPr>
          <w:rFonts w:ascii="Times New Roman" w:hAnsi="Times New Roman" w:cs="Times New Roman"/>
          <w:b/>
          <w:sz w:val="24"/>
        </w:rPr>
      </w:pPr>
      <w:r w:rsidRPr="00615350">
        <w:rPr>
          <w:rFonts w:ascii="Times New Roman" w:hAnsi="Times New Roman" w:cs="Times New Roman"/>
          <w:b/>
          <w:sz w:val="24"/>
        </w:rPr>
        <w:t>Rute i dinamika sakupljanja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Rute sakupljanja potrebno je periodično optimizovati u skladu sa proširenjem obuhvata, promjenama broja korisnika, stvarno izmjerenim količinama otpada i razvojem odvojenog sakupljanja.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 organizovanju sistema treba razlikovati:</w:t>
      </w:r>
    </w:p>
    <w:p w:rsidR="00E77ED5" w:rsidRPr="00615350" w:rsidRDefault="00E77ED5" w:rsidP="00C1197A">
      <w:pPr>
        <w:numPr>
          <w:ilvl w:val="0"/>
          <w:numId w:val="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gradsko i gušće naseljena prigradska područja</w:t>
      </w:r>
      <w:r w:rsidRPr="00615350">
        <w:rPr>
          <w:rFonts w:ascii="Times New Roman" w:eastAsia="Times New Roman" w:hAnsi="Times New Roman" w:cs="Times New Roman"/>
          <w:sz w:val="24"/>
          <w:szCs w:val="24"/>
        </w:rPr>
        <w:t xml:space="preserve">, u kojima koncentracija stanovništva i veće količine otpada zahtijevaju odgovarajuću učestalost sakupljanja; </w:t>
      </w:r>
    </w:p>
    <w:p w:rsidR="00E77ED5" w:rsidRPr="00615350" w:rsidRDefault="00E77ED5" w:rsidP="00C1197A">
      <w:pPr>
        <w:numPr>
          <w:ilvl w:val="0"/>
          <w:numId w:val="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ruralna i prostorno razuđena područja</w:t>
      </w:r>
      <w:r w:rsidRPr="00615350">
        <w:rPr>
          <w:rFonts w:ascii="Times New Roman" w:eastAsia="Times New Roman" w:hAnsi="Times New Roman" w:cs="Times New Roman"/>
          <w:sz w:val="24"/>
          <w:szCs w:val="24"/>
        </w:rPr>
        <w:t xml:space="preserve">, u kojima rute i učestalost treba prilagoditi manjoj gustini stanovništva, većim udaljenostima, stanju putne mreže i količinama otpada koje nastaju na pojedinačnim lokacijama.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ovom Planu se </w:t>
      </w:r>
      <w:r w:rsidRPr="00615350">
        <w:rPr>
          <w:rFonts w:ascii="Times New Roman" w:eastAsia="Times New Roman" w:hAnsi="Times New Roman" w:cs="Times New Roman"/>
          <w:b/>
          <w:bCs/>
          <w:sz w:val="24"/>
          <w:szCs w:val="24"/>
        </w:rPr>
        <w:t>ne određuju konkretne trase niti učestalost sakupljanja po pojedinačnim naseljima</w:t>
      </w:r>
      <w:r w:rsidRPr="00615350">
        <w:rPr>
          <w:rFonts w:ascii="Times New Roman" w:eastAsia="Times New Roman" w:hAnsi="Times New Roman" w:cs="Times New Roman"/>
          <w:sz w:val="24"/>
          <w:szCs w:val="24"/>
        </w:rPr>
        <w:t>, jer za takvo određivanje treba koristiti aktuelne operativne podatke o korisnicima, količinama i uslovima na terenu. Ove elemente treba definisati Planom sakupljanja DOO „Komunalno“ i periodično ih preispitivati i prilagođavati.</w:t>
      </w:r>
    </w:p>
    <w:p w:rsidR="00E77ED5" w:rsidRPr="00615350" w:rsidRDefault="00E77ED5" w:rsidP="00244512">
      <w:pPr>
        <w:rPr>
          <w:rFonts w:ascii="Times New Roman" w:hAnsi="Times New Roman" w:cs="Times New Roman"/>
          <w:b/>
          <w:sz w:val="24"/>
        </w:rPr>
      </w:pPr>
      <w:r w:rsidRPr="00615350">
        <w:rPr>
          <w:rFonts w:ascii="Times New Roman" w:hAnsi="Times New Roman" w:cs="Times New Roman"/>
          <w:b/>
          <w:sz w:val="24"/>
        </w:rPr>
        <w:t>Transport u prelaznom i budućem regionalnom sistemu</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Do uspostavljanja odgovarajućeg alternativnog rješenja i funkcionalne regionalne infrastrukture, miješani komunalni otpad nastaviće da se transportuje do lokacije za privremeno skladištenje </w:t>
      </w:r>
      <w:r w:rsidRPr="00615350">
        <w:rPr>
          <w:rFonts w:ascii="Times New Roman" w:eastAsia="Times New Roman" w:hAnsi="Times New Roman" w:cs="Times New Roman"/>
          <w:b/>
          <w:bCs/>
          <w:sz w:val="24"/>
          <w:szCs w:val="24"/>
        </w:rPr>
        <w:t>„Rujiške laze“</w:t>
      </w:r>
      <w:r w:rsidRPr="00615350">
        <w:rPr>
          <w:rFonts w:ascii="Times New Roman" w:eastAsia="Times New Roman" w:hAnsi="Times New Roman" w:cs="Times New Roman"/>
          <w:sz w:val="24"/>
          <w:szCs w:val="24"/>
        </w:rPr>
        <w:t>, uz sprovođenje propisanih mjera zaštite životne sredine.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Razvojem primarne selekcije struktura transportovanih tokova treba postepeno da se mijenja. Papir i karton, plastika, staklo i metali treba da se izdvajaju iz miješanog toka i usmjeravaju prema lokalnoj infrastrukturi za prijem i dalji tretman, dok se za biootpad, kabasti otpad, opasne frakcije iz domaćinstava i druge posebne tokove uspostavljaju odgovarajući zasebni režimi sakupljanja i transporta.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predviđa uključivanje Berana u </w:t>
      </w:r>
      <w:r w:rsidRPr="00615350">
        <w:rPr>
          <w:rFonts w:ascii="Times New Roman" w:eastAsia="Times New Roman" w:hAnsi="Times New Roman" w:cs="Times New Roman"/>
          <w:b/>
          <w:bCs/>
          <w:sz w:val="24"/>
          <w:szCs w:val="24"/>
        </w:rPr>
        <w:t>sjeverni regionalni sistem upravljanja otpadom sa Regionalnim centrom u Bijelom Polju</w:t>
      </w:r>
      <w:r w:rsidRPr="00615350">
        <w:rPr>
          <w:rFonts w:ascii="Times New Roman" w:eastAsia="Times New Roman" w:hAnsi="Times New Roman" w:cs="Times New Roman"/>
          <w:sz w:val="24"/>
          <w:szCs w:val="24"/>
        </w:rPr>
        <w:t xml:space="preserve">. U postojećoj i planiranoj infrastrukturi DPUO Regionalni centar Bijelo Polje obuhvata Berane među opštinama koje treba da opslužuje.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 uspostavljanju funkcionalnog regionalnog sistema potrebno je definisati konačan model transporta odgovarajućih tokova otpada iz Berana prema Regionalnom centru, uz uvažavanje količina, udaljenosti, vrste i kapaciteta vozila, učestalosti transporta, troškova i uslova prijema otpada.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Ovim Lokalnim planom </w:t>
      </w:r>
      <w:r w:rsidRPr="00615350">
        <w:rPr>
          <w:rFonts w:ascii="Times New Roman" w:eastAsia="Times New Roman" w:hAnsi="Times New Roman" w:cs="Times New Roman"/>
          <w:b/>
          <w:bCs/>
          <w:sz w:val="24"/>
          <w:szCs w:val="24"/>
        </w:rPr>
        <w:t>ne utvrđuje se posebna transfer stanica u Beranama kao obavezni element budućeg sistema</w:t>
      </w:r>
      <w:r w:rsidRPr="00615350">
        <w:rPr>
          <w:rFonts w:ascii="Times New Roman" w:eastAsia="Times New Roman" w:hAnsi="Times New Roman" w:cs="Times New Roman"/>
          <w:sz w:val="24"/>
          <w:szCs w:val="24"/>
        </w:rPr>
        <w:t xml:space="preserve">. U prikazu planirane infrastrukture DPUO transfer stanice na sjeveru posebno navodi za druge lokacije, dok za Berane postoji ranije pripremljen projekat </w:t>
      </w:r>
      <w:r w:rsidRPr="00615350">
        <w:rPr>
          <w:rFonts w:ascii="Times New Roman" w:eastAsia="Times New Roman" w:hAnsi="Times New Roman" w:cs="Times New Roman"/>
          <w:b/>
          <w:bCs/>
          <w:sz w:val="24"/>
          <w:szCs w:val="24"/>
        </w:rPr>
        <w:t>reciklažnog centra sa linijom za sortiranje</w:t>
      </w:r>
      <w:r w:rsidRPr="00615350">
        <w:rPr>
          <w:rFonts w:ascii="Times New Roman" w:eastAsia="Times New Roman" w:hAnsi="Times New Roman" w:cs="Times New Roman"/>
          <w:sz w:val="24"/>
          <w:szCs w:val="24"/>
        </w:rPr>
        <w:t>. Eventualna potreba za dodatnim pretovarnim kapacitetom može se razmatrati samo ukoliko konačno tehničko rješenje regionalnog sistema i odgovarajuća tehničko-ekonomska analiza pokažu njegovu opravdanost.</w:t>
      </w:r>
    </w:p>
    <w:p w:rsidR="00E77ED5" w:rsidRPr="00615350" w:rsidRDefault="00E77ED5" w:rsidP="00904A29">
      <w:pPr>
        <w:rPr>
          <w:rFonts w:ascii="Times New Roman" w:hAnsi="Times New Roman" w:cs="Times New Roman"/>
          <w:b/>
          <w:sz w:val="24"/>
          <w:szCs w:val="24"/>
        </w:rPr>
      </w:pPr>
      <w:r w:rsidRPr="00615350">
        <w:rPr>
          <w:rFonts w:ascii="Times New Roman" w:hAnsi="Times New Roman" w:cs="Times New Roman"/>
          <w:b/>
          <w:sz w:val="24"/>
          <w:szCs w:val="24"/>
        </w:rPr>
        <w:t>Praćenje efikasnosti sistema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Efikasnost sistema sakupljanja i transporta treba pratiti najmanje kroz sljedeće pokazatelje:</w:t>
      </w:r>
    </w:p>
    <w:p w:rsidR="00E77ED5" w:rsidRPr="00615350" w:rsidRDefault="00E77ED5" w:rsidP="00C1197A">
      <w:pPr>
        <w:numPr>
          <w:ilvl w:val="0"/>
          <w:numId w:val="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procenat stanovništva i domaćinstava obuhvaćenih organizovanom uslugom; </w:t>
      </w:r>
    </w:p>
    <w:p w:rsidR="00E77ED5" w:rsidRPr="00615350" w:rsidRDefault="00E77ED5" w:rsidP="00C1197A">
      <w:pPr>
        <w:numPr>
          <w:ilvl w:val="0"/>
          <w:numId w:val="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korisnika sistema; </w:t>
      </w:r>
    </w:p>
    <w:p w:rsidR="00E77ED5" w:rsidRPr="00615350" w:rsidRDefault="00E77ED5" w:rsidP="00C1197A">
      <w:pPr>
        <w:numPr>
          <w:ilvl w:val="0"/>
          <w:numId w:val="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ukupnu količinu sakupljenog komunalnog otpada; </w:t>
      </w:r>
    </w:p>
    <w:p w:rsidR="00E77ED5" w:rsidRPr="00615350" w:rsidRDefault="00E77ED5" w:rsidP="00C1197A">
      <w:pPr>
        <w:numPr>
          <w:ilvl w:val="0"/>
          <w:numId w:val="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količine pojedinih odvojeno sakupljenih tokova; </w:t>
      </w:r>
    </w:p>
    <w:p w:rsidR="00E77ED5" w:rsidRPr="00615350" w:rsidRDefault="00E77ED5" w:rsidP="00C1197A">
      <w:pPr>
        <w:numPr>
          <w:ilvl w:val="0"/>
          <w:numId w:val="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vrstu i stanje posuda; </w:t>
      </w:r>
    </w:p>
    <w:p w:rsidR="00E77ED5" w:rsidRPr="00615350" w:rsidRDefault="00E77ED5" w:rsidP="00C1197A">
      <w:pPr>
        <w:numPr>
          <w:ilvl w:val="0"/>
          <w:numId w:val="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vrstu, raspoloživost i tehničko stanje vozila; </w:t>
      </w:r>
    </w:p>
    <w:p w:rsidR="00E77ED5" w:rsidRPr="00615350" w:rsidRDefault="00E77ED5" w:rsidP="00C1197A">
      <w:pPr>
        <w:numPr>
          <w:ilvl w:val="0"/>
          <w:numId w:val="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pouzdanost i kontinuitet pružanja usluge; </w:t>
      </w:r>
    </w:p>
    <w:p w:rsidR="00E77ED5" w:rsidRPr="00615350" w:rsidRDefault="00E77ED5" w:rsidP="00C1197A">
      <w:pPr>
        <w:numPr>
          <w:ilvl w:val="0"/>
          <w:numId w:val="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troškove sakupljanja i transporta; </w:t>
      </w:r>
    </w:p>
    <w:p w:rsidR="00E77ED5" w:rsidRPr="00615350" w:rsidRDefault="00E77ED5" w:rsidP="00C1197A">
      <w:pPr>
        <w:numPr>
          <w:ilvl w:val="0"/>
          <w:numId w:val="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pouzdanost mjerenja i evidencije količina otpada.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Posebno je potrebno unaprijediti vaganje i evidenciju pojedinačnih tokova otpada, jer su pouzdani podaci neophodni za praćenje ostvarivanja ciljeva odvojenog sakupljanja, pripreme za ponovnu upotrebu, reciklaže i smanjenja količine otpada koja se upućuje na odlaganje.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Planirani sistem treba razvijati </w:t>
      </w:r>
      <w:r w:rsidRPr="00615350">
        <w:rPr>
          <w:rFonts w:ascii="Times New Roman" w:eastAsia="Times New Roman" w:hAnsi="Times New Roman" w:cs="Times New Roman"/>
          <w:b/>
          <w:bCs/>
          <w:sz w:val="24"/>
          <w:szCs w:val="24"/>
        </w:rPr>
        <w:t>fazno i međusobno usklađeno</w:t>
      </w:r>
      <w:r w:rsidRPr="00615350">
        <w:rPr>
          <w:rFonts w:ascii="Times New Roman" w:eastAsia="Times New Roman" w:hAnsi="Times New Roman" w:cs="Times New Roman"/>
          <w:sz w:val="24"/>
          <w:szCs w:val="24"/>
        </w:rPr>
        <w:t>, tako da proširenje obuhvata, nabavka i obnova opreme, razvoj odvojenog sakupljanja, uspostavljanje lokalne infrastrukture i povezivanje sa regionalnim sistemom čine funkcionalnu cjelinu. Cilj unapređenja sistema sakupljanja nije samo povećanje količine otpada koja ulazi u organizovani sistem, već stvaranje uslova da se što veći dio nastalog otpada usmjeri ka ponovnoj upotrebi, reciklaži i drugim odgovarajućim postupcima prerade, uz postepeno smanjenje količine rezidualnog otpada koji zahtijeva konačno zbrinjavanje.</w:t>
      </w:r>
    </w:p>
    <w:p w:rsidR="009927C5" w:rsidRPr="00615350" w:rsidRDefault="009927C5" w:rsidP="00513DC4">
      <w:pPr>
        <w:pStyle w:val="Heading2"/>
        <w:rPr>
          <w:rFonts w:eastAsia="Times New Roman"/>
        </w:rPr>
      </w:pPr>
      <w:bookmarkStart w:id="49" w:name="_Toc240282307"/>
      <w:r w:rsidRPr="00615350">
        <w:rPr>
          <w:rFonts w:eastAsia="Times New Roman"/>
        </w:rPr>
        <w:t>6.2. Program odvojenog sakupljanja otpada</w:t>
      </w:r>
      <w:bookmarkEnd w:id="49"/>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Razvoj odvojenog sakupljanja komunalnog otpada predstavlja jedan od ključnih elemenata planiranog sistema upravljanja otpadom u Opštini Berane. Cilj je da se materijali pogodni za ponovnu upotrebu i reciklažu u što većoj mjeri izdvoje na mjestu nastanka, čime se smanjuje količina miješanog komunalnog otpada, poboljšava kvalitet izdvojenih materijala i stvaraju uslovi za ostvarivanje ciljeva utvrđenih DPUO.</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Program odvojenog sakupljanja potrebno je razvijati postepeno i usklađeno sa raspoloživom opremom, organizacijom transporta i razvojem lokalnih i regionalnih kapaciteta za prijem, razvrstavanje i dalji tretman izdvojenih tokova.</w:t>
      </w:r>
    </w:p>
    <w:p w:rsidR="00E77ED5" w:rsidRPr="00615350" w:rsidRDefault="00E77ED5" w:rsidP="00904A29">
      <w:pPr>
        <w:rPr>
          <w:rFonts w:ascii="Times New Roman" w:hAnsi="Times New Roman" w:cs="Times New Roman"/>
          <w:b/>
          <w:sz w:val="24"/>
        </w:rPr>
      </w:pPr>
      <w:r w:rsidRPr="00615350">
        <w:rPr>
          <w:rFonts w:ascii="Times New Roman" w:hAnsi="Times New Roman" w:cs="Times New Roman"/>
          <w:b/>
          <w:sz w:val="24"/>
        </w:rPr>
        <w:t>Osnovni model primarne selekcije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teritoriji Opštine Berane važećim lokalnim normativnim okvirom već je predviđen sistem </w:t>
      </w:r>
      <w:r w:rsidRPr="00615350">
        <w:rPr>
          <w:rFonts w:ascii="Times New Roman" w:eastAsia="Times New Roman" w:hAnsi="Times New Roman" w:cs="Times New Roman"/>
          <w:b/>
          <w:bCs/>
          <w:sz w:val="24"/>
          <w:szCs w:val="24"/>
        </w:rPr>
        <w:t>„dvije kante“</w:t>
      </w:r>
      <w:r w:rsidRPr="00615350">
        <w:rPr>
          <w:rFonts w:ascii="Times New Roman" w:eastAsia="Times New Roman" w:hAnsi="Times New Roman" w:cs="Times New Roman"/>
          <w:sz w:val="24"/>
          <w:szCs w:val="24"/>
        </w:rPr>
        <w:t xml:space="preserve">, kojim se komunalni otpad na mjestu nastanka razdvaja na suvu i mokru frakciju, kao i sistem „od vrata do vrata“ za individualni tip stanovanja. Suvu frakciju čine papir i karton, plastika, metal i staklo, a predviđeno je i postepeno širenje sistema na ruralna područja.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potrebe praktične primjene sistema potrebno je, međutim, uzeti u obzir karakteristike pojedinih materijala i mogućnosti njihovog daljeg razvrstavanja. FORS analiza, koja se u ovom dijelu koristi kao </w:t>
      </w:r>
      <w:r w:rsidRPr="00615350">
        <w:rPr>
          <w:rFonts w:ascii="Times New Roman" w:eastAsia="Times New Roman" w:hAnsi="Times New Roman" w:cs="Times New Roman"/>
          <w:b/>
          <w:bCs/>
          <w:sz w:val="24"/>
          <w:szCs w:val="24"/>
        </w:rPr>
        <w:t>stručna preporuka za operacionalizaciju sistema</w:t>
      </w:r>
      <w:r w:rsidRPr="00615350">
        <w:rPr>
          <w:rFonts w:ascii="Times New Roman" w:eastAsia="Times New Roman" w:hAnsi="Times New Roman" w:cs="Times New Roman"/>
          <w:sz w:val="24"/>
          <w:szCs w:val="24"/>
        </w:rPr>
        <w:t xml:space="preserve">, predlaže da se u individualnom stanovanju koriste kante odgovarajuće zapremine, dok se u zonama kolektivnog stanovanja koriste kontejneri. Osnovu sistema činile bi odvojene posude za suve reciklabilne materijale i preostali komunalni otpad.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staklo je preporučeno zasebno sakupljanje putem namjenskih kontejnera, kako bi se izbjeglo lomljenje, kontaminacija drugih materijala i otežavanje naknadnog razvrstavanja.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skladu sa tim, postojeći lokalni koncept može se u planskom periodu operativno razvijati kroz sljedeće osnovne tokove:</w:t>
      </w:r>
    </w:p>
    <w:p w:rsidR="00513DC4" w:rsidRPr="00615350" w:rsidRDefault="00513DC4" w:rsidP="00513DC4">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Tabela br. 22 </w:t>
      </w:r>
      <w:r w:rsidR="0012276A" w:rsidRPr="00615350">
        <w:rPr>
          <w:rFonts w:ascii="Times New Roman" w:eastAsia="Times New Roman" w:hAnsi="Times New Roman" w:cs="Times New Roman"/>
          <w:sz w:val="24"/>
          <w:szCs w:val="24"/>
        </w:rPr>
        <w:t>Lokalni koncept osnovnih tokova otpada</w:t>
      </w:r>
    </w:p>
    <w:tbl>
      <w:tblPr>
        <w:tblStyle w:val="LightShading-Accent1"/>
        <w:tblW w:w="0" w:type="auto"/>
        <w:tblLook w:val="04A0" w:firstRow="1" w:lastRow="0" w:firstColumn="1" w:lastColumn="0" w:noHBand="0" w:noVBand="1"/>
      </w:tblPr>
      <w:tblGrid>
        <w:gridCol w:w="2023"/>
        <w:gridCol w:w="4192"/>
        <w:gridCol w:w="3028"/>
      </w:tblGrid>
      <w:tr w:rsidR="00E77ED5" w:rsidRPr="00615350" w:rsidTr="00904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Tok otpada</w:t>
            </w:r>
          </w:p>
        </w:tc>
        <w:tc>
          <w:tcPr>
            <w:tcW w:w="0" w:type="auto"/>
            <w:hideMark/>
          </w:tcPr>
          <w:p w:rsidR="00E77ED5" w:rsidRPr="00615350" w:rsidRDefault="00E77ED5"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Osnovni sadržaj</w:t>
            </w:r>
          </w:p>
        </w:tc>
        <w:tc>
          <w:tcPr>
            <w:tcW w:w="0" w:type="auto"/>
            <w:hideMark/>
          </w:tcPr>
          <w:p w:rsidR="00E77ED5" w:rsidRPr="00615350" w:rsidRDefault="00E77ED5"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Način sakupljanja</w:t>
            </w:r>
          </w:p>
        </w:tc>
      </w:tr>
      <w:tr w:rsidR="00E77ED5" w:rsidRPr="00615350" w:rsidTr="0090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b w:val="0"/>
                <w:bCs w:val="0"/>
                <w:sz w:val="20"/>
                <w:szCs w:val="24"/>
              </w:rPr>
              <w:t xml:space="preserve">Suva reciklabilna </w:t>
            </w:r>
            <w:r w:rsidRPr="00615350">
              <w:rPr>
                <w:rFonts w:ascii="Times New Roman" w:eastAsia="Times New Roman" w:hAnsi="Times New Roman" w:cs="Times New Roman"/>
                <w:b w:val="0"/>
                <w:bCs w:val="0"/>
                <w:sz w:val="20"/>
                <w:szCs w:val="24"/>
              </w:rPr>
              <w:lastRenderedPageBreak/>
              <w:t>frakcija</w:t>
            </w:r>
          </w:p>
        </w:tc>
        <w:tc>
          <w:tcPr>
            <w:tcW w:w="0" w:type="auto"/>
            <w:hideMark/>
          </w:tcPr>
          <w:p w:rsidR="00E77ED5" w:rsidRPr="00615350" w:rsidRDefault="00E77ED5"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lastRenderedPageBreak/>
              <w:t xml:space="preserve">papir, karton, kompozitna ambalaža, plastika i </w:t>
            </w:r>
            <w:r w:rsidRPr="00615350">
              <w:rPr>
                <w:rFonts w:ascii="Times New Roman" w:eastAsia="Times New Roman" w:hAnsi="Times New Roman" w:cs="Times New Roman"/>
                <w:sz w:val="20"/>
                <w:szCs w:val="24"/>
              </w:rPr>
              <w:lastRenderedPageBreak/>
              <w:t>metal</w:t>
            </w:r>
          </w:p>
        </w:tc>
        <w:tc>
          <w:tcPr>
            <w:tcW w:w="0" w:type="auto"/>
            <w:hideMark/>
          </w:tcPr>
          <w:p w:rsidR="00E77ED5" w:rsidRPr="00615350" w:rsidRDefault="00E77ED5"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lastRenderedPageBreak/>
              <w:t xml:space="preserve">posebna kanta/kontejner za suvu </w:t>
            </w:r>
            <w:r w:rsidRPr="00615350">
              <w:rPr>
                <w:rFonts w:ascii="Times New Roman" w:eastAsia="Times New Roman" w:hAnsi="Times New Roman" w:cs="Times New Roman"/>
                <w:sz w:val="20"/>
                <w:szCs w:val="24"/>
              </w:rPr>
              <w:lastRenderedPageBreak/>
              <w:t>frakciju</w:t>
            </w:r>
          </w:p>
        </w:tc>
      </w:tr>
      <w:tr w:rsidR="00E77ED5" w:rsidRPr="00615350" w:rsidTr="00904A29">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b w:val="0"/>
                <w:bCs w:val="0"/>
                <w:sz w:val="20"/>
                <w:szCs w:val="24"/>
              </w:rPr>
              <w:lastRenderedPageBreak/>
              <w:t>Preostali komunalni otpad</w:t>
            </w:r>
          </w:p>
        </w:tc>
        <w:tc>
          <w:tcPr>
            <w:tcW w:w="0" w:type="auto"/>
            <w:hideMark/>
          </w:tcPr>
          <w:p w:rsidR="00E77ED5" w:rsidRPr="00615350" w:rsidRDefault="00E77ED5"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otpad koji nije izdvojen za reciklažu ili drugi poseban tretman</w:t>
            </w:r>
          </w:p>
        </w:tc>
        <w:tc>
          <w:tcPr>
            <w:tcW w:w="0" w:type="auto"/>
            <w:hideMark/>
          </w:tcPr>
          <w:p w:rsidR="00E77ED5" w:rsidRPr="00615350" w:rsidRDefault="00E77ED5"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posebna kanta/kontejner</w:t>
            </w:r>
          </w:p>
        </w:tc>
      </w:tr>
      <w:tr w:rsidR="00E77ED5" w:rsidRPr="00615350" w:rsidTr="0090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b w:val="0"/>
                <w:bCs w:val="0"/>
                <w:sz w:val="20"/>
                <w:szCs w:val="24"/>
              </w:rPr>
              <w:t>Staklo</w:t>
            </w:r>
          </w:p>
        </w:tc>
        <w:tc>
          <w:tcPr>
            <w:tcW w:w="0" w:type="auto"/>
            <w:hideMark/>
          </w:tcPr>
          <w:p w:rsidR="00E77ED5" w:rsidRPr="00615350" w:rsidRDefault="00E77ED5"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odgovarajuća staklena ambalaža</w:t>
            </w:r>
          </w:p>
        </w:tc>
        <w:tc>
          <w:tcPr>
            <w:tcW w:w="0" w:type="auto"/>
            <w:hideMark/>
          </w:tcPr>
          <w:p w:rsidR="00E77ED5" w:rsidRPr="00615350" w:rsidRDefault="00E77ED5"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namjenski kontejneri/sabirna mjesta</w:t>
            </w:r>
          </w:p>
        </w:tc>
      </w:tr>
    </w:tbl>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Ovakvo rješenje predstavlja mogući način praktičnog unapređenja postojećeg sistema, a konačan broj, vrstu, zapreminu i raspored posuda potrebno je utvrditi na osnovu broja korisnika, tipa stanovanja, očekivanih količina otpada, raspoložive opreme i tehničkog rješenja budućeg sistema za razvrstavanje.</w:t>
      </w:r>
    </w:p>
    <w:p w:rsidR="00E77ED5" w:rsidRPr="00615350" w:rsidRDefault="00E77ED5" w:rsidP="00904A29">
      <w:pPr>
        <w:rPr>
          <w:rFonts w:ascii="Times New Roman" w:hAnsi="Times New Roman" w:cs="Times New Roman"/>
          <w:b/>
          <w:sz w:val="24"/>
        </w:rPr>
      </w:pPr>
      <w:r w:rsidRPr="00615350">
        <w:rPr>
          <w:rFonts w:ascii="Times New Roman" w:hAnsi="Times New Roman" w:cs="Times New Roman"/>
          <w:b/>
          <w:sz w:val="24"/>
        </w:rPr>
        <w:t>Organizacija prema tipu naselja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gradskom području sa kolektivnim stanovanjem odvojeno sakupljanje treba prvenstveno organizovati putem odgovarajuće opremljenih kontejnerskih mjesta. Na njima treba obezbijediti najmanje mogućnost odvajanja suve reciklabilne frakcije od preostalog komunalnog otpada, dok se staklo može sakupljati putem posebno označenih namjenskih kontejnera.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područjima individualnog stanovanja i prigradskim naseljima treba postepeno razvijati sistem </w:t>
      </w:r>
      <w:r w:rsidRPr="00615350">
        <w:rPr>
          <w:rFonts w:ascii="Times New Roman" w:eastAsia="Times New Roman" w:hAnsi="Times New Roman" w:cs="Times New Roman"/>
          <w:b/>
          <w:bCs/>
          <w:sz w:val="24"/>
          <w:szCs w:val="24"/>
        </w:rPr>
        <w:t>„od vrata do vrata“</w:t>
      </w:r>
      <w:r w:rsidRPr="00615350">
        <w:rPr>
          <w:rFonts w:ascii="Times New Roman" w:eastAsia="Times New Roman" w:hAnsi="Times New Roman" w:cs="Times New Roman"/>
          <w:sz w:val="24"/>
          <w:szCs w:val="24"/>
        </w:rPr>
        <w:t>, u skladu sa lokalnim normativnim okvirom i tehničkim mogućnostima sistema.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ruralnim naseljima način sakupljanja potrebno je prilagoditi broju i gustini stanovnika, udaljenosti, pristupačnosti i ekonomičnosti pružanja usluge. U većim i pristupačnijim naseljima može se postepeno uvoditi sistem „od vrata do vrata“, dok se u manjim i prostorno razuđenim područjima mogu organizovati odgovarajuća zajednička sabirna mjesta.</w:t>
      </w:r>
    </w:p>
    <w:p w:rsidR="00E77ED5" w:rsidRPr="00615350" w:rsidRDefault="00E77ED5" w:rsidP="00904A29">
      <w:pPr>
        <w:rPr>
          <w:rFonts w:ascii="Times New Roman" w:hAnsi="Times New Roman" w:cs="Times New Roman"/>
          <w:b/>
          <w:sz w:val="24"/>
        </w:rPr>
      </w:pPr>
      <w:r w:rsidRPr="00615350">
        <w:rPr>
          <w:rFonts w:ascii="Times New Roman" w:hAnsi="Times New Roman" w:cs="Times New Roman"/>
          <w:b/>
          <w:sz w:val="24"/>
        </w:rPr>
        <w:t>Fazno uvođenje sistema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 obzirom na to da primarna selekcija u Beranama još nije u potpunosti uspostavljena, program odvojenog sakupljanja treba uvoditi </w:t>
      </w:r>
      <w:r w:rsidRPr="00615350">
        <w:rPr>
          <w:rFonts w:ascii="Times New Roman" w:eastAsia="Times New Roman" w:hAnsi="Times New Roman" w:cs="Times New Roman"/>
          <w:b/>
          <w:bCs/>
          <w:sz w:val="24"/>
          <w:szCs w:val="24"/>
        </w:rPr>
        <w:t>fazno</w:t>
      </w:r>
      <w:r w:rsidRPr="00615350">
        <w:rPr>
          <w:rFonts w:ascii="Times New Roman" w:eastAsia="Times New Roman" w:hAnsi="Times New Roman" w:cs="Times New Roman"/>
          <w:sz w:val="24"/>
          <w:szCs w:val="24"/>
        </w:rPr>
        <w:t>, uz istovremeno obezbjeđivanje mogućnosti za odvojeni transport i dalji tretman izdvojenih materijala.</w:t>
      </w:r>
      <w:r w:rsidR="008835DC" w:rsidRPr="00615350">
        <w:rPr>
          <w:rFonts w:ascii="Times New Roman" w:eastAsia="Times New Roman" w:hAnsi="Times New Roman" w:cs="Times New Roman"/>
          <w:sz w:val="24"/>
          <w:szCs w:val="24"/>
        </w:rPr>
        <w:t xml:space="preserve"> </w:t>
      </w:r>
    </w:p>
    <w:p w:rsidR="008835DC" w:rsidRPr="00615350" w:rsidRDefault="008835DC"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Proširenje odvojenog sakupljanja potrebno je usklađivati sa obezbijeđenim kapacitetima za prijem, pripremu i predaju izdvojenih materijala ovlašćenim operaterima, kako sakupljene frakcije ne bi ponovo završavale u toku otpada namijenjenog odlaganju.</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početnoj fazi prioritet treba dati gradskom području i većim koncentracijama korisnika, javnim ustanovama i privrednim subjektima kod kojih nastaju značajnije količine papira, kartona i ambalažnog otpada, kao i područjima na kojima se može obezbijediti redovno i kontrolisano preuzimanje odvojeno sakupljenih materijala.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Nakon uspostavljanja potrebne logistike i odgovarajućih kapaciteta za prijem i razvrstavanje, sistem treba postepeno proširivati na prigradska i ruralna područja.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Postojeći tokovi odvojeno sakupljenih sekundarnih sirovina mogu predstavljati polaznu osnovu za razvoj sistema. Kako je prikazano u analizi postojećeg stanja, tokom 2024. godine privatni sakupljač evidentirao je </w:t>
      </w:r>
      <w:r w:rsidRPr="00615350">
        <w:rPr>
          <w:rFonts w:ascii="Times New Roman" w:eastAsia="Times New Roman" w:hAnsi="Times New Roman" w:cs="Times New Roman"/>
          <w:b/>
          <w:bCs/>
          <w:sz w:val="24"/>
          <w:szCs w:val="24"/>
        </w:rPr>
        <w:t>630 t kartonske ambalaže i 45 t plastičnog/najlonskog otpada</w:t>
      </w:r>
      <w:r w:rsidRPr="00615350">
        <w:rPr>
          <w:rFonts w:ascii="Times New Roman" w:eastAsia="Times New Roman" w:hAnsi="Times New Roman" w:cs="Times New Roman"/>
          <w:sz w:val="24"/>
          <w:szCs w:val="24"/>
        </w:rPr>
        <w:t>, odnosno ukupno 675 t ovih materijala. Ove količine, međutim, ne treba poistovjećivati sa rezultatima budućeg opštinskog sistema primarne selekcije.</w:t>
      </w:r>
    </w:p>
    <w:p w:rsidR="00E77ED5" w:rsidRPr="00615350" w:rsidRDefault="00E77ED5" w:rsidP="00904A29">
      <w:pPr>
        <w:rPr>
          <w:rFonts w:ascii="Times New Roman" w:hAnsi="Times New Roman" w:cs="Times New Roman"/>
          <w:b/>
          <w:sz w:val="24"/>
        </w:rPr>
      </w:pPr>
      <w:r w:rsidRPr="00615350">
        <w:rPr>
          <w:rFonts w:ascii="Times New Roman" w:hAnsi="Times New Roman" w:cs="Times New Roman"/>
          <w:b/>
          <w:sz w:val="24"/>
        </w:rPr>
        <w:t>Razvrstavanje i dalji tretman</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Odvojeno sakupljena suva frakcija ne predstavlja nužno konačno razvrstane sekundarne sirovine. Nakon sakupljanja potrebno je obezbijediti odgovarajuće razvrstavanje, kako bi se pojedini materijali izdvojili prema vrsti i kvalitetu i pripremili za predaju na reciklažu.</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razvoj sistema primarne selekcije mora biti usklađen sa razvojem odgovarajuće infrastrukture za prijem, privremeno skladištenje, razvrstavanje i pripremu materijala za dalju preradu.</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za Berane predviđa </w:t>
      </w:r>
      <w:r w:rsidRPr="00615350">
        <w:rPr>
          <w:rFonts w:ascii="Times New Roman" w:eastAsia="Times New Roman" w:hAnsi="Times New Roman" w:cs="Times New Roman"/>
          <w:b/>
          <w:bCs/>
          <w:sz w:val="24"/>
          <w:szCs w:val="24"/>
        </w:rPr>
        <w:t>reciklažni centar sa programom ponovne upotrebe</w:t>
      </w:r>
      <w:r w:rsidRPr="00615350">
        <w:rPr>
          <w:rFonts w:ascii="Times New Roman" w:eastAsia="Times New Roman" w:hAnsi="Times New Roman" w:cs="Times New Roman"/>
          <w:sz w:val="24"/>
          <w:szCs w:val="24"/>
        </w:rPr>
        <w:t>. Konačan odnos ovog centra prema kapacitetima za sekundarno razvrstavanje i regionalnoj infrastrukturi biće detaljnije definisan u potpoglavlju 6.5, u skladu sa infrastrukturnim konceptom DPUO i raspoloživom projektnom dokumentacijom.</w:t>
      </w:r>
    </w:p>
    <w:p w:rsidR="00E77ED5" w:rsidRPr="00615350" w:rsidRDefault="00E77ED5" w:rsidP="00904A29">
      <w:pPr>
        <w:rPr>
          <w:rFonts w:ascii="Times New Roman" w:hAnsi="Times New Roman" w:cs="Times New Roman"/>
          <w:b/>
          <w:sz w:val="24"/>
        </w:rPr>
      </w:pPr>
      <w:r w:rsidRPr="00615350">
        <w:rPr>
          <w:rFonts w:ascii="Times New Roman" w:hAnsi="Times New Roman" w:cs="Times New Roman"/>
          <w:b/>
          <w:sz w:val="24"/>
        </w:rPr>
        <w:t>Transport odvojeno sakupljenih frakcija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Odvojeno sakupljene frakcije potrebno je transportovati tako da se očuvaju njihova odvojenost i kvalitet. Materijali koji su odvojeni na mjestu nastanka ne treba da se ponovo miješaju sa preostalim komunalnim otpadom tokom sakupljanja i transporta.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Kako postojeći vozni park DOO „Komunalno“ prvenstveno služi za sakupljanje miješanog komunalnog otpada, razvoj primarne selekcije treba da prati odgovarajuća reorganizacija transporta i, prema utvrđenim potrebama, nabavka ili prilagođavanje vozila.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početnoj fazi mogu se koristiti postojeća odgovarajuća vozila za različite tokove u različitim terminima, ukoliko se može obezbijediti da ne dolazi do njihovog međusobnog miješanja ili kontaminacije. Sa povećanjem količina odvojeno sakupljenog otpada potrebno je razvijati logistiku prilagođenu pojedinim tokovima.</w:t>
      </w:r>
    </w:p>
    <w:p w:rsidR="00E77ED5" w:rsidRPr="00615350" w:rsidRDefault="00E77ED5" w:rsidP="00405F3C">
      <w:pPr>
        <w:rPr>
          <w:rFonts w:ascii="Times New Roman" w:hAnsi="Times New Roman" w:cs="Times New Roman"/>
          <w:b/>
          <w:sz w:val="24"/>
        </w:rPr>
      </w:pPr>
      <w:r w:rsidRPr="00615350">
        <w:rPr>
          <w:rFonts w:ascii="Times New Roman" w:hAnsi="Times New Roman" w:cs="Times New Roman"/>
          <w:b/>
          <w:sz w:val="24"/>
        </w:rPr>
        <w:t>Ciljevi programa odvojenog sakupljanja</w:t>
      </w:r>
    </w:p>
    <w:p w:rsidR="00405F3C" w:rsidRPr="00615350" w:rsidRDefault="00405F3C" w:rsidP="00405F3C">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utvrđuje posebne ciljeve za </w:t>
      </w:r>
      <w:r w:rsidRPr="00615350">
        <w:rPr>
          <w:rFonts w:ascii="Times New Roman" w:eastAsia="Times New Roman" w:hAnsi="Times New Roman" w:cs="Times New Roman"/>
          <w:b/>
          <w:bCs/>
          <w:sz w:val="24"/>
          <w:szCs w:val="24"/>
        </w:rPr>
        <w:t>odvojeno sakupljanje reciklabilnih materijala</w:t>
      </w:r>
      <w:r w:rsidRPr="00615350">
        <w:rPr>
          <w:rFonts w:ascii="Times New Roman" w:eastAsia="Times New Roman" w:hAnsi="Times New Roman" w:cs="Times New Roman"/>
          <w:sz w:val="24"/>
          <w:szCs w:val="24"/>
        </w:rPr>
        <w:t xml:space="preserve">: </w:t>
      </w:r>
      <w:r w:rsidRPr="00615350">
        <w:rPr>
          <w:rFonts w:ascii="Times New Roman" w:eastAsia="Times New Roman" w:hAnsi="Times New Roman" w:cs="Times New Roman"/>
          <w:b/>
          <w:bCs/>
          <w:sz w:val="24"/>
          <w:szCs w:val="24"/>
        </w:rPr>
        <w:t>15% do 2026. godine, 25% do 2028. godine i 40% do 2030. godine</w:t>
      </w:r>
      <w:r w:rsidRPr="00615350">
        <w:rPr>
          <w:rFonts w:ascii="Times New Roman" w:eastAsia="Times New Roman" w:hAnsi="Times New Roman" w:cs="Times New Roman"/>
          <w:sz w:val="24"/>
          <w:szCs w:val="24"/>
        </w:rPr>
        <w:t>.</w:t>
      </w:r>
    </w:p>
    <w:p w:rsidR="00405F3C" w:rsidRPr="00615350" w:rsidRDefault="00405F3C" w:rsidP="00405F3C">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Istovremeno, DPUO utvrđuje drugi, metodološki različit cilj: najmanje </w:t>
      </w:r>
      <w:r w:rsidRPr="00615350">
        <w:rPr>
          <w:rFonts w:ascii="Times New Roman" w:eastAsia="Times New Roman" w:hAnsi="Times New Roman" w:cs="Times New Roman"/>
          <w:b/>
          <w:bCs/>
          <w:sz w:val="24"/>
          <w:szCs w:val="24"/>
        </w:rPr>
        <w:t>30% u 2029. godini</w:t>
      </w:r>
      <w:r w:rsidRPr="00615350">
        <w:rPr>
          <w:rFonts w:ascii="Times New Roman" w:eastAsia="Times New Roman" w:hAnsi="Times New Roman" w:cs="Times New Roman"/>
          <w:sz w:val="24"/>
          <w:szCs w:val="24"/>
        </w:rPr>
        <w:t xml:space="preserve"> papira, metala, plastike i stakla iz domaćinstava i drugih izvora sa sličnim tokovima otpada treba pripremiti za ponovnu upotrebu i reciklažu. </w:t>
      </w:r>
      <w:r w:rsidRPr="00615350">
        <w:rPr>
          <w:rFonts w:ascii="Times New Roman" w:eastAsia="Times New Roman" w:hAnsi="Times New Roman" w:cs="Times New Roman"/>
          <w:b/>
          <w:bCs/>
          <w:sz w:val="24"/>
          <w:szCs w:val="24"/>
        </w:rPr>
        <w:t xml:space="preserve">Zakonski cilj za 2030. godinu iznosi </w:t>
      </w:r>
      <w:r w:rsidRPr="00615350">
        <w:rPr>
          <w:rFonts w:ascii="Times New Roman" w:eastAsia="Times New Roman" w:hAnsi="Times New Roman" w:cs="Times New Roman"/>
          <w:b/>
          <w:bCs/>
          <w:sz w:val="24"/>
          <w:szCs w:val="24"/>
        </w:rPr>
        <w:lastRenderedPageBreak/>
        <w:t>najmanje 50%</w:t>
      </w:r>
      <w:r w:rsidRPr="00615350">
        <w:rPr>
          <w:rFonts w:ascii="Times New Roman" w:eastAsia="Times New Roman" w:hAnsi="Times New Roman" w:cs="Times New Roman"/>
          <w:sz w:val="24"/>
          <w:szCs w:val="24"/>
        </w:rPr>
        <w:t xml:space="preserve"> ukupne mase sakupljenih otpadnih materijala kao što su papir, metal, plastika i staklo iz domaćinstava i drugih izvora sa sličnim tokovima otpada.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Ova dva pokazatelja potrebno je jasno razlikovati. </w:t>
      </w:r>
      <w:r w:rsidRPr="00615350">
        <w:rPr>
          <w:rFonts w:ascii="Times New Roman" w:eastAsia="Times New Roman" w:hAnsi="Times New Roman" w:cs="Times New Roman"/>
          <w:b/>
          <w:bCs/>
          <w:sz w:val="24"/>
          <w:szCs w:val="24"/>
        </w:rPr>
        <w:t>Odvojeno sakupljanje</w:t>
      </w:r>
      <w:r w:rsidRPr="00615350">
        <w:rPr>
          <w:rFonts w:ascii="Times New Roman" w:eastAsia="Times New Roman" w:hAnsi="Times New Roman" w:cs="Times New Roman"/>
          <w:sz w:val="24"/>
          <w:szCs w:val="24"/>
        </w:rPr>
        <w:t xml:space="preserve"> odnosi se na izdvajanje materijala iz miješanog toka, dok </w:t>
      </w:r>
      <w:r w:rsidRPr="00615350">
        <w:rPr>
          <w:rFonts w:ascii="Times New Roman" w:eastAsia="Times New Roman" w:hAnsi="Times New Roman" w:cs="Times New Roman"/>
          <w:b/>
          <w:bCs/>
          <w:sz w:val="24"/>
          <w:szCs w:val="24"/>
        </w:rPr>
        <w:t>priprema za ponovnu upotrebu i reciklažu</w:t>
      </w:r>
      <w:r w:rsidRPr="00615350">
        <w:rPr>
          <w:rFonts w:ascii="Times New Roman" w:eastAsia="Times New Roman" w:hAnsi="Times New Roman" w:cs="Times New Roman"/>
          <w:sz w:val="24"/>
          <w:szCs w:val="24"/>
        </w:rPr>
        <w:t xml:space="preserve"> predstavlja narednu fazu, odnosno količinu koja nakon sakupljanja i potrebnog razvrstavanja može biti usmjerena ka ponovnoj upotrebi i reciklaži.</w:t>
      </w:r>
    </w:p>
    <w:p w:rsidR="00E77ED5" w:rsidRPr="00615350" w:rsidRDefault="00E77ED5" w:rsidP="0012276A">
      <w:pPr>
        <w:spacing w:before="100" w:beforeAutospacing="1" w:after="100" w:afterAutospacing="1"/>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period obuhvaćen ovim Lokalnim planom relevantni su, prema tome:</w:t>
      </w:r>
    </w:p>
    <w:p w:rsidR="0012276A" w:rsidRPr="00615350" w:rsidRDefault="0012276A" w:rsidP="0012276A">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23 Pokazatelji veazno za odvojeno sakupljanje i pripremu za ponovnu upotrebu i reciklažu</w:t>
      </w:r>
    </w:p>
    <w:tbl>
      <w:tblPr>
        <w:tblStyle w:val="LightShading-Accent1"/>
        <w:tblW w:w="0" w:type="auto"/>
        <w:tblLook w:val="04A0" w:firstRow="1" w:lastRow="0" w:firstColumn="1" w:lastColumn="0" w:noHBand="0" w:noVBand="1"/>
      </w:tblPr>
      <w:tblGrid>
        <w:gridCol w:w="4013"/>
        <w:gridCol w:w="666"/>
        <w:gridCol w:w="666"/>
        <w:gridCol w:w="3898"/>
      </w:tblGrid>
      <w:tr w:rsidR="00E77ED5" w:rsidRPr="00615350" w:rsidTr="008F36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Pokazatelj</w:t>
            </w:r>
          </w:p>
        </w:tc>
        <w:tc>
          <w:tcPr>
            <w:tcW w:w="0" w:type="auto"/>
            <w:hideMark/>
          </w:tcPr>
          <w:p w:rsidR="00E77ED5" w:rsidRPr="00615350" w:rsidRDefault="00E77ED5"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2026.</w:t>
            </w:r>
          </w:p>
        </w:tc>
        <w:tc>
          <w:tcPr>
            <w:tcW w:w="0" w:type="auto"/>
            <w:hideMark/>
          </w:tcPr>
          <w:p w:rsidR="00E77ED5" w:rsidRPr="00615350" w:rsidRDefault="00E77ED5"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2028.</w:t>
            </w:r>
          </w:p>
        </w:tc>
        <w:tc>
          <w:tcPr>
            <w:tcW w:w="0" w:type="auto"/>
            <w:hideMark/>
          </w:tcPr>
          <w:p w:rsidR="00E77ED5" w:rsidRPr="00615350" w:rsidRDefault="00E77ED5"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2029.</w:t>
            </w:r>
          </w:p>
        </w:tc>
      </w:tr>
      <w:tr w:rsidR="00E77ED5" w:rsidRPr="00615350" w:rsidTr="008F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Odvojeno sakupljanje reciklabilnih materijala</w:t>
            </w:r>
          </w:p>
        </w:tc>
        <w:tc>
          <w:tcPr>
            <w:tcW w:w="0" w:type="auto"/>
            <w:hideMark/>
          </w:tcPr>
          <w:p w:rsidR="00E77ED5" w:rsidRPr="00615350" w:rsidRDefault="00E77ED5"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15%</w:t>
            </w:r>
          </w:p>
        </w:tc>
        <w:tc>
          <w:tcPr>
            <w:tcW w:w="0" w:type="auto"/>
            <w:hideMark/>
          </w:tcPr>
          <w:p w:rsidR="00E77ED5" w:rsidRPr="00615350" w:rsidRDefault="00E77ED5"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25%</w:t>
            </w:r>
          </w:p>
        </w:tc>
        <w:tc>
          <w:tcPr>
            <w:tcW w:w="0" w:type="auto"/>
            <w:hideMark/>
          </w:tcPr>
          <w:p w:rsidR="00E77ED5" w:rsidRPr="00615350" w:rsidRDefault="00E77ED5"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najmanje održati/dalje povećavati dostignuti nivo prema cilju od 40% u 2030.</w:t>
            </w:r>
          </w:p>
        </w:tc>
      </w:tr>
      <w:tr w:rsidR="00E77ED5" w:rsidRPr="00615350" w:rsidTr="008F36D0">
        <w:tc>
          <w:tcPr>
            <w:cnfStyle w:val="001000000000" w:firstRow="0" w:lastRow="0" w:firstColumn="1" w:lastColumn="0" w:oddVBand="0" w:evenVBand="0" w:oddHBand="0" w:evenHBand="0" w:firstRowFirstColumn="0" w:firstRowLastColumn="0" w:lastRowFirstColumn="0" w:lastRowLastColumn="0"/>
            <w:tcW w:w="0" w:type="auto"/>
            <w:hideMark/>
          </w:tcPr>
          <w:p w:rsidR="00E77ED5" w:rsidRPr="00615350" w:rsidRDefault="00E77ED5"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Priprema papira, metala, plastike i stakla za ponovnu upotrebu i reciklažu</w:t>
            </w:r>
          </w:p>
        </w:tc>
        <w:tc>
          <w:tcPr>
            <w:tcW w:w="0" w:type="auto"/>
            <w:hideMark/>
          </w:tcPr>
          <w:p w:rsidR="00E77ED5" w:rsidRPr="00615350" w:rsidRDefault="00E77ED5"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w:t>
            </w:r>
          </w:p>
        </w:tc>
        <w:tc>
          <w:tcPr>
            <w:tcW w:w="0" w:type="auto"/>
            <w:hideMark/>
          </w:tcPr>
          <w:p w:rsidR="00E77ED5" w:rsidRPr="00615350" w:rsidRDefault="00405F3C"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b/>
                <w:bCs/>
                <w:sz w:val="20"/>
                <w:szCs w:val="24"/>
              </w:rPr>
              <w:t>-</w:t>
            </w:r>
          </w:p>
        </w:tc>
        <w:tc>
          <w:tcPr>
            <w:tcW w:w="0" w:type="auto"/>
            <w:hideMark/>
          </w:tcPr>
          <w:p w:rsidR="00E77ED5" w:rsidRPr="00615350" w:rsidRDefault="00405F3C"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najmanje 30%</w:t>
            </w:r>
            <w:r w:rsidR="00E77ED5" w:rsidRPr="00615350">
              <w:rPr>
                <w:rFonts w:ascii="Times New Roman" w:eastAsia="Times New Roman" w:hAnsi="Times New Roman" w:cs="Times New Roman"/>
                <w:sz w:val="20"/>
                <w:szCs w:val="24"/>
              </w:rPr>
              <w:t>.</w:t>
            </w:r>
          </w:p>
        </w:tc>
      </w:tr>
    </w:tbl>
    <w:p w:rsidR="00E77ED5" w:rsidRPr="00615350" w:rsidRDefault="00405F3C"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Cilj od 50% pripreme za ponovnu upotrebu i reciklažu do 2030. godine predstavlja naredni nivo koji sistem treba da dostigne nakon isteka planskog perioda ovog Lokalnog plana.</w:t>
      </w:r>
      <w:r w:rsidR="00E77ED5" w:rsidRPr="00615350">
        <w:rPr>
          <w:rFonts w:ascii="Times New Roman" w:eastAsia="Times New Roman" w:hAnsi="Times New Roman" w:cs="Times New Roman"/>
          <w:sz w:val="24"/>
          <w:szCs w:val="24"/>
        </w:rPr>
        <w:t>.</w:t>
      </w:r>
    </w:p>
    <w:p w:rsidR="00E77ED5" w:rsidRPr="00615350" w:rsidRDefault="00E77ED5" w:rsidP="00CB72D9">
      <w:pPr>
        <w:rPr>
          <w:rFonts w:ascii="Times New Roman" w:hAnsi="Times New Roman" w:cs="Times New Roman"/>
          <w:b/>
          <w:sz w:val="24"/>
        </w:rPr>
      </w:pPr>
      <w:r w:rsidRPr="00615350">
        <w:rPr>
          <w:rFonts w:ascii="Times New Roman" w:hAnsi="Times New Roman" w:cs="Times New Roman"/>
          <w:b/>
          <w:sz w:val="24"/>
        </w:rPr>
        <w:t>Praćenje realizacije programa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Realizaciju programa potrebno je pratiti kroz količine odvojeno sakupljenih frakcija, broj korisnika uključenih u sistem, broj i kapacitet posuda, količinu ostatka nakon razvrstavanja i količinu materijala stvarno predatu na ponovnu upotrebu ili reciklažu.</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Posebno je važno uspostaviti evidenciju koja omogućava da se </w:t>
      </w:r>
      <w:r w:rsidRPr="00615350">
        <w:rPr>
          <w:rFonts w:ascii="Times New Roman" w:eastAsia="Times New Roman" w:hAnsi="Times New Roman" w:cs="Times New Roman"/>
          <w:b/>
          <w:bCs/>
          <w:sz w:val="24"/>
          <w:szCs w:val="24"/>
        </w:rPr>
        <w:t>odvojeno prati količina sakupljenog materijala i količina materijala stvarno pripremljenog/predatog za reciklažu</w:t>
      </w:r>
      <w:r w:rsidRPr="00615350">
        <w:rPr>
          <w:rFonts w:ascii="Times New Roman" w:eastAsia="Times New Roman" w:hAnsi="Times New Roman" w:cs="Times New Roman"/>
          <w:sz w:val="24"/>
          <w:szCs w:val="24"/>
        </w:rPr>
        <w:t>, kako se dva različita cilja DPUO ne bi poistovjećivala.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osnovu rezultata praćenja program treba periodično prilagođavati u pogledu broja i rasporeda posuda, učestalosti sakupljanja, ruta, potrebne opreme i aktivnosti informisanja i edukacije korisnika.</w:t>
      </w:r>
    </w:p>
    <w:p w:rsidR="00BA12C2" w:rsidRPr="00615350" w:rsidRDefault="00BA12C2" w:rsidP="00DC154E">
      <w:pPr>
        <w:pStyle w:val="Heading2"/>
        <w:rPr>
          <w:rFonts w:eastAsia="Times New Roman"/>
        </w:rPr>
      </w:pPr>
      <w:bookmarkStart w:id="50" w:name="_Toc240282308"/>
      <w:r w:rsidRPr="00615350">
        <w:rPr>
          <w:rFonts w:eastAsia="Times New Roman"/>
        </w:rPr>
        <w:t>6.3. Upravljanje biootpadom</w:t>
      </w:r>
      <w:bookmarkEnd w:id="50"/>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Biootpad predstavlja jedan od najznačajnijih tokova komunalnog otpada na teritoriji opštine Berane. Lokalna morfološka analiza sprovedena tokom četiri sezonske kampanje u 2024. godini pokazala je da kategorija </w:t>
      </w:r>
      <w:r w:rsidRPr="00615350">
        <w:rPr>
          <w:rFonts w:ascii="Times New Roman" w:eastAsia="Times New Roman" w:hAnsi="Times New Roman" w:cs="Times New Roman"/>
          <w:b/>
          <w:bCs/>
          <w:sz w:val="24"/>
          <w:szCs w:val="24"/>
        </w:rPr>
        <w:t>biorazgradivog otpada</w:t>
      </w:r>
      <w:r w:rsidRPr="00615350">
        <w:rPr>
          <w:rFonts w:ascii="Times New Roman" w:eastAsia="Times New Roman" w:hAnsi="Times New Roman" w:cs="Times New Roman"/>
          <w:sz w:val="24"/>
          <w:szCs w:val="24"/>
        </w:rPr>
        <w:t xml:space="preserve"> prosječno učestvuje sa </w:t>
      </w:r>
      <w:r w:rsidRPr="00615350">
        <w:rPr>
          <w:rFonts w:ascii="Times New Roman" w:eastAsia="Times New Roman" w:hAnsi="Times New Roman" w:cs="Times New Roman"/>
          <w:b/>
          <w:bCs/>
          <w:sz w:val="24"/>
          <w:szCs w:val="24"/>
        </w:rPr>
        <w:t>33,3%</w:t>
      </w:r>
      <w:r w:rsidRPr="00615350">
        <w:rPr>
          <w:rFonts w:ascii="Times New Roman" w:eastAsia="Times New Roman" w:hAnsi="Times New Roman" w:cs="Times New Roman"/>
          <w:sz w:val="24"/>
          <w:szCs w:val="24"/>
        </w:rPr>
        <w:t xml:space="preserve"> u analiziranom komunalnom otpadu. Prema lokalnoj projekciji iz poglavlja 4, primjena ovog udjela na projektovanu količinu komunalnog otpada daje približno </w:t>
      </w:r>
      <w:r w:rsidRPr="00615350">
        <w:rPr>
          <w:rFonts w:ascii="Times New Roman" w:eastAsia="Times New Roman" w:hAnsi="Times New Roman" w:cs="Times New Roman"/>
          <w:b/>
          <w:bCs/>
          <w:sz w:val="24"/>
          <w:szCs w:val="24"/>
        </w:rPr>
        <w:t>3.067 t/god. u 2029. godini</w:t>
      </w:r>
      <w:r w:rsidRPr="00615350">
        <w:rPr>
          <w:rFonts w:ascii="Times New Roman" w:eastAsia="Times New Roman" w:hAnsi="Times New Roman" w:cs="Times New Roman"/>
          <w:sz w:val="24"/>
          <w:szCs w:val="24"/>
        </w:rPr>
        <w:t xml:space="preserve">.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Kako su papir i karton u morfološkoj analizi evidentirani kao posebne frakcije, navedeni udio od 33,3% za potrebe ovog Plana koristi se kao približna osnova za sagledavanje </w:t>
      </w:r>
      <w:r w:rsidRPr="00615350">
        <w:rPr>
          <w:rFonts w:ascii="Times New Roman" w:eastAsia="Times New Roman" w:hAnsi="Times New Roman" w:cs="Times New Roman"/>
          <w:b/>
          <w:bCs/>
          <w:sz w:val="24"/>
          <w:szCs w:val="24"/>
        </w:rPr>
        <w:t>organske frakcije komunalnog otpada pogodne za biološki tretman</w:t>
      </w:r>
      <w:r w:rsidRPr="00615350">
        <w:rPr>
          <w:rFonts w:ascii="Times New Roman" w:eastAsia="Times New Roman" w:hAnsi="Times New Roman" w:cs="Times New Roman"/>
          <w:sz w:val="24"/>
          <w:szCs w:val="24"/>
        </w:rPr>
        <w:t>, prvenstveno otpada od hrane i kuhinjskog otpada, kao i zelenog i baštenskog otpada. Ovu kategoriju ne treba poistovjećivati sa širim zakonskim pojmom biološki razgradivog komunalnog otpada.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Zakonom o upravljanju otpadom predviđeno je da se biootpad reciklira na izvoru ili odvojeno sakuplja radi odgovarajućeg biološkog tretmana, a od 1. januara 2027. komunalni biootpad koji ulazi u aerobnu ili anaerobnu obradu može se računati kao recikliran samo ako je odvojeno sakupljen ili recikliran na izvoru.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visokog učešća organske frakcije i značajnog broja individualnih i ruralnih domaćinstava, sistem upravljanja biootpadom u Beranama treba razvijati kroz kombinaciju:</w:t>
      </w:r>
    </w:p>
    <w:p w:rsidR="00E77ED5" w:rsidRPr="00615350" w:rsidRDefault="00E77ED5" w:rsidP="00C1197A">
      <w:pPr>
        <w:numPr>
          <w:ilvl w:val="0"/>
          <w:numId w:val="1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kućnog kompostiranja; </w:t>
      </w:r>
    </w:p>
    <w:p w:rsidR="00E77ED5" w:rsidRPr="00615350" w:rsidRDefault="00E77ED5" w:rsidP="00C1197A">
      <w:pPr>
        <w:numPr>
          <w:ilvl w:val="0"/>
          <w:numId w:val="1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odvojenog sakupljanja zelenog i parkovskog otpada; </w:t>
      </w:r>
    </w:p>
    <w:p w:rsidR="00E77ED5" w:rsidRPr="00615350" w:rsidRDefault="00E77ED5" w:rsidP="00C1197A">
      <w:pPr>
        <w:numPr>
          <w:ilvl w:val="0"/>
          <w:numId w:val="1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postepenog odvojenog sakupljanja otpada od hrane i drugog pogodnog biootpada kod većih proizvođača; </w:t>
      </w:r>
    </w:p>
    <w:p w:rsidR="00E77ED5" w:rsidRPr="00615350" w:rsidRDefault="00E77ED5" w:rsidP="00C1197A">
      <w:pPr>
        <w:numPr>
          <w:ilvl w:val="0"/>
          <w:numId w:val="1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razvoja odgovarajuće logistike i usmjeravanja odvojeno sakupljenog biootpada ka biološkom tretmanu. </w:t>
      </w:r>
    </w:p>
    <w:p w:rsidR="00E77ED5" w:rsidRPr="00615350" w:rsidRDefault="00E77ED5" w:rsidP="00CB72D9">
      <w:pPr>
        <w:rPr>
          <w:rFonts w:ascii="Times New Roman" w:hAnsi="Times New Roman" w:cs="Times New Roman"/>
          <w:b/>
          <w:sz w:val="24"/>
        </w:rPr>
      </w:pPr>
      <w:r w:rsidRPr="00615350">
        <w:rPr>
          <w:rFonts w:ascii="Times New Roman" w:hAnsi="Times New Roman" w:cs="Times New Roman"/>
          <w:b/>
          <w:sz w:val="24"/>
        </w:rPr>
        <w:t>Kućno kompostiranje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Kućno kompostiranje predstavlja jednu od najprikladnijih mjera za smanjenje količine biootpada koji ulazi u sistem organizovanog sakupljanja, naročito u individualnim i ruralnim domaćinstvima koja raspolažu dvorištem ili baštom.</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Primjenom kućnog kompostiranja smanjuju se količine otpada koje je potrebno sakupljati i transportovati, dok se dobijeni kompost može koristiti u domaćinstvu, pod uslovom odgovarajućeg načina kompostiranja.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predviđa najmanje </w:t>
      </w:r>
      <w:r w:rsidRPr="00615350">
        <w:rPr>
          <w:rFonts w:ascii="Times New Roman" w:eastAsia="Times New Roman" w:hAnsi="Times New Roman" w:cs="Times New Roman"/>
          <w:b/>
          <w:bCs/>
          <w:sz w:val="24"/>
          <w:szCs w:val="24"/>
        </w:rPr>
        <w:t>4% biootpada kroz kućno kompostiranje do kraja 2026. godine</w:t>
      </w:r>
      <w:r w:rsidRPr="00615350">
        <w:rPr>
          <w:rFonts w:ascii="Times New Roman" w:eastAsia="Times New Roman" w:hAnsi="Times New Roman" w:cs="Times New Roman"/>
          <w:sz w:val="24"/>
          <w:szCs w:val="24"/>
        </w:rPr>
        <w:t xml:space="preserve">. Takođe je predviđeno planiranje i nabavka opreme za kompostiranje u domaćinstvima i razvoj mjera prevencije nastanka otpada od hrane.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lokalno procijenjeni potencijal od oko </w:t>
      </w:r>
      <w:r w:rsidRPr="00615350">
        <w:rPr>
          <w:rFonts w:ascii="Times New Roman" w:eastAsia="Times New Roman" w:hAnsi="Times New Roman" w:cs="Times New Roman"/>
          <w:b/>
          <w:bCs/>
          <w:sz w:val="24"/>
          <w:szCs w:val="24"/>
        </w:rPr>
        <w:t>3.004 t biootpada u 2026. godini</w:t>
      </w:r>
      <w:r w:rsidRPr="00615350">
        <w:rPr>
          <w:rFonts w:ascii="Times New Roman" w:eastAsia="Times New Roman" w:hAnsi="Times New Roman" w:cs="Times New Roman"/>
          <w:sz w:val="24"/>
          <w:szCs w:val="24"/>
        </w:rPr>
        <w:t>, 4% odgovara količini od približno:</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3.004 × 0,04 ≈ 120 t/god.</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Ova vrijednost predstavlja </w:t>
      </w:r>
      <w:r w:rsidRPr="00615350">
        <w:rPr>
          <w:rFonts w:ascii="Times New Roman" w:eastAsia="Times New Roman" w:hAnsi="Times New Roman" w:cs="Times New Roman"/>
          <w:b/>
          <w:bCs/>
          <w:sz w:val="24"/>
          <w:szCs w:val="24"/>
        </w:rPr>
        <w:t>orijentacioni lokalni planski proračun</w:t>
      </w:r>
      <w:r w:rsidRPr="00615350">
        <w:rPr>
          <w:rFonts w:ascii="Times New Roman" w:eastAsia="Times New Roman" w:hAnsi="Times New Roman" w:cs="Times New Roman"/>
          <w:sz w:val="24"/>
          <w:szCs w:val="24"/>
        </w:rPr>
        <w:t>, a ne količinu koju DPUO neposredno propisuje za Opštinu Berane.</w:t>
      </w:r>
    </w:p>
    <w:p w:rsidR="00E77ED5" w:rsidRPr="00615350" w:rsidRDefault="00E6723A"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Program kućnog kompostiranja treba prvenstveno usmjeriti na pogodna individualna i ruralna domaćinstva koja raspolažu dvorištem ili baštom, uz obezbjeđivanje kompostera ili drugih </w:t>
      </w:r>
      <w:r w:rsidRPr="00615350">
        <w:rPr>
          <w:rFonts w:ascii="Times New Roman" w:eastAsia="Times New Roman" w:hAnsi="Times New Roman" w:cs="Times New Roman"/>
          <w:sz w:val="24"/>
          <w:szCs w:val="24"/>
        </w:rPr>
        <w:lastRenderedPageBreak/>
        <w:t>odgovarajućih rješenja, jednostavnih praktičnih uputstava i edukacije korisnika. Praćenje programa treba da obuhvati najmanje broj uključenih domaćinstava i procjenu količine biootpada obrađenog na mjestu nastanka.</w:t>
      </w:r>
    </w:p>
    <w:p w:rsidR="00E77ED5" w:rsidRPr="00615350" w:rsidRDefault="00E77ED5" w:rsidP="00CB72D9">
      <w:pPr>
        <w:rPr>
          <w:rFonts w:ascii="Times New Roman" w:hAnsi="Times New Roman" w:cs="Times New Roman"/>
          <w:b/>
          <w:sz w:val="24"/>
        </w:rPr>
      </w:pPr>
      <w:r w:rsidRPr="00615350">
        <w:rPr>
          <w:rFonts w:ascii="Times New Roman" w:hAnsi="Times New Roman" w:cs="Times New Roman"/>
          <w:b/>
          <w:sz w:val="24"/>
        </w:rPr>
        <w:t>Odvojeno sakupljanje zelenog i parkovskog otpada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Zeleni i parkovski otpad treba sakupljati odvojeno od miješanog komunalnog otpada i usmjeravati ka odgovarajućem biološkom tretmanu.</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raspoloživim podacima DOO „Komunalno“ Berane, u zbirnoj kategoriji biorazgradivog, drvnog odnosno parkovskog otpada evidentirano je </w:t>
      </w:r>
      <w:r w:rsidRPr="00615350">
        <w:rPr>
          <w:rFonts w:ascii="Times New Roman" w:eastAsia="Times New Roman" w:hAnsi="Times New Roman" w:cs="Times New Roman"/>
          <w:b/>
          <w:bCs/>
          <w:sz w:val="24"/>
          <w:szCs w:val="24"/>
        </w:rPr>
        <w:t>1.050 t u 2023, 950 t u 2024. i 1.020 t u 2025. godini</w:t>
      </w:r>
      <w:r w:rsidRPr="00615350">
        <w:rPr>
          <w:rFonts w:ascii="Times New Roman" w:eastAsia="Times New Roman" w:hAnsi="Times New Roman" w:cs="Times New Roman"/>
          <w:sz w:val="24"/>
          <w:szCs w:val="24"/>
        </w:rPr>
        <w:t>. Ove količine predstavljaju operativno evidentiran tok kojim upravlja lokalni sistem i ne mogu se poistovjećivati sa ukupnim nastankom biootpada na teritoriji opštine.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planskom periodu ovaj tok treba organizaciono unaprijediti kroz:</w:t>
      </w:r>
    </w:p>
    <w:p w:rsidR="00E77ED5" w:rsidRPr="00615350" w:rsidRDefault="00E77ED5" w:rsidP="00C1197A">
      <w:pPr>
        <w:numPr>
          <w:ilvl w:val="0"/>
          <w:numId w:val="1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jasno definisan način i mjesta preuzimanja; </w:t>
      </w:r>
    </w:p>
    <w:p w:rsidR="00E77ED5" w:rsidRPr="00615350" w:rsidRDefault="00E77ED5" w:rsidP="00C1197A">
      <w:pPr>
        <w:numPr>
          <w:ilvl w:val="0"/>
          <w:numId w:val="1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odgovarajuće posude, kontejnere i vozila; </w:t>
      </w:r>
    </w:p>
    <w:p w:rsidR="00E77ED5" w:rsidRPr="00615350" w:rsidRDefault="00E77ED5" w:rsidP="00C1197A">
      <w:pPr>
        <w:numPr>
          <w:ilvl w:val="0"/>
          <w:numId w:val="1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odvojeno vaganje i evidenciju količina; </w:t>
      </w:r>
    </w:p>
    <w:p w:rsidR="00E77ED5" w:rsidRPr="00615350" w:rsidRDefault="00E77ED5" w:rsidP="00C1197A">
      <w:pPr>
        <w:numPr>
          <w:ilvl w:val="0"/>
          <w:numId w:val="1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sprečavanje miješanja sa rezidualnim komunalnim otpadom; </w:t>
      </w:r>
    </w:p>
    <w:p w:rsidR="00E77ED5" w:rsidRPr="00615350" w:rsidRDefault="00E77ED5" w:rsidP="00C1197A">
      <w:pPr>
        <w:numPr>
          <w:ilvl w:val="0"/>
          <w:numId w:val="1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usmjeravanje ka kompostiranju ili drugom odgovarajućem biološkom tretmanu.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utvrđuje cilj da se </w:t>
      </w:r>
      <w:r w:rsidRPr="00615350">
        <w:rPr>
          <w:rFonts w:ascii="Times New Roman" w:eastAsia="Times New Roman" w:hAnsi="Times New Roman" w:cs="Times New Roman"/>
          <w:b/>
          <w:bCs/>
          <w:sz w:val="24"/>
          <w:szCs w:val="24"/>
        </w:rPr>
        <w:t>50% zelenog otpada odvojeno sakuplja do 2026. godine</w:t>
      </w:r>
      <w:r w:rsidRPr="00615350">
        <w:rPr>
          <w:rFonts w:ascii="Times New Roman" w:eastAsia="Times New Roman" w:hAnsi="Times New Roman" w:cs="Times New Roman"/>
          <w:sz w:val="24"/>
          <w:szCs w:val="24"/>
        </w:rPr>
        <w:t>, odnosno 60% do 2030. godine. Međutim, pošto raspoložive lokalne evidencije ne daju pouzdano utvrđenu ukupnu generisanu količinu zelenog otpada kao posebne kategorije, ovaj procenat trenutno nije moguće metodološki pouzdano pretvoriti u lokalnu tonažu. Zbog toga je u planskom periodu potrebno unaprijediti upravo evidenciju ovog toka.</w:t>
      </w:r>
    </w:p>
    <w:p w:rsidR="008835DC" w:rsidRPr="00615350" w:rsidRDefault="008835DC"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Izbor načina daljeg postupanja sa zelenim i drvnim otpadom treba zasnivati na tehničkoj i ekonomskoj opravdanosti lokalne obrade u odnosu na transport do udaljenijih postrojenja. Gdje je opravdano, usitnjeni zeleni i drvni materijal može se koristiti u kompostiranju, kao malč ili za druge odgovarajuće načine materijalnog iskorišćenja.</w:t>
      </w:r>
    </w:p>
    <w:p w:rsidR="00E77ED5" w:rsidRPr="00615350" w:rsidRDefault="00E77ED5" w:rsidP="00DD36E0">
      <w:pPr>
        <w:rPr>
          <w:rFonts w:ascii="Times New Roman" w:hAnsi="Times New Roman" w:cs="Times New Roman"/>
          <w:b/>
          <w:sz w:val="24"/>
        </w:rPr>
      </w:pPr>
      <w:r w:rsidRPr="00615350">
        <w:rPr>
          <w:rFonts w:ascii="Times New Roman" w:hAnsi="Times New Roman" w:cs="Times New Roman"/>
          <w:b/>
          <w:sz w:val="24"/>
        </w:rPr>
        <w:t>Odvojeno sakupljanje otpada od hrane i biootpada većih proizvođača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Odvojeno sakupljanje otpada od hrane i drugog kuhinjskog biootpada treba uvoditi postepeno, prvenstveno kod korisnika kod kojih nastaju veće, kontinuirane i relativno čiste količine.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Prioritet mogu predstavljati:</w:t>
      </w:r>
    </w:p>
    <w:p w:rsidR="00E77ED5" w:rsidRPr="00615350" w:rsidRDefault="00E77ED5" w:rsidP="00C1197A">
      <w:pPr>
        <w:numPr>
          <w:ilvl w:val="0"/>
          <w:numId w:val="1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ugostiteljski objekti; </w:t>
      </w:r>
    </w:p>
    <w:p w:rsidR="00E77ED5" w:rsidRPr="00615350" w:rsidRDefault="00E77ED5" w:rsidP="00C1197A">
      <w:pPr>
        <w:numPr>
          <w:ilvl w:val="0"/>
          <w:numId w:val="1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pijace; </w:t>
      </w:r>
    </w:p>
    <w:p w:rsidR="00E77ED5" w:rsidRPr="00615350" w:rsidRDefault="00E77ED5" w:rsidP="00C1197A">
      <w:pPr>
        <w:numPr>
          <w:ilvl w:val="0"/>
          <w:numId w:val="1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ustanove sa organizovanom pripremom hrane; </w:t>
      </w:r>
    </w:p>
    <w:p w:rsidR="00E77ED5" w:rsidRPr="00615350" w:rsidRDefault="00E77ED5" w:rsidP="00C1197A">
      <w:pPr>
        <w:numPr>
          <w:ilvl w:val="0"/>
          <w:numId w:val="1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veći trgovinski objekti; </w:t>
      </w:r>
    </w:p>
    <w:p w:rsidR="00E77ED5" w:rsidRPr="00615350" w:rsidRDefault="00E77ED5" w:rsidP="00C1197A">
      <w:pPr>
        <w:numPr>
          <w:ilvl w:val="0"/>
          <w:numId w:val="1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drugi korisnici kod kojih nastaju značajnije količine biootpada.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ove kategorije korisnika potrebno je postepeno organizovati odgovarajuće posude, redovnu dinamiku preuzimanja i posebno evidentiranje količina.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predviđa da se </w:t>
      </w:r>
      <w:r w:rsidRPr="00615350">
        <w:rPr>
          <w:rFonts w:ascii="Times New Roman" w:eastAsia="Times New Roman" w:hAnsi="Times New Roman" w:cs="Times New Roman"/>
          <w:b/>
          <w:bCs/>
          <w:sz w:val="24"/>
          <w:szCs w:val="24"/>
        </w:rPr>
        <w:t>17% biootpada odvojeno sakuplja do 31. decembra 2026. godine</w:t>
      </w:r>
      <w:r w:rsidRPr="00615350">
        <w:rPr>
          <w:rFonts w:ascii="Times New Roman" w:eastAsia="Times New Roman" w:hAnsi="Times New Roman" w:cs="Times New Roman"/>
          <w:sz w:val="24"/>
          <w:szCs w:val="24"/>
        </w:rPr>
        <w:t>, dok je za 2030. godinu predviđen nivo od 27%. Primjenom cilja od 17% na lokalno procijenjeni potencijal biootpada za 2026. godinu od oko 3.004 t, dobija se orijentaciona vrijednost od približno:</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3.004 × 0,17 ≈ 511 t/god.</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 ova količina predstavlja </w:t>
      </w:r>
      <w:r w:rsidRPr="00615350">
        <w:rPr>
          <w:rFonts w:ascii="Times New Roman" w:eastAsia="Times New Roman" w:hAnsi="Times New Roman" w:cs="Times New Roman"/>
          <w:b/>
          <w:bCs/>
          <w:sz w:val="24"/>
          <w:szCs w:val="24"/>
        </w:rPr>
        <w:t>lokalni planski proračun</w:t>
      </w:r>
      <w:r w:rsidRPr="00615350">
        <w:rPr>
          <w:rFonts w:ascii="Times New Roman" w:eastAsia="Times New Roman" w:hAnsi="Times New Roman" w:cs="Times New Roman"/>
          <w:sz w:val="24"/>
          <w:szCs w:val="24"/>
        </w:rPr>
        <w:t>, a ne neposredno propisanu količinsku obavezu DPUO za Berane.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domaćinstva u urbanom području odvojeno sakupljanje kuhinjskog biootpada treba širiti u skladu sa stvarnim mogućnostima redovnog preuzimanja i obezbijeđenim kapacitetima za tretman, kako bi se izbjegli problemi sa kontaminacijom, neprijatnim mirisima i higijenskim uslovima.</w:t>
      </w:r>
    </w:p>
    <w:p w:rsidR="00E77ED5" w:rsidRPr="00615350" w:rsidRDefault="00E77ED5" w:rsidP="00DD36E0">
      <w:pPr>
        <w:rPr>
          <w:rFonts w:ascii="Times New Roman" w:hAnsi="Times New Roman" w:cs="Times New Roman"/>
          <w:b/>
          <w:sz w:val="24"/>
        </w:rPr>
      </w:pPr>
      <w:r w:rsidRPr="00615350">
        <w:rPr>
          <w:rFonts w:ascii="Times New Roman" w:hAnsi="Times New Roman" w:cs="Times New Roman"/>
          <w:b/>
          <w:sz w:val="24"/>
        </w:rPr>
        <w:t>Prevencija otpada od hrane</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predviđa i cilj </w:t>
      </w:r>
      <w:r w:rsidRPr="00615350">
        <w:rPr>
          <w:rFonts w:ascii="Times New Roman" w:eastAsia="Times New Roman" w:hAnsi="Times New Roman" w:cs="Times New Roman"/>
          <w:b/>
          <w:bCs/>
          <w:sz w:val="24"/>
          <w:szCs w:val="24"/>
        </w:rPr>
        <w:t>smanjenja otpada od hrane po stanovniku za 15% do 2029. godine</w:t>
      </w:r>
      <w:r w:rsidRPr="00615350">
        <w:rPr>
          <w:rFonts w:ascii="Times New Roman" w:eastAsia="Times New Roman" w:hAnsi="Times New Roman" w:cs="Times New Roman"/>
          <w:sz w:val="24"/>
          <w:szCs w:val="24"/>
        </w:rPr>
        <w:t>. Ovaj cilj treba ostvarivati prvenstveno kroz mjere sprječavanja nastanka otpada, edukaciju domaćinstava i poslovnog sektora, unapređenje upravljanja hranom i razvoj kućnog kompostiranja.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Pošto postojeća lokalna morfološka analiza ne izdvaja posebno masu otpada od hrane od ostale organske frakcije, cilj od 15% se u ovom trenutku ne može pouzdano pretvoriti u lokalnu tonažu. Napredak treba pratiti kroz unaprijeđenu metodologiju evidencije i periodične analize sastava otpada.</w:t>
      </w:r>
    </w:p>
    <w:p w:rsidR="00E77ED5" w:rsidRPr="00615350" w:rsidRDefault="00E77ED5" w:rsidP="004A2131">
      <w:pPr>
        <w:rPr>
          <w:rFonts w:ascii="Times New Roman" w:hAnsi="Times New Roman" w:cs="Times New Roman"/>
          <w:b/>
          <w:sz w:val="24"/>
        </w:rPr>
      </w:pPr>
      <w:r w:rsidRPr="00615350">
        <w:rPr>
          <w:rFonts w:ascii="Times New Roman" w:hAnsi="Times New Roman" w:cs="Times New Roman"/>
          <w:b/>
          <w:sz w:val="24"/>
        </w:rPr>
        <w:t>Tretman odvojeno sakupljenog biootpada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Odvojeno sakupljeni biootpad treba usmjeravati ka odgovarajućim postupcima biološke obrade, prvenstveno kompostiranju, odnosno drugim dozvoljenim postupcima ukoliko se na osnovu tehničke i ekonomske analize pokažu opravdanim.</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u zbirnom infrastrukturnom prikazu za sjeverni regionalni sistem predviđa </w:t>
      </w:r>
      <w:r w:rsidRPr="00615350">
        <w:rPr>
          <w:rFonts w:ascii="Times New Roman" w:eastAsia="Times New Roman" w:hAnsi="Times New Roman" w:cs="Times New Roman"/>
          <w:b/>
          <w:bCs/>
          <w:sz w:val="24"/>
          <w:szCs w:val="24"/>
        </w:rPr>
        <w:t>postrojenje za kompostiranje u Bijelom Polju indikativnog kapaciteta 5.069 t/god.</w:t>
      </w:r>
      <w:r w:rsidRPr="00615350">
        <w:rPr>
          <w:rFonts w:ascii="Times New Roman" w:eastAsia="Times New Roman" w:hAnsi="Times New Roman" w:cs="Times New Roman"/>
          <w:sz w:val="24"/>
          <w:szCs w:val="24"/>
        </w:rPr>
        <w:t xml:space="preserve">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konačan model postupanja sa organizovano sakupljenim biootpadom iz Berana treba uskladiti sa stvarnom realizacijom Regionalnog centra u Bijelom Polju, njegovim raspoloživim kapacitetima i uslovima prijema pojedinih tokova.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Do pune operativnosti odgovarajuće regionalne infrastrukture, lokalni sistem treba prvenstveno razvijati kroz mjere koje mogu funkcionisati nezavisno od regionalnog postrojenja, naročito </w:t>
      </w:r>
      <w:r w:rsidRPr="00615350">
        <w:rPr>
          <w:rFonts w:ascii="Times New Roman" w:eastAsia="Times New Roman" w:hAnsi="Times New Roman" w:cs="Times New Roman"/>
          <w:b/>
          <w:bCs/>
          <w:sz w:val="24"/>
          <w:szCs w:val="24"/>
        </w:rPr>
        <w:t>kućno kompostiranje, unapređenje odvojenog sakupljanja zelenog otpada i postepeno organizovanje izdvojenog sakupljanja biootpada većih proizvođača</w:t>
      </w:r>
      <w:r w:rsidRPr="00615350">
        <w:rPr>
          <w:rFonts w:ascii="Times New Roman" w:eastAsia="Times New Roman" w:hAnsi="Times New Roman" w:cs="Times New Roman"/>
          <w:sz w:val="24"/>
          <w:szCs w:val="24"/>
        </w:rPr>
        <w:t>.</w:t>
      </w:r>
    </w:p>
    <w:p w:rsidR="00E77ED5" w:rsidRPr="00615350" w:rsidRDefault="00E77ED5" w:rsidP="009C4E48">
      <w:pPr>
        <w:rPr>
          <w:rFonts w:ascii="Times New Roman" w:hAnsi="Times New Roman" w:cs="Times New Roman"/>
          <w:b/>
          <w:sz w:val="24"/>
        </w:rPr>
      </w:pPr>
      <w:r w:rsidRPr="00615350">
        <w:rPr>
          <w:rFonts w:ascii="Times New Roman" w:hAnsi="Times New Roman" w:cs="Times New Roman"/>
          <w:b/>
          <w:sz w:val="24"/>
        </w:rPr>
        <w:t>Smanjenje odlaganja biološki razgradivog komunalnog otpada</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Pored ciljeva koji se odnose neposredno na biootpad, Zakon utvrđuje i poseban cilj za </w:t>
      </w:r>
      <w:r w:rsidRPr="00615350">
        <w:rPr>
          <w:rFonts w:ascii="Times New Roman" w:eastAsia="Times New Roman" w:hAnsi="Times New Roman" w:cs="Times New Roman"/>
          <w:b/>
          <w:bCs/>
          <w:sz w:val="24"/>
          <w:szCs w:val="24"/>
        </w:rPr>
        <w:t>biološki razgradivi komunalni otpad koji se odlaže</w:t>
      </w:r>
      <w:r w:rsidRPr="00615350">
        <w:rPr>
          <w:rFonts w:ascii="Times New Roman" w:eastAsia="Times New Roman" w:hAnsi="Times New Roman" w:cs="Times New Roman"/>
          <w:sz w:val="24"/>
          <w:szCs w:val="24"/>
        </w:rPr>
        <w:t xml:space="preserve">. Do 31. decembra 2029. količina takvog otpada koja se odlaže treba da bude smanjena na najviše </w:t>
      </w:r>
      <w:r w:rsidRPr="00615350">
        <w:rPr>
          <w:rFonts w:ascii="Times New Roman" w:eastAsia="Times New Roman" w:hAnsi="Times New Roman" w:cs="Times New Roman"/>
          <w:b/>
          <w:bCs/>
          <w:sz w:val="24"/>
          <w:szCs w:val="24"/>
        </w:rPr>
        <w:t>50% mase proizvedene 2010. godine</w:t>
      </w:r>
      <w:r w:rsidRPr="00615350">
        <w:rPr>
          <w:rFonts w:ascii="Times New Roman" w:eastAsia="Times New Roman" w:hAnsi="Times New Roman" w:cs="Times New Roman"/>
          <w:sz w:val="24"/>
          <w:szCs w:val="24"/>
        </w:rPr>
        <w:t xml:space="preserve">.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Ovaj cilj ne treba poistovjećivati sa ciljem od 17% odvojenog sakupljanja biootpada niti sa ciljem kućnog kompostiranja. Za njegovo lokalno kvantifikovanje potrebno je raspolagati pouzdanim podatkom o količini biološki razgradivog komunalnog otpada proizvedenog u Beranama 2010. godine. Dok se takva polazna vrijednost ne potvrdi, cilj se u LPUO može pratiti kvalitativno i kroz ukupno smanjenje količine organske frakcije u rezidualnom toku.</w:t>
      </w:r>
    </w:p>
    <w:p w:rsidR="00E77ED5" w:rsidRPr="00615350" w:rsidRDefault="00E77ED5" w:rsidP="009C4E48">
      <w:pPr>
        <w:rPr>
          <w:rFonts w:ascii="Times New Roman" w:hAnsi="Times New Roman" w:cs="Times New Roman"/>
          <w:b/>
          <w:sz w:val="24"/>
        </w:rPr>
      </w:pPr>
      <w:r w:rsidRPr="00615350">
        <w:rPr>
          <w:rFonts w:ascii="Times New Roman" w:hAnsi="Times New Roman" w:cs="Times New Roman"/>
          <w:b/>
          <w:sz w:val="24"/>
        </w:rPr>
        <w:t>Evidencija i monitoring</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praćenje realizacije sistema potrebno je najmanje evidentirati:</w:t>
      </w:r>
    </w:p>
    <w:p w:rsidR="00E77ED5" w:rsidRPr="00615350" w:rsidRDefault="00E77ED5" w:rsidP="00C1197A">
      <w:pPr>
        <w:numPr>
          <w:ilvl w:val="0"/>
          <w:numId w:val="1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količinu odvojeno sakupljenog zelenog i parkovskog otpada; </w:t>
      </w:r>
    </w:p>
    <w:p w:rsidR="00E77ED5" w:rsidRPr="00615350" w:rsidRDefault="00E77ED5" w:rsidP="00C1197A">
      <w:pPr>
        <w:numPr>
          <w:ilvl w:val="0"/>
          <w:numId w:val="1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količinu odvojeno sakupljenog otpada od hrane i drugog biootpada; </w:t>
      </w:r>
    </w:p>
    <w:p w:rsidR="00E77ED5" w:rsidRPr="00615350" w:rsidRDefault="00E77ED5" w:rsidP="00C1197A">
      <w:pPr>
        <w:numPr>
          <w:ilvl w:val="0"/>
          <w:numId w:val="1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domaćinstava uključenih u program kućnog kompostiranja; </w:t>
      </w:r>
    </w:p>
    <w:p w:rsidR="00E77ED5" w:rsidRPr="00615350" w:rsidRDefault="00E77ED5" w:rsidP="00C1197A">
      <w:pPr>
        <w:numPr>
          <w:ilvl w:val="0"/>
          <w:numId w:val="1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procijenjenu ili izmjerenu količinu biootpada tretiranu na mjestu nastanka; </w:t>
      </w:r>
    </w:p>
    <w:p w:rsidR="00E77ED5" w:rsidRPr="00615350" w:rsidRDefault="00E77ED5" w:rsidP="00C1197A">
      <w:pPr>
        <w:numPr>
          <w:ilvl w:val="0"/>
          <w:numId w:val="1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količinu biootpada predatu na kompostiranje ili drugi biološki tretman; </w:t>
      </w:r>
    </w:p>
    <w:p w:rsidR="00E77ED5" w:rsidRPr="00615350" w:rsidRDefault="00E77ED5" w:rsidP="00C1197A">
      <w:pPr>
        <w:numPr>
          <w:ilvl w:val="0"/>
          <w:numId w:val="1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količinu biootpada odnosno organske frakcije koja ostaje u miješanom/rezidualnom toku; </w:t>
      </w:r>
    </w:p>
    <w:p w:rsidR="00E77ED5" w:rsidRPr="00615350" w:rsidRDefault="00E77ED5" w:rsidP="00C1197A">
      <w:pPr>
        <w:numPr>
          <w:ilvl w:val="0"/>
          <w:numId w:val="1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podatke potrebne za praćenje cilja smanjenja otpada od hrane. </w:t>
      </w:r>
    </w:p>
    <w:p w:rsidR="00E77ED5" w:rsidRPr="00615350" w:rsidRDefault="00E77ED5"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Planirani model upravljanja biootpadom u Beranama treba, prema tome, da počiva na </w:t>
      </w:r>
      <w:r w:rsidRPr="00615350">
        <w:rPr>
          <w:rFonts w:ascii="Times New Roman" w:eastAsia="Times New Roman" w:hAnsi="Times New Roman" w:cs="Times New Roman"/>
          <w:b/>
          <w:bCs/>
          <w:sz w:val="24"/>
          <w:szCs w:val="24"/>
        </w:rPr>
        <w:t>tri međusobno povezana pravca: kućnom kompostiranju u individualnim i ruralnim domaćinstvima, odvojenom sakupljanju zelenog i parkovskog otpada i postepenom razvoju odvojenog sakupljanja otpada od hrane i drugog biootpada tamo gdje postoje tehnički i organizacioni uslovi za njegovo redovno preuzimanje i tretman</w:t>
      </w:r>
      <w:r w:rsidRPr="00615350">
        <w:rPr>
          <w:rFonts w:ascii="Times New Roman" w:eastAsia="Times New Roman" w:hAnsi="Times New Roman" w:cs="Times New Roman"/>
          <w:sz w:val="24"/>
          <w:szCs w:val="24"/>
        </w:rPr>
        <w:t>.</w:t>
      </w:r>
    </w:p>
    <w:p w:rsidR="00BA12C2" w:rsidRPr="00615350" w:rsidRDefault="00BA12C2" w:rsidP="00DC154E">
      <w:pPr>
        <w:pStyle w:val="Heading2"/>
        <w:rPr>
          <w:rFonts w:eastAsia="Times New Roman"/>
        </w:rPr>
      </w:pPr>
      <w:bookmarkStart w:id="51" w:name="_Toc240282309"/>
      <w:r w:rsidRPr="00615350">
        <w:rPr>
          <w:rFonts w:eastAsia="Times New Roman"/>
        </w:rPr>
        <w:t>6.4. Upravljanje kabastim otpadom i posebnim tokovima otpada iz domaćinstava</w:t>
      </w:r>
      <w:bookmarkEnd w:id="51"/>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Pored miješanog komunalnog otpada, osnovnih reciklabilnih frakcija i biootpada, u domaćinstvima nastaju i tokovi otpada koji zbog dimenzija, sastava ili potencijalno opasnih svojstava zahtijevaju poseban način sakupljanja i daljeg postupanja. Za potrebe ovog Lokalnog plana posebno se razmatraju </w:t>
      </w:r>
      <w:r w:rsidRPr="00615350">
        <w:rPr>
          <w:rFonts w:ascii="Times New Roman" w:eastAsia="Times New Roman" w:hAnsi="Times New Roman" w:cs="Times New Roman"/>
          <w:b/>
          <w:bCs/>
          <w:sz w:val="24"/>
          <w:szCs w:val="24"/>
        </w:rPr>
        <w:t xml:space="preserve">kabasti otpad, tekstil, otpadna električna i </w:t>
      </w:r>
      <w:r w:rsidRPr="00615350">
        <w:rPr>
          <w:rFonts w:ascii="Times New Roman" w:eastAsia="Times New Roman" w:hAnsi="Times New Roman" w:cs="Times New Roman"/>
          <w:b/>
          <w:bCs/>
          <w:sz w:val="24"/>
          <w:szCs w:val="24"/>
        </w:rPr>
        <w:lastRenderedPageBreak/>
        <w:t>elektronska oprema, otpadne baterije i akumulatori, otpadna jestiva ulja i masti i opasni otpad iz domaćinstava</w:t>
      </w:r>
      <w:r w:rsidRPr="00615350">
        <w:rPr>
          <w:rFonts w:ascii="Times New Roman" w:eastAsia="Times New Roman" w:hAnsi="Times New Roman" w:cs="Times New Roman"/>
          <w:sz w:val="24"/>
          <w:szCs w:val="24"/>
        </w:rPr>
        <w:t>.</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teritoriji Berana trenutno nije uspostavljen cjelovit sistem odvojenog sakupljanja ovih tokova, niti za većinu postoje potpune evidencije o nastalim, sakupljenim i predatim količinama. Analiza postojećeg stanja pokazuje da su pojedini tokovi prisutni u miješanom komunalnom otpadu; lokalnom morfološkom analizom tekstil je evidentiran sa prosječnim učešćem od </w:t>
      </w:r>
      <w:r w:rsidRPr="00615350">
        <w:rPr>
          <w:rFonts w:ascii="Times New Roman" w:eastAsia="Times New Roman" w:hAnsi="Times New Roman" w:cs="Times New Roman"/>
          <w:b/>
          <w:bCs/>
          <w:sz w:val="24"/>
          <w:szCs w:val="24"/>
        </w:rPr>
        <w:t>4,4%</w:t>
      </w:r>
      <w:r w:rsidRPr="00615350">
        <w:rPr>
          <w:rFonts w:ascii="Times New Roman" w:eastAsia="Times New Roman" w:hAnsi="Times New Roman" w:cs="Times New Roman"/>
          <w:sz w:val="24"/>
          <w:szCs w:val="24"/>
        </w:rPr>
        <w:t xml:space="preserve">, a električni i elektronski otpad sa oko </w:t>
      </w:r>
      <w:r w:rsidRPr="00615350">
        <w:rPr>
          <w:rFonts w:ascii="Times New Roman" w:eastAsia="Times New Roman" w:hAnsi="Times New Roman" w:cs="Times New Roman"/>
          <w:b/>
          <w:bCs/>
          <w:sz w:val="24"/>
          <w:szCs w:val="24"/>
        </w:rPr>
        <w:t>0,4%</w:t>
      </w:r>
      <w:r w:rsidRPr="00615350">
        <w:rPr>
          <w:rFonts w:ascii="Times New Roman" w:eastAsia="Times New Roman" w:hAnsi="Times New Roman" w:cs="Times New Roman"/>
          <w:sz w:val="24"/>
          <w:szCs w:val="24"/>
        </w:rPr>
        <w:t xml:space="preserve">. Ovi procenti ne predstavljaju ukupnu količinu tih tokova koja nastaje na teritoriji opštine, već njihovo prisustvo u analiziranom miješanom otpadu.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DPUO predviđa da se posebni tokovi otpada iz domaćinstava sakupljaju putem odgovarajućih lokalnih mjesta za preuzimanje i mreže reciklažnih centara, uz njihovu dalju predaju ovlašćenim subjektima ili uključivanje u odgovarajuće sisteme proširene odgovornosti proizvođača. Planirani reciklažni centar u Beranama zbog toga treba da ima važnu ulogu u kontrolisanom prijemu tokova koji nijesu pogodni za standardni sistem sakupljanja, pri čemu će konačan obim prihvata biti utvrđen tehničkom i projektnom dokumentacijom.</w:t>
      </w:r>
    </w:p>
    <w:p w:rsidR="00397842" w:rsidRPr="00615350" w:rsidRDefault="0039784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ruralnim područjima, gdje uspostavljanje stalnih mjesta za preuzimanje nije opravdano, sistem se može dopuniti periodičnim organizovanim akcijama ili mobilnim sabirnim punktovima za pojedine tokove otpada, u saradnji sa EPR sistemima i ovlašćenim operaterima.</w:t>
      </w:r>
    </w:p>
    <w:p w:rsidR="00A45C49" w:rsidRPr="00615350" w:rsidRDefault="00A45C49" w:rsidP="00B3650C">
      <w:pPr>
        <w:rPr>
          <w:rFonts w:ascii="Times New Roman" w:hAnsi="Times New Roman" w:cs="Times New Roman"/>
          <w:b/>
          <w:sz w:val="24"/>
        </w:rPr>
      </w:pPr>
      <w:r w:rsidRPr="00615350">
        <w:rPr>
          <w:rFonts w:ascii="Times New Roman" w:hAnsi="Times New Roman" w:cs="Times New Roman"/>
          <w:b/>
          <w:sz w:val="24"/>
        </w:rPr>
        <w:t>Kabasti otpad</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Kabasti otpad obuhvata predmete iz domaćinstava koji se zbog svojih dimenzija i mase ne mogu sakupljati putem standardnih posuda, kao što su namještaj, madraci i drugi krupni predmeti.</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planskom periodu treba uspostaviti kombinovani sistem koji može obuhvatiti:</w:t>
      </w:r>
    </w:p>
    <w:p w:rsidR="00A45C49" w:rsidRPr="00615350" w:rsidRDefault="00A45C49" w:rsidP="00C1197A">
      <w:pPr>
        <w:numPr>
          <w:ilvl w:val="0"/>
          <w:numId w:val="1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periodične organizovane akcije preuzimanja prema unaprijed objavljenom rasporedu; </w:t>
      </w:r>
    </w:p>
    <w:p w:rsidR="00A45C49" w:rsidRPr="00615350" w:rsidRDefault="00A45C49" w:rsidP="00C1197A">
      <w:pPr>
        <w:numPr>
          <w:ilvl w:val="0"/>
          <w:numId w:val="1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preuzimanje po pozivu korisnika, gdje je organizaciono i finansijski opravdano; </w:t>
      </w:r>
    </w:p>
    <w:p w:rsidR="00A45C49" w:rsidRPr="00615350" w:rsidRDefault="00A45C49" w:rsidP="00C1197A">
      <w:pPr>
        <w:numPr>
          <w:ilvl w:val="0"/>
          <w:numId w:val="1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direktnu predaju kabastog otpada u reciklažnom centru.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 prijemu kabastog otpada potrebno je, gdje je moguće, izdvojiti predmete i materijale pogodne za </w:t>
      </w:r>
      <w:r w:rsidRPr="00615350">
        <w:rPr>
          <w:rFonts w:ascii="Times New Roman" w:eastAsia="Times New Roman" w:hAnsi="Times New Roman" w:cs="Times New Roman"/>
          <w:b/>
          <w:bCs/>
          <w:sz w:val="24"/>
          <w:szCs w:val="24"/>
        </w:rPr>
        <w:t>ponovnu upotrebu</w:t>
      </w:r>
      <w:r w:rsidRPr="00615350">
        <w:rPr>
          <w:rFonts w:ascii="Times New Roman" w:eastAsia="Times New Roman" w:hAnsi="Times New Roman" w:cs="Times New Roman"/>
          <w:sz w:val="24"/>
          <w:szCs w:val="24"/>
        </w:rPr>
        <w:t>, a zatim drvo, metal i druge frakcije pogodne za reciklažu ili drugi oblik materijalnog iskorišćenja.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Ovakav pristup posebno je povezan sa programom ponovne upotrebe koji DPUO predviđa u okviru reciklažnog centra Berane. Upotrebljivi predmeti ne treba automatski da budu upućeni na odstranjivanje ukoliko postoji mogućnost njihove ponovne upotrebe.</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DPUO utvrđuje da do </w:t>
      </w:r>
      <w:r w:rsidRPr="00615350">
        <w:rPr>
          <w:rFonts w:ascii="Times New Roman" w:eastAsia="Times New Roman" w:hAnsi="Times New Roman" w:cs="Times New Roman"/>
          <w:b/>
          <w:bCs/>
          <w:sz w:val="24"/>
          <w:szCs w:val="24"/>
        </w:rPr>
        <w:t>2028. godine 20% odvojeno sakupljenog kabastog otpada treba ponovo upotrijebiti ili reciklirati</w:t>
      </w:r>
      <w:r w:rsidRPr="00615350">
        <w:rPr>
          <w:rFonts w:ascii="Times New Roman" w:eastAsia="Times New Roman" w:hAnsi="Times New Roman" w:cs="Times New Roman"/>
          <w:sz w:val="24"/>
          <w:szCs w:val="24"/>
        </w:rPr>
        <w:t>, dok je za 2030. godinu predviđeno 40%. Pored toga, u ciljevima odvojenog sakupljanja utvrđen je cilj od najmanje 15% kabastog otpada do kraja 2026. godine, kako je već prikazano u poglavlju 5.</w:t>
      </w:r>
    </w:p>
    <w:p w:rsidR="00A45C49" w:rsidRPr="00615350" w:rsidRDefault="00A45C49" w:rsidP="00B3650C">
      <w:pPr>
        <w:rPr>
          <w:rFonts w:ascii="Times New Roman" w:hAnsi="Times New Roman" w:cs="Times New Roman"/>
          <w:b/>
          <w:sz w:val="24"/>
        </w:rPr>
      </w:pPr>
      <w:r w:rsidRPr="00615350">
        <w:rPr>
          <w:rFonts w:ascii="Times New Roman" w:hAnsi="Times New Roman" w:cs="Times New Roman"/>
          <w:b/>
          <w:sz w:val="24"/>
        </w:rPr>
        <w:t>Tekstil</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Tekstil treba sakupljati odvojeno od miješanog komunalnog otpada, uz prioritet ponovne upotrebe upotrebljive odjeće i drugih tekstilnih proizvoda, a zatim reciklaže materijala koji nijesu pogodni za ponovnu upotrebu.</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Sistem se može razvijati kroz posebno označene posude na odabranim i kontrolisanim lokacijama, povremene akcije sakupljanja i mogućnost predaje u reciklažnom centru.</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predviđa da do </w:t>
      </w:r>
      <w:r w:rsidRPr="00615350">
        <w:rPr>
          <w:rFonts w:ascii="Times New Roman" w:eastAsia="Times New Roman" w:hAnsi="Times New Roman" w:cs="Times New Roman"/>
          <w:b/>
          <w:bCs/>
          <w:sz w:val="24"/>
          <w:szCs w:val="24"/>
        </w:rPr>
        <w:t>2027. godine 10% tekstila bude ponovo upotrijebljeno ili reciklirano</w:t>
      </w:r>
      <w:r w:rsidRPr="00615350">
        <w:rPr>
          <w:rFonts w:ascii="Times New Roman" w:eastAsia="Times New Roman" w:hAnsi="Times New Roman" w:cs="Times New Roman"/>
          <w:sz w:val="24"/>
          <w:szCs w:val="24"/>
        </w:rPr>
        <w:t>. Paralelno sa tim potrebno je pratiti i cilj odvojenog sakupljanja tekstila definisan u poglavlju 5 ovog Plana.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praćenje ostvarivanja ciljeva potrebno je odvojeno evidentirati količinu prikupljenog tekstila, količinu predatu za ponovnu upotrebu i količinu upućenu na reciklažu.</w:t>
      </w:r>
    </w:p>
    <w:p w:rsidR="00A45C49" w:rsidRPr="00615350" w:rsidRDefault="00A45C49" w:rsidP="00B3650C">
      <w:pPr>
        <w:rPr>
          <w:rFonts w:ascii="Times New Roman" w:hAnsi="Times New Roman" w:cs="Times New Roman"/>
          <w:b/>
          <w:sz w:val="24"/>
        </w:rPr>
      </w:pPr>
      <w:r w:rsidRPr="00615350">
        <w:rPr>
          <w:rFonts w:ascii="Times New Roman" w:hAnsi="Times New Roman" w:cs="Times New Roman"/>
          <w:b/>
          <w:sz w:val="24"/>
        </w:rPr>
        <w:t>Otpadna električna i elektronska oprema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Otpadna električna i elektronska oprema ne smije se tretirati kao obični miješani komunalni otpad. Lokalni sistem treba da omogući građanima dostupnu predaju ove vrste otpada, prvenstveno kroz reciklažni centar i druge sisteme preuzimanja uspostavljene u skladu sa posebnim propisima.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Nakon prijema, otpad treba predavati ovlašćenim operaterima odnosno uključivati u sistem </w:t>
      </w:r>
      <w:r w:rsidRPr="00615350">
        <w:rPr>
          <w:rFonts w:ascii="Times New Roman" w:eastAsia="Times New Roman" w:hAnsi="Times New Roman" w:cs="Times New Roman"/>
          <w:b/>
          <w:bCs/>
          <w:sz w:val="24"/>
          <w:szCs w:val="24"/>
        </w:rPr>
        <w:t>proširene odgovornosti proizvođača (EPR)</w:t>
      </w:r>
      <w:r w:rsidRPr="00615350">
        <w:rPr>
          <w:rFonts w:ascii="Times New Roman" w:eastAsia="Times New Roman" w:hAnsi="Times New Roman" w:cs="Times New Roman"/>
          <w:sz w:val="24"/>
          <w:szCs w:val="24"/>
        </w:rPr>
        <w:t>.</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za period 2025–2027. predviđa uspostavljanje EPR sistema za električnu i elektronsku opremu, baterije i akumulatore, otpadna vozila, otpadne gume, ambalažu i ambalažni otpad, kao i određene plastične proizvode.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Uloga Opštine i lokalnog komunalnog sistema nije da uspostavljaju zaseban sistem konačnog tretmana ovih tokova, već da, u okviru svojih nadležnosti, omoguće odgovarajuće lokalne uslove za njihovo odvojeno preuzimanje i povezivanje sa EPR sistemima i ovlašćenim operaterima.</w:t>
      </w:r>
    </w:p>
    <w:p w:rsidR="00A45C49" w:rsidRPr="00615350" w:rsidRDefault="00A45C49" w:rsidP="00B3650C">
      <w:pPr>
        <w:rPr>
          <w:rFonts w:ascii="Times New Roman" w:hAnsi="Times New Roman" w:cs="Times New Roman"/>
          <w:b/>
          <w:sz w:val="24"/>
        </w:rPr>
      </w:pPr>
      <w:r w:rsidRPr="00615350">
        <w:rPr>
          <w:rFonts w:ascii="Times New Roman" w:hAnsi="Times New Roman" w:cs="Times New Roman"/>
          <w:b/>
          <w:sz w:val="24"/>
        </w:rPr>
        <w:t>Otpadne baterije i akumulatori</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Otpadne baterije i akumulatore potrebno je sakupljati odvojeno zbog materija koje mogu imati štetan uticaj na životnu sredinu i zdravlje ljudi.</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Za male prenosive baterije iz domaćinstava potrebno je razvijati dostupna mjesta za odvojenu predaju, u saradnji sa sistemima EPR, distributerima i drugim odgovarajućim subjektima. Reciklažni centar može predstavljati jedno od mjesta za kontrolisano preuzimanje, ukoliko konačno tehničko rješenje i uslovi rada centra to omogućavaju.</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veće akumulatore i druge odgovarajuće kategorije primarni kanal treba da budu distributeri, ovlašćeni sakupljači i sistemi proširene odgovornosti proizvođača.</w:t>
      </w:r>
    </w:p>
    <w:p w:rsidR="00A45C49" w:rsidRPr="00615350" w:rsidRDefault="00A45C49" w:rsidP="00B3650C">
      <w:pPr>
        <w:rPr>
          <w:rFonts w:ascii="Times New Roman" w:hAnsi="Times New Roman" w:cs="Times New Roman"/>
          <w:b/>
          <w:sz w:val="24"/>
        </w:rPr>
      </w:pPr>
      <w:r w:rsidRPr="00615350">
        <w:rPr>
          <w:rFonts w:ascii="Times New Roman" w:hAnsi="Times New Roman" w:cs="Times New Roman"/>
          <w:b/>
          <w:sz w:val="24"/>
        </w:rPr>
        <w:t>Otpadna jestiva ulja i masti</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Otpadna jestiva ulja i masti iz domaćinstava i ugostiteljskih objekata potrebno je odvojeno sakupljati i predavati odgovarajućim ovlašćenim subjektima, kako bi se spriječilo njihovo ispuštanje u kanalizacioni sistem ili miješanje sa drugim tokovima komunalnog otpada.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planskom periodu treba razviti mogućnost kontrolisane predaje manjih količina iz domaćinstava, dok kod većih proizvođača, naročito ugostiteljskih objekata, treba podsticati direktnu predaju ovlašćenim sakupljačima.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razliku od električne i elektronske opreme i baterija, DPUO </w:t>
      </w:r>
      <w:r w:rsidRPr="00615350">
        <w:rPr>
          <w:rFonts w:ascii="Times New Roman" w:eastAsia="Times New Roman" w:hAnsi="Times New Roman" w:cs="Times New Roman"/>
          <w:b/>
          <w:bCs/>
          <w:sz w:val="24"/>
          <w:szCs w:val="24"/>
        </w:rPr>
        <w:t>otpadna ulja ne svrstava u tokove za koje predviđa EPR u istoj grupi</w:t>
      </w:r>
      <w:r w:rsidRPr="00615350">
        <w:rPr>
          <w:rFonts w:ascii="Times New Roman" w:eastAsia="Times New Roman" w:hAnsi="Times New Roman" w:cs="Times New Roman"/>
          <w:sz w:val="24"/>
          <w:szCs w:val="24"/>
        </w:rPr>
        <w:t>, već predviđa odgovarajuće režime dozvola i razvoj tržišta sekundarnih sirovina. Zbog toga u LPUO ove tokove treba voditi odvojeno od EPR tokova.</w:t>
      </w:r>
    </w:p>
    <w:p w:rsidR="00A45C49" w:rsidRPr="00615350" w:rsidRDefault="00A45C49" w:rsidP="00B3650C">
      <w:pPr>
        <w:rPr>
          <w:rFonts w:ascii="Times New Roman" w:hAnsi="Times New Roman" w:cs="Times New Roman"/>
          <w:b/>
          <w:sz w:val="24"/>
        </w:rPr>
      </w:pPr>
      <w:r w:rsidRPr="00615350">
        <w:rPr>
          <w:rFonts w:ascii="Times New Roman" w:hAnsi="Times New Roman" w:cs="Times New Roman"/>
          <w:b/>
          <w:sz w:val="24"/>
        </w:rPr>
        <w:t>Opasni otpad iz domaćinstava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Opasni otpad iz domaćinstava obuhvata manje količine otpada koji zbog svojih svojstava zahtijeva posebno postupanje, kao što su određeni ostaci boja i lakova, hemikalije, pojedina ulja i drugi proizvodi sa opasnim svojstvima.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Ovaj otpad mora biti odvojen od ostalog komunalnog otpada i preuzet na kontrolisan način, uz privremeno skladištenje u odgovarajućim uslovima i predaju operaterima koji posjeduju potrebne dozvole.</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izričito predviđa uspostavljanje </w:t>
      </w:r>
      <w:r w:rsidRPr="00615350">
        <w:rPr>
          <w:rFonts w:ascii="Times New Roman" w:eastAsia="Times New Roman" w:hAnsi="Times New Roman" w:cs="Times New Roman"/>
          <w:b/>
          <w:bCs/>
          <w:sz w:val="24"/>
          <w:szCs w:val="24"/>
        </w:rPr>
        <w:t>najmanje jednog centra za odvojeno sakupljanje opasnog otpada iz domaćinstava po svakoj opštini</w:t>
      </w:r>
      <w:r w:rsidRPr="00615350">
        <w:rPr>
          <w:rFonts w:ascii="Times New Roman" w:eastAsia="Times New Roman" w:hAnsi="Times New Roman" w:cs="Times New Roman"/>
          <w:sz w:val="24"/>
          <w:szCs w:val="24"/>
        </w:rPr>
        <w:t xml:space="preserve">, kao i uspostavljanje odvojenog sakupljanja frakcija opasnog otpada iz domaćinstava do kraja </w:t>
      </w:r>
      <w:r w:rsidRPr="00615350">
        <w:rPr>
          <w:rFonts w:ascii="Times New Roman" w:eastAsia="Times New Roman" w:hAnsi="Times New Roman" w:cs="Times New Roman"/>
          <w:b/>
          <w:bCs/>
          <w:sz w:val="24"/>
          <w:szCs w:val="24"/>
        </w:rPr>
        <w:t>2029. godine</w:t>
      </w:r>
      <w:r w:rsidRPr="00615350">
        <w:rPr>
          <w:rFonts w:ascii="Times New Roman" w:eastAsia="Times New Roman" w:hAnsi="Times New Roman" w:cs="Times New Roman"/>
          <w:sz w:val="24"/>
          <w:szCs w:val="24"/>
        </w:rPr>
        <w:t xml:space="preserve">. Sakupljeni otpad treba redovno predavati ovlašćenim operaterima ili odgovarajućim regionalnim skladištima.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Berane ovu funkciju treba, gdje tehnički i zakonski uslovi to omogućavaju, povezati sa planiranim reciklažnim centrom.</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 tome treba jasno razlikovati </w:t>
      </w:r>
      <w:r w:rsidRPr="00615350">
        <w:rPr>
          <w:rFonts w:ascii="Times New Roman" w:eastAsia="Times New Roman" w:hAnsi="Times New Roman" w:cs="Times New Roman"/>
          <w:b/>
          <w:bCs/>
          <w:sz w:val="24"/>
          <w:szCs w:val="24"/>
        </w:rPr>
        <w:t>prijem i privremeno skladištenje</w:t>
      </w:r>
      <w:r w:rsidRPr="00615350">
        <w:rPr>
          <w:rFonts w:ascii="Times New Roman" w:eastAsia="Times New Roman" w:hAnsi="Times New Roman" w:cs="Times New Roman"/>
          <w:sz w:val="24"/>
          <w:szCs w:val="24"/>
        </w:rPr>
        <w:t xml:space="preserve"> od konačnog tretmana. Reciklažni centar nije postrojenje za konačni tretman opasnog otpada, već mjesto njegovog kontrolisanog preuzimanja do predaje ovlašćenom subjektu.</w:t>
      </w:r>
    </w:p>
    <w:p w:rsidR="00A45C49" w:rsidRPr="00615350" w:rsidRDefault="00A45C49" w:rsidP="00B3650C">
      <w:pPr>
        <w:rPr>
          <w:rFonts w:ascii="Times New Roman" w:hAnsi="Times New Roman" w:cs="Times New Roman"/>
          <w:b/>
          <w:sz w:val="24"/>
        </w:rPr>
      </w:pPr>
      <w:r w:rsidRPr="00615350">
        <w:rPr>
          <w:rFonts w:ascii="Times New Roman" w:hAnsi="Times New Roman" w:cs="Times New Roman"/>
          <w:b/>
          <w:sz w:val="24"/>
        </w:rPr>
        <w:lastRenderedPageBreak/>
        <w:t>Uloga proširene odgovornosti proizvođača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Razvoj sistema za posebne tokove otpada u planskom periodu u značajnoj mjeri zavisiće od uspostavljanja i funkcionisanja sistema proširene odgovornosti proizvođača.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DPUO predviđa uspostavljanje EPR sistema za:</w:t>
      </w:r>
    </w:p>
    <w:p w:rsidR="00A45C49" w:rsidRPr="00615350" w:rsidRDefault="00A45C49" w:rsidP="00C1197A">
      <w:pPr>
        <w:numPr>
          <w:ilvl w:val="0"/>
          <w:numId w:val="1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otpadnu električnu i elektronsku opremu; </w:t>
      </w:r>
    </w:p>
    <w:p w:rsidR="00A45C49" w:rsidRPr="00615350" w:rsidRDefault="00A45C49" w:rsidP="00C1197A">
      <w:pPr>
        <w:numPr>
          <w:ilvl w:val="0"/>
          <w:numId w:val="1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baterije i akumulatore; </w:t>
      </w:r>
    </w:p>
    <w:p w:rsidR="00A45C49" w:rsidRPr="00615350" w:rsidRDefault="00A45C49" w:rsidP="00C1197A">
      <w:pPr>
        <w:numPr>
          <w:ilvl w:val="0"/>
          <w:numId w:val="1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otpadna vozila; </w:t>
      </w:r>
    </w:p>
    <w:p w:rsidR="00A45C49" w:rsidRPr="00615350" w:rsidRDefault="00A45C49" w:rsidP="00C1197A">
      <w:pPr>
        <w:numPr>
          <w:ilvl w:val="0"/>
          <w:numId w:val="1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otpadne gume; </w:t>
      </w:r>
    </w:p>
    <w:p w:rsidR="00A45C49" w:rsidRPr="00615350" w:rsidRDefault="00A45C49" w:rsidP="00C1197A">
      <w:pPr>
        <w:numPr>
          <w:ilvl w:val="0"/>
          <w:numId w:val="1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ambalažu i ambalažni otpad; </w:t>
      </w:r>
    </w:p>
    <w:p w:rsidR="00A45C49" w:rsidRPr="00615350" w:rsidRDefault="00A45C49" w:rsidP="00C1197A">
      <w:pPr>
        <w:numPr>
          <w:ilvl w:val="0"/>
          <w:numId w:val="1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otpadni ribolovni alat koji sadrži plastiku; </w:t>
      </w:r>
    </w:p>
    <w:p w:rsidR="00A45C49" w:rsidRPr="00615350" w:rsidRDefault="00A45C49" w:rsidP="00C1197A">
      <w:pPr>
        <w:numPr>
          <w:ilvl w:val="0"/>
          <w:numId w:val="1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otpad od određenih plastičnih proizvoda za jednokratnu upotrebu.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Zbog toga lokalni sistem treba razvijati tako da bude </w:t>
      </w:r>
      <w:r w:rsidRPr="00615350">
        <w:rPr>
          <w:rFonts w:ascii="Times New Roman" w:eastAsia="Times New Roman" w:hAnsi="Times New Roman" w:cs="Times New Roman"/>
          <w:b/>
          <w:bCs/>
          <w:sz w:val="24"/>
          <w:szCs w:val="24"/>
        </w:rPr>
        <w:t>komplementaran EPR sistemima</w:t>
      </w:r>
      <w:r w:rsidRPr="00615350">
        <w:rPr>
          <w:rFonts w:ascii="Times New Roman" w:eastAsia="Times New Roman" w:hAnsi="Times New Roman" w:cs="Times New Roman"/>
          <w:sz w:val="24"/>
          <w:szCs w:val="24"/>
        </w:rPr>
        <w:t>, a ne da njihove obaveze preuzima na sebe.</w:t>
      </w:r>
    </w:p>
    <w:p w:rsidR="00A45C49" w:rsidRPr="00615350" w:rsidRDefault="00A45C49" w:rsidP="00900448">
      <w:pPr>
        <w:spacing w:before="100" w:beforeAutospacing="1" w:after="100" w:afterAutospacing="1"/>
        <w:jc w:val="both"/>
        <w:outlineLvl w:val="2"/>
        <w:rPr>
          <w:rFonts w:ascii="Times New Roman" w:eastAsia="Times New Roman" w:hAnsi="Times New Roman" w:cs="Times New Roman"/>
          <w:b/>
          <w:bCs/>
          <w:sz w:val="24"/>
          <w:szCs w:val="24"/>
        </w:rPr>
      </w:pPr>
      <w:bookmarkStart w:id="52" w:name="_Toc240282310"/>
      <w:r w:rsidRPr="00615350">
        <w:rPr>
          <w:rFonts w:ascii="Times New Roman" w:eastAsia="Times New Roman" w:hAnsi="Times New Roman" w:cs="Times New Roman"/>
          <w:b/>
          <w:bCs/>
          <w:sz w:val="24"/>
          <w:szCs w:val="24"/>
        </w:rPr>
        <w:t>Uloga reciklažnog centra Berane</w:t>
      </w:r>
      <w:bookmarkEnd w:id="52"/>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Planirani reciklažni centar Berane treba da predstavlja jedno od ključnih mjesta za kontrolisanu predaju posebnih tokova otpada iz domaćinstava.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zavisnosti od konačnog tehničkog rješenja, zakonskih uslova i organizacije EPR sistema, centar treba da bude projektovan za prihvat odgovarajućih tokova, među kojima mogu biti:</w:t>
      </w:r>
    </w:p>
    <w:p w:rsidR="00A45C49" w:rsidRPr="00615350" w:rsidRDefault="00A45C49" w:rsidP="00C1197A">
      <w:pPr>
        <w:numPr>
          <w:ilvl w:val="0"/>
          <w:numId w:val="1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kabasti otpad; </w:t>
      </w:r>
    </w:p>
    <w:p w:rsidR="00A45C49" w:rsidRPr="00615350" w:rsidRDefault="00A45C49" w:rsidP="00C1197A">
      <w:pPr>
        <w:numPr>
          <w:ilvl w:val="0"/>
          <w:numId w:val="1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tekstil; </w:t>
      </w:r>
    </w:p>
    <w:p w:rsidR="00A45C49" w:rsidRPr="00615350" w:rsidRDefault="00A45C49" w:rsidP="00C1197A">
      <w:pPr>
        <w:numPr>
          <w:ilvl w:val="0"/>
          <w:numId w:val="1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električna i elektronska oprema; </w:t>
      </w:r>
    </w:p>
    <w:p w:rsidR="00A45C49" w:rsidRPr="00615350" w:rsidRDefault="00A45C49" w:rsidP="00C1197A">
      <w:pPr>
        <w:numPr>
          <w:ilvl w:val="0"/>
          <w:numId w:val="1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baterije; </w:t>
      </w:r>
    </w:p>
    <w:p w:rsidR="00A45C49" w:rsidRPr="00615350" w:rsidRDefault="00A45C49" w:rsidP="00C1197A">
      <w:pPr>
        <w:numPr>
          <w:ilvl w:val="0"/>
          <w:numId w:val="1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određene reciklabilne frakcije; </w:t>
      </w:r>
    </w:p>
    <w:p w:rsidR="00A45C49" w:rsidRPr="00615350" w:rsidRDefault="00A45C49" w:rsidP="00C1197A">
      <w:pPr>
        <w:numPr>
          <w:ilvl w:val="0"/>
          <w:numId w:val="1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manje količine građevinskog otpada iz domaćinstava; </w:t>
      </w:r>
    </w:p>
    <w:p w:rsidR="00A45C49" w:rsidRPr="00615350" w:rsidRDefault="00A45C49" w:rsidP="00C1197A">
      <w:pPr>
        <w:numPr>
          <w:ilvl w:val="0"/>
          <w:numId w:val="1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odabrane frakcije opasnog otpada iz domaćinstava; </w:t>
      </w:r>
    </w:p>
    <w:p w:rsidR="00A45C49" w:rsidRPr="00615350" w:rsidRDefault="00A45C49" w:rsidP="00C1197A">
      <w:pPr>
        <w:numPr>
          <w:ilvl w:val="0"/>
          <w:numId w:val="1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drugi tokovi za koje se tehničkom dokumentacijom utvrdi mogućnost bezbjednog prijema.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potvrđuje ulogu opštinskih punktova i reciklažnih centara u prijemu električnog i elektronskog otpada, tekstila, kabastog otpada, građevinskog otpada iz domaćinstava i određenih opasnih frakcija.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Tačne vrste otpada, kapaciteti, način skladištenja, oprema, prostorna organizacija i uslovi prijema moraju biti utvrđeni projektnom dokumentacijom i odgovarajućim dozvolama. Zbog toga u ovom LPUO </w:t>
      </w:r>
      <w:r w:rsidR="00074994" w:rsidRPr="00615350">
        <w:rPr>
          <w:rFonts w:ascii="Times New Roman" w:eastAsia="Times New Roman" w:hAnsi="Times New Roman" w:cs="Times New Roman"/>
          <w:sz w:val="24"/>
          <w:szCs w:val="24"/>
        </w:rPr>
        <w:t>se ne mogu</w:t>
      </w:r>
      <w:r w:rsidRPr="00615350">
        <w:rPr>
          <w:rFonts w:ascii="Times New Roman" w:eastAsia="Times New Roman" w:hAnsi="Times New Roman" w:cs="Times New Roman"/>
          <w:sz w:val="24"/>
          <w:szCs w:val="24"/>
        </w:rPr>
        <w:t xml:space="preserve"> propisivati tehničk</w:t>
      </w:r>
      <w:r w:rsidR="00074994" w:rsidRPr="00615350">
        <w:rPr>
          <w:rFonts w:ascii="Times New Roman" w:eastAsia="Times New Roman" w:hAnsi="Times New Roman" w:cs="Times New Roman"/>
          <w:sz w:val="24"/>
          <w:szCs w:val="24"/>
        </w:rPr>
        <w:t>i</w:t>
      </w:r>
      <w:r w:rsidRPr="00615350">
        <w:rPr>
          <w:rFonts w:ascii="Times New Roman" w:eastAsia="Times New Roman" w:hAnsi="Times New Roman" w:cs="Times New Roman"/>
          <w:sz w:val="24"/>
          <w:szCs w:val="24"/>
        </w:rPr>
        <w:t xml:space="preserve"> detalj</w:t>
      </w:r>
      <w:r w:rsidR="00074994" w:rsidRPr="00615350">
        <w:rPr>
          <w:rFonts w:ascii="Times New Roman" w:eastAsia="Times New Roman" w:hAnsi="Times New Roman" w:cs="Times New Roman"/>
          <w:sz w:val="24"/>
          <w:szCs w:val="24"/>
        </w:rPr>
        <w:t>i</w:t>
      </w:r>
      <w:r w:rsidRPr="00615350">
        <w:rPr>
          <w:rFonts w:ascii="Times New Roman" w:eastAsia="Times New Roman" w:hAnsi="Times New Roman" w:cs="Times New Roman"/>
          <w:sz w:val="24"/>
          <w:szCs w:val="24"/>
        </w:rPr>
        <w:t xml:space="preserve"> koji još nijesu potvrđeni.</w:t>
      </w:r>
    </w:p>
    <w:p w:rsidR="00A45C49" w:rsidRPr="00615350" w:rsidRDefault="00A45C49" w:rsidP="00074994">
      <w:pPr>
        <w:rPr>
          <w:rFonts w:ascii="Times New Roman" w:hAnsi="Times New Roman" w:cs="Times New Roman"/>
          <w:b/>
          <w:sz w:val="24"/>
        </w:rPr>
      </w:pPr>
      <w:r w:rsidRPr="00615350">
        <w:rPr>
          <w:rFonts w:ascii="Times New Roman" w:hAnsi="Times New Roman" w:cs="Times New Roman"/>
          <w:b/>
          <w:sz w:val="24"/>
        </w:rPr>
        <w:t>Evidencija i informisanje korisnika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Za posebne tokove potrebno je uspostaviti evidenciju najmanje o:</w:t>
      </w:r>
    </w:p>
    <w:p w:rsidR="00A45C49" w:rsidRPr="00615350" w:rsidRDefault="00A45C49" w:rsidP="00C1197A">
      <w:pPr>
        <w:numPr>
          <w:ilvl w:val="0"/>
          <w:numId w:val="1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vrsti i količini sakupljenog otpada; </w:t>
      </w:r>
    </w:p>
    <w:p w:rsidR="00A45C49" w:rsidRPr="00615350" w:rsidRDefault="00A45C49" w:rsidP="00C1197A">
      <w:pPr>
        <w:numPr>
          <w:ilvl w:val="0"/>
          <w:numId w:val="1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načinu i mjestu preuzimanja; </w:t>
      </w:r>
    </w:p>
    <w:p w:rsidR="00A45C49" w:rsidRPr="00615350" w:rsidRDefault="00A45C49" w:rsidP="00C1197A">
      <w:pPr>
        <w:numPr>
          <w:ilvl w:val="0"/>
          <w:numId w:val="1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količini predatoj na ponovnu upotrebu ili reciklažu; </w:t>
      </w:r>
    </w:p>
    <w:p w:rsidR="00A45C49" w:rsidRPr="00615350" w:rsidRDefault="00A45C49" w:rsidP="00C1197A">
      <w:pPr>
        <w:numPr>
          <w:ilvl w:val="0"/>
          <w:numId w:val="1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količini predatoj EPR sistemu ili ovlašćenom operateru; </w:t>
      </w:r>
    </w:p>
    <w:p w:rsidR="00A45C49" w:rsidRPr="00615350" w:rsidRDefault="00A45C49" w:rsidP="00C1197A">
      <w:pPr>
        <w:numPr>
          <w:ilvl w:val="0"/>
          <w:numId w:val="1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krajnjem načinu postupanja, gdje je takav podatak dostupan.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Istovremeno je potrebno kontinuirano informisati građane </w:t>
      </w:r>
      <w:r w:rsidRPr="00615350">
        <w:rPr>
          <w:rFonts w:ascii="Times New Roman" w:eastAsia="Times New Roman" w:hAnsi="Times New Roman" w:cs="Times New Roman"/>
          <w:b/>
          <w:bCs/>
          <w:sz w:val="24"/>
          <w:szCs w:val="24"/>
        </w:rPr>
        <w:t>koje vrste otpada ne smiju odlagati u standardne posude, gdje ih mogu predati, na koji način i u kojim terminima se organizuje njihovo preuzimanje</w:t>
      </w:r>
      <w:r w:rsidRPr="00615350">
        <w:rPr>
          <w:rFonts w:ascii="Times New Roman" w:eastAsia="Times New Roman" w:hAnsi="Times New Roman" w:cs="Times New Roman"/>
          <w:sz w:val="24"/>
          <w:szCs w:val="24"/>
        </w:rPr>
        <w:t>.</w:t>
      </w:r>
    </w:p>
    <w:p w:rsidR="00A45C49" w:rsidRPr="00615350" w:rsidRDefault="00A45C49" w:rsidP="00900448">
      <w:pPr>
        <w:spacing w:before="100" w:beforeAutospacing="1" w:after="100" w:afterAutospacing="1"/>
        <w:jc w:val="both"/>
        <w:rPr>
          <w:rFonts w:ascii="Times New Roman" w:eastAsia="Times New Roman" w:hAnsi="Times New Roman" w:cs="Times New Roman"/>
          <w:b/>
          <w:bCs/>
          <w:sz w:val="24"/>
          <w:szCs w:val="24"/>
        </w:rPr>
      </w:pPr>
      <w:r w:rsidRPr="00615350">
        <w:rPr>
          <w:rFonts w:ascii="Times New Roman" w:eastAsia="Times New Roman" w:hAnsi="Times New Roman" w:cs="Times New Roman"/>
          <w:sz w:val="24"/>
          <w:szCs w:val="24"/>
        </w:rPr>
        <w:t xml:space="preserve">Na taj način sistem posebnih tokova treba razvijati kao sastavni dio lokalnog sistema upravljanja otpadom, sa dva osnovna cilja: </w:t>
      </w:r>
      <w:r w:rsidRPr="00615350">
        <w:rPr>
          <w:rFonts w:ascii="Times New Roman" w:eastAsia="Times New Roman" w:hAnsi="Times New Roman" w:cs="Times New Roman"/>
          <w:b/>
          <w:bCs/>
          <w:sz w:val="24"/>
          <w:szCs w:val="24"/>
        </w:rPr>
        <w:t>izdvajanje otpada pogodnog za ponovnu upotrebu i reciklažu iz miješanog toka i bezbjedno uklanjanje opasnih i drugih problematičnih frakcija iz redovnog sistema sakupljanja komunalnog otpada.</w:t>
      </w:r>
    </w:p>
    <w:p w:rsidR="00A45C49" w:rsidRPr="00615350" w:rsidRDefault="00A45C49" w:rsidP="00C34216">
      <w:pPr>
        <w:pStyle w:val="Heading2"/>
        <w:rPr>
          <w:rFonts w:eastAsia="Times New Roman"/>
        </w:rPr>
      </w:pPr>
      <w:bookmarkStart w:id="53" w:name="_Toc240282311"/>
      <w:r w:rsidRPr="00615350">
        <w:rPr>
          <w:rFonts w:eastAsia="Times New Roman"/>
        </w:rPr>
        <w:t>6.5. Proširena odgovornost proizvođača i uloga lokalnog sistema</w:t>
      </w:r>
      <w:bookmarkEnd w:id="53"/>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Sistem proširene odgovornosti proizvođača (EPR) predstavlja važan element budućeg sistema upravljanja posebnim tokovima otpada. DPUO predviđa uspostavljanje EPR sistema za </w:t>
      </w:r>
      <w:r w:rsidRPr="00615350">
        <w:rPr>
          <w:rFonts w:ascii="Times New Roman" w:eastAsia="Times New Roman" w:hAnsi="Times New Roman" w:cs="Times New Roman"/>
          <w:b/>
          <w:bCs/>
          <w:sz w:val="24"/>
          <w:szCs w:val="24"/>
        </w:rPr>
        <w:t>otpadnu električnu i elektronsku opremu, baterije i akumulatore, otpadna vozila, otpadne gume, ambalažu i ambalažni otpad, kao i određene plastične proizvode za jednokratnu upotrebu</w:t>
      </w:r>
      <w:r w:rsidRPr="00615350">
        <w:rPr>
          <w:rFonts w:ascii="Times New Roman" w:eastAsia="Times New Roman" w:hAnsi="Times New Roman" w:cs="Times New Roman"/>
          <w:sz w:val="24"/>
          <w:szCs w:val="24"/>
        </w:rPr>
        <w:t xml:space="preserve">.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Osnovna odgovornost za organizovanje i finansiranje ovih sistema pripada proizvođačima i organizacijama koje djeluju u okviru EPR sistema. Uloga Opštine Berane i DOO „Komunalno“ nije da preuzmu obaveze proizvođača, već da lokalni sistem sakupljanja i infrastrukturu usklade sa EPR sistemima i omoguće građanima dostupnu predaju odgovarajućih tokova otpada.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To podrazumijeva:</w:t>
      </w:r>
    </w:p>
    <w:p w:rsidR="00A45C49" w:rsidRPr="00615350" w:rsidRDefault="00A45C49" w:rsidP="00C1197A">
      <w:pPr>
        <w:numPr>
          <w:ilvl w:val="0"/>
          <w:numId w:val="1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saradnju sa EPR organizacijama, distributerima i ovlašćenim operaterima; </w:t>
      </w:r>
    </w:p>
    <w:p w:rsidR="00A45C49" w:rsidRPr="00615350" w:rsidRDefault="00A45C49" w:rsidP="00C1197A">
      <w:pPr>
        <w:numPr>
          <w:ilvl w:val="0"/>
          <w:numId w:val="1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obezbjeđivanje odgovarajućih mjesta za odvojeno preuzimanje pojedinih tokova; </w:t>
      </w:r>
    </w:p>
    <w:p w:rsidR="00A45C49" w:rsidRPr="00615350" w:rsidRDefault="00A45C49" w:rsidP="00C1197A">
      <w:pPr>
        <w:numPr>
          <w:ilvl w:val="0"/>
          <w:numId w:val="1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uključivanje planiranog reciklažnog centra u sistem prijema, gdje to dozvoljavaju tehnički i zakonski uslovi; </w:t>
      </w:r>
    </w:p>
    <w:p w:rsidR="00A45C49" w:rsidRPr="00615350" w:rsidRDefault="00A45C49" w:rsidP="00C1197A">
      <w:pPr>
        <w:numPr>
          <w:ilvl w:val="0"/>
          <w:numId w:val="1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vođenje evidencije o količinama otpada predatim kroz EPR sisteme; </w:t>
      </w:r>
    </w:p>
    <w:p w:rsidR="00A45C49" w:rsidRPr="00615350" w:rsidRDefault="00A45C49" w:rsidP="00C1197A">
      <w:pPr>
        <w:numPr>
          <w:ilvl w:val="0"/>
          <w:numId w:val="1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informisanje građana o načinu i mjestima predaje otpada.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Poseban značaj za lokalni sistem ima </w:t>
      </w:r>
      <w:r w:rsidRPr="00615350">
        <w:rPr>
          <w:rFonts w:ascii="Times New Roman" w:eastAsia="Times New Roman" w:hAnsi="Times New Roman" w:cs="Times New Roman"/>
          <w:b/>
          <w:bCs/>
          <w:sz w:val="24"/>
          <w:szCs w:val="24"/>
        </w:rPr>
        <w:t>ambalažni otpad</w:t>
      </w:r>
      <w:r w:rsidRPr="00615350">
        <w:rPr>
          <w:rFonts w:ascii="Times New Roman" w:eastAsia="Times New Roman" w:hAnsi="Times New Roman" w:cs="Times New Roman"/>
          <w:sz w:val="24"/>
          <w:szCs w:val="24"/>
        </w:rPr>
        <w:t>, imajući u vidu da papir i karton, plastika, staklo i metali čine značajan dio komunalnog otpada u Beranama. Razvoj EPR sistema za ambalažu treba povezati sa programom odvojenog sakupljanja iz potpoglavlja 6.2, kako bi se dio troškova sakupljanja i daljeg postupanja sa ambalažnim otpadom pokrivao u skladu sa principom odgovornosti proizvođača.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EPR obuhvata i određene </w:t>
      </w:r>
      <w:r w:rsidRPr="00615350">
        <w:rPr>
          <w:rFonts w:ascii="Times New Roman" w:eastAsia="Times New Roman" w:hAnsi="Times New Roman" w:cs="Times New Roman"/>
          <w:b/>
          <w:bCs/>
          <w:sz w:val="24"/>
          <w:szCs w:val="24"/>
        </w:rPr>
        <w:t>plastične proizvode za jednokratnu upotrebu</w:t>
      </w:r>
      <w:r w:rsidRPr="00615350">
        <w:rPr>
          <w:rFonts w:ascii="Times New Roman" w:eastAsia="Times New Roman" w:hAnsi="Times New Roman" w:cs="Times New Roman"/>
          <w:sz w:val="24"/>
          <w:szCs w:val="24"/>
        </w:rPr>
        <w:t>, zbog čega lokalne mjere sprječavanja nastanka otpada treba povezati sa nacionalnim mjerama za smanjenje njihove upotrebe. DPUO izričito uključuje otpad od plastičnih proizvoda za jednokratnu upotrebu među tokove za koje se uspostavlja EPR sistem. Plastične kese i druge mjere prevencije detaljnije će biti obrađene u poglavlju 8.</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tokove koji nijesu obuhvaćeni EPR sistemom, kao što su pojedine kategorije građevinskog otpada, otpadna ulja i kanalizacioni mulj, DPUO predviđa druge mehanizme upravljanja, uključujući sisteme dozvola i razvoj tržišta sekundarnih sirovina.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planskom periodu cilj je da se lokalni sistem upravljanja posebnim tokovima razvija </w:t>
      </w:r>
      <w:r w:rsidRPr="00615350">
        <w:rPr>
          <w:rFonts w:ascii="Times New Roman" w:eastAsia="Times New Roman" w:hAnsi="Times New Roman" w:cs="Times New Roman"/>
          <w:b/>
          <w:bCs/>
          <w:sz w:val="24"/>
          <w:szCs w:val="24"/>
        </w:rPr>
        <w:t>u koordinaciji sa uspostavljanjem nacionalnih EPR sistema</w:t>
      </w:r>
      <w:r w:rsidRPr="00615350">
        <w:rPr>
          <w:rFonts w:ascii="Times New Roman" w:eastAsia="Times New Roman" w:hAnsi="Times New Roman" w:cs="Times New Roman"/>
          <w:sz w:val="24"/>
          <w:szCs w:val="24"/>
        </w:rPr>
        <w:t>, čime će se smanjiti opterećenje komunalnog sistema, povećati odvojeno sakupljanje i obezbijediti pouzdanije finansiranje upravljanja odgovarajućim vrstama otpada.</w:t>
      </w:r>
    </w:p>
    <w:p w:rsidR="00A45C49" w:rsidRPr="00615350" w:rsidRDefault="00A45C49" w:rsidP="00C34216">
      <w:pPr>
        <w:pStyle w:val="Heading2"/>
        <w:rPr>
          <w:rFonts w:eastAsia="Times New Roman"/>
        </w:rPr>
      </w:pPr>
      <w:bookmarkStart w:id="54" w:name="_Toc240282312"/>
      <w:r w:rsidRPr="00615350">
        <w:rPr>
          <w:rFonts w:eastAsia="Times New Roman"/>
        </w:rPr>
        <w:t>6.6. Infrastruktura za upravljanje otpadom</w:t>
      </w:r>
      <w:bookmarkEnd w:id="54"/>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Razvoj odgovarajuće infrastrukture predstavlja neophodan uslov za prelazak sa sistema koji se najvećim dijelom zasniva na sakupljanju miješanog komunalnog otpada na sistem koji omogućava odvojeno sakupljanje, ponovnu upotrebu, reciklažu i druge odgovarajuće postupke tretmana.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Planiranje infrastrukture za Opštinu Berane zasniva se na povezivanju </w:t>
      </w:r>
      <w:r w:rsidRPr="00615350">
        <w:rPr>
          <w:rFonts w:ascii="Times New Roman" w:eastAsia="Times New Roman" w:hAnsi="Times New Roman" w:cs="Times New Roman"/>
          <w:b/>
          <w:bCs/>
          <w:sz w:val="24"/>
          <w:szCs w:val="24"/>
        </w:rPr>
        <w:t>lokalnih kapaciteta za sakupljanje, prijem i razvrstavanje pojedinih tokova otpada sa budućim sjevernim regionalnim sistemom upravljanja otpadom</w:t>
      </w:r>
      <w:r w:rsidRPr="00615350">
        <w:rPr>
          <w:rFonts w:ascii="Times New Roman" w:eastAsia="Times New Roman" w:hAnsi="Times New Roman" w:cs="Times New Roman"/>
          <w:sz w:val="24"/>
          <w:szCs w:val="24"/>
        </w:rPr>
        <w:t>, čiji je centralni objekat Regionalni centar u Bijelom Polju. Ovakav pristup podrazumijeva da se u Beranama razvijaju kapaciteti potrebni za funkcionisanje lokalnog sistema, dok se tretman i konačno zbrinjavanje pojedinih tokova usklađuju sa regionalnom infrastrukturom.</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Reciklažni centar Berane</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za Berane predviđa </w:t>
      </w:r>
      <w:r w:rsidRPr="00615350">
        <w:rPr>
          <w:rFonts w:ascii="Times New Roman" w:eastAsia="Times New Roman" w:hAnsi="Times New Roman" w:cs="Times New Roman"/>
          <w:b/>
          <w:bCs/>
          <w:sz w:val="24"/>
          <w:szCs w:val="24"/>
        </w:rPr>
        <w:t>reciklažni centar sa programom ponovne upotrebe</w:t>
      </w:r>
      <w:r w:rsidRPr="00615350">
        <w:rPr>
          <w:rFonts w:ascii="Times New Roman" w:eastAsia="Times New Roman" w:hAnsi="Times New Roman" w:cs="Times New Roman"/>
          <w:sz w:val="24"/>
          <w:szCs w:val="24"/>
        </w:rPr>
        <w:t>. Njegova uloga treba da bude povezana sa razvojem sistema odvojenog sakupljanja i prijemom tokova otpada koji nijesu pogodni za standardni sistem sakupljanja.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zavisnosti od konačnog tehničkog rješenja, reciklažni centar treba da omogući prijem, privremeno skladištenje i odgovarajuće razvrstavanje pojedinih reciklabilnih i posebnih tokova otpada, kao i izdvajanje predmeta pogodnih za ponovnu upotrebu. Tačne funkcije, kapaciteti, oprema i organizacija centra biće utvrđeni odgovarajućom tehničkom i projektnom dokumentacijom.</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 ovog centra treba vremenski uskladiti sa programom odvojenog sakupljanja iz ovog Plana, kako bi za izdvojene materijale bio obezbijeđen odgovarajući prijem i dalje postupanje. U prethodnim djelovima Plana već je predviđeno da reciklažni centar ima važnu ulogu i u kontrolisanom prijemu posebnih tokova iz domaćinstava.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lastRenderedPageBreak/>
        <w:t>Regionalni centar Bijelo Polje</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predviđa uključivanje Berana u </w:t>
      </w:r>
      <w:r w:rsidRPr="00615350">
        <w:rPr>
          <w:rFonts w:ascii="Times New Roman" w:eastAsia="Times New Roman" w:hAnsi="Times New Roman" w:cs="Times New Roman"/>
          <w:b/>
          <w:bCs/>
          <w:sz w:val="24"/>
          <w:szCs w:val="24"/>
        </w:rPr>
        <w:t>sjeverni regionalni sistem upravljanja otpadom sa Regionalnim centrom u Bijelom Polju</w:t>
      </w:r>
      <w:r w:rsidRPr="00615350">
        <w:rPr>
          <w:rFonts w:ascii="Times New Roman" w:eastAsia="Times New Roman" w:hAnsi="Times New Roman" w:cs="Times New Roman"/>
          <w:sz w:val="24"/>
          <w:szCs w:val="24"/>
        </w:rPr>
        <w:t>. Po uspostavljanju funkcionalnog regionalnog sistema, odgovarajući tokovi otpada iz Berana usmjeravaće se prema regionalnim kapacitetima u skladu sa njihovom namjenom, raspoloživim kapacitetima i uslovima prijema.</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biootpad je posebno značajan planirani regionalni kapacitet za kompostiranje u Bijelom Polju, indikativnog kapaciteta </w:t>
      </w:r>
      <w:r w:rsidRPr="00615350">
        <w:rPr>
          <w:rFonts w:ascii="Times New Roman" w:eastAsia="Times New Roman" w:hAnsi="Times New Roman" w:cs="Times New Roman"/>
          <w:b/>
          <w:bCs/>
          <w:sz w:val="24"/>
          <w:szCs w:val="24"/>
        </w:rPr>
        <w:t>5.069 t/god.</w:t>
      </w:r>
      <w:r w:rsidRPr="00615350">
        <w:rPr>
          <w:rFonts w:ascii="Times New Roman" w:eastAsia="Times New Roman" w:hAnsi="Times New Roman" w:cs="Times New Roman"/>
          <w:sz w:val="24"/>
          <w:szCs w:val="24"/>
        </w:rPr>
        <w:t xml:space="preserve">, sa kojim treba uskladiti budući način postupanja sa organizovano sakupljenim biootpadom iz Berana.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Lokacija „Rujiške laze“</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uspostavljanja odgovarajućeg alternativnog rješenja i funkcionalne regionalne infrastrukture, lokacija </w:t>
      </w:r>
      <w:r w:rsidRPr="00615350">
        <w:rPr>
          <w:rFonts w:ascii="Times New Roman" w:eastAsia="Times New Roman" w:hAnsi="Times New Roman" w:cs="Times New Roman"/>
          <w:b/>
          <w:bCs/>
          <w:sz w:val="24"/>
          <w:szCs w:val="24"/>
        </w:rPr>
        <w:t>„Rujiške laze“</w:t>
      </w:r>
      <w:r w:rsidRPr="00615350">
        <w:rPr>
          <w:rFonts w:ascii="Times New Roman" w:eastAsia="Times New Roman" w:hAnsi="Times New Roman" w:cs="Times New Roman"/>
          <w:sz w:val="24"/>
          <w:szCs w:val="24"/>
        </w:rPr>
        <w:t xml:space="preserve"> ostaje dio prelaznog sistema upravljanja miješanim komunalnim otpadom. U tom periodu potrebno je obezbijediti kontrolisano korišćenje lokacije i sprovođenje propisanih mjera zaštite životne sredine.</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 stvaranju uslova za preusmjeravanje otpada ka odgovarajućoj regionalnoj infrastrukturi potrebno je </w:t>
      </w:r>
      <w:r w:rsidRPr="00615350">
        <w:rPr>
          <w:rFonts w:ascii="Times New Roman" w:eastAsia="Times New Roman" w:hAnsi="Times New Roman" w:cs="Times New Roman"/>
          <w:b/>
          <w:bCs/>
          <w:sz w:val="24"/>
          <w:szCs w:val="24"/>
        </w:rPr>
        <w:t>prekinuti korišćenje lokacije za privremeno skladištenje miješanog komunalnog otpada i pristupiti njenom zatvaranju i sanaciji</w:t>
      </w:r>
      <w:r w:rsidRPr="00615350">
        <w:rPr>
          <w:rFonts w:ascii="Times New Roman" w:eastAsia="Times New Roman" w:hAnsi="Times New Roman" w:cs="Times New Roman"/>
          <w:sz w:val="24"/>
          <w:szCs w:val="24"/>
        </w:rPr>
        <w:t>, u skladu sa propisima i odgovarajućom tehničkom dokumentacijom.</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Transfer otpada</w:t>
      </w:r>
    </w:p>
    <w:p w:rsidR="00074994"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Ovim Lokalnim planom </w:t>
      </w:r>
      <w:r w:rsidRPr="00615350">
        <w:rPr>
          <w:rFonts w:ascii="Times New Roman" w:eastAsia="Times New Roman" w:hAnsi="Times New Roman" w:cs="Times New Roman"/>
          <w:b/>
          <w:bCs/>
          <w:sz w:val="24"/>
          <w:szCs w:val="24"/>
        </w:rPr>
        <w:t>ne predviđa se izgradnja posebne transfer stanice u Beranama kao obavezan element sistema</w:t>
      </w:r>
      <w:r w:rsidRPr="00615350">
        <w:rPr>
          <w:rFonts w:ascii="Times New Roman" w:eastAsia="Times New Roman" w:hAnsi="Times New Roman" w:cs="Times New Roman"/>
          <w:sz w:val="24"/>
          <w:szCs w:val="24"/>
        </w:rPr>
        <w:t xml:space="preserve">. Konačan način transporta otpada prema Regionalnom centru Bijelo Polje treba utvrditi u skladu sa tehničkim rješenjem regionalnog sistema, količinama otpada, udaljenošću, raspoloživim vozilima i troškovima transporta. Eventualna potreba za dodatnim pretovarnim kapacitetom može se razmatrati ukoliko se tehničko-ekonomskom analizom utvrdi njegova opravdanost. </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Fazni razvoj infrastrukture</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Razvoj infrastrukture potrebno je sprovoditi fazno i uskladiti sa stvarnim razvojem sistema odvojenog sakupljanja i regionalne infrastrukture. Prioritet u planskom periodu treba dati uspostavljanju funkcionalnog reciklažnog centra u Beranama, unapređenju postojeće opreme i kapaciteta za sakupljanje i privremeni prijem pojedinih tokova, povezivanju sa EPR sistemima i pripremi lokalnog sistema za uključivanje u Regionalni centar Bijelo Polje.</w:t>
      </w:r>
    </w:p>
    <w:p w:rsidR="00A45C49" w:rsidRPr="00615350" w:rsidRDefault="00A45C49"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ovaj način lokalna infrastruktura treba da omogući </w:t>
      </w:r>
      <w:r w:rsidRPr="00615350">
        <w:rPr>
          <w:rFonts w:ascii="Times New Roman" w:eastAsia="Times New Roman" w:hAnsi="Times New Roman" w:cs="Times New Roman"/>
          <w:b/>
          <w:bCs/>
          <w:sz w:val="24"/>
          <w:szCs w:val="24"/>
        </w:rPr>
        <w:t>postepeno smanjenje količine miješanog otpada koji zahtijeva odlaganje i povećanje količina otpada usmjerenih ka ponovnoj upotrebi, reciklaži i drugim odgovarajućim postupcima tretmana</w:t>
      </w:r>
      <w:r w:rsidRPr="00615350">
        <w:rPr>
          <w:rFonts w:ascii="Times New Roman" w:eastAsia="Times New Roman" w:hAnsi="Times New Roman" w:cs="Times New Roman"/>
          <w:sz w:val="24"/>
          <w:szCs w:val="24"/>
        </w:rPr>
        <w:t>.</w:t>
      </w:r>
    </w:p>
    <w:p w:rsidR="003F6AAF" w:rsidRPr="00615350" w:rsidRDefault="003F6AAF" w:rsidP="00C34216">
      <w:pPr>
        <w:pStyle w:val="Heading2"/>
        <w:rPr>
          <w:rFonts w:eastAsia="Times New Roman"/>
        </w:rPr>
      </w:pPr>
      <w:bookmarkStart w:id="55" w:name="_Toc240282313"/>
      <w:r w:rsidRPr="00615350">
        <w:rPr>
          <w:rFonts w:eastAsia="Times New Roman"/>
        </w:rPr>
        <w:lastRenderedPageBreak/>
        <w:t>6.7. Upravljanje otpadom na zaštićenim područjima</w:t>
      </w:r>
      <w:bookmarkEnd w:id="55"/>
    </w:p>
    <w:p w:rsidR="00E86CB9" w:rsidRPr="00615350" w:rsidRDefault="00E86CB9" w:rsidP="00E86CB9">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teritoriji Opštine Berane nalaze se djelovi zaštićenih prirodnih područja, uključujući </w:t>
      </w:r>
      <w:r w:rsidRPr="00615350">
        <w:rPr>
          <w:rFonts w:ascii="Times New Roman" w:eastAsia="Times New Roman" w:hAnsi="Times New Roman" w:cs="Times New Roman"/>
          <w:b/>
          <w:bCs/>
          <w:sz w:val="24"/>
          <w:szCs w:val="24"/>
        </w:rPr>
        <w:t>dio Nacionalnog parka „Biogradska gora“ i zajednicu bora krivulja na Bjelasici, koja ima status spomenika prirode</w:t>
      </w:r>
      <w:r w:rsidRPr="00615350">
        <w:rPr>
          <w:rFonts w:ascii="Times New Roman" w:eastAsia="Times New Roman" w:hAnsi="Times New Roman" w:cs="Times New Roman"/>
          <w:sz w:val="24"/>
          <w:szCs w:val="24"/>
        </w:rPr>
        <w:t>.</w:t>
      </w:r>
    </w:p>
    <w:p w:rsidR="00E86CB9" w:rsidRPr="00615350" w:rsidRDefault="00E86CB9" w:rsidP="00E86CB9">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Upravljanje otpadom na ovim područjima potrebno je sprovoditi u skladu sa propisima iz oblasti upravljanja otpadom i zaštite prirode, utvrđenim režimima zaštite i odgovarajućim planskim i upravljačkim dokumentima za konkretno zaštićeno područje.</w:t>
      </w:r>
    </w:p>
    <w:p w:rsidR="00E86CB9" w:rsidRPr="00615350" w:rsidRDefault="00E86CB9" w:rsidP="00E86CB9">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dijelu Nacionalnog parka „Biogradska gora“ koji se nalazi na teritoriji Opštine Berane potrebno je obezbijediti koordinaciju </w:t>
      </w:r>
      <w:r w:rsidRPr="00615350">
        <w:rPr>
          <w:rFonts w:ascii="Times New Roman" w:eastAsia="Times New Roman" w:hAnsi="Times New Roman" w:cs="Times New Roman"/>
          <w:b/>
          <w:bCs/>
          <w:sz w:val="24"/>
          <w:szCs w:val="24"/>
        </w:rPr>
        <w:t>Opštine Berane, DOO „Komunalno“ i upravljača Nacionalnog parka</w:t>
      </w:r>
      <w:r w:rsidRPr="00615350">
        <w:rPr>
          <w:rFonts w:ascii="Times New Roman" w:eastAsia="Times New Roman" w:hAnsi="Times New Roman" w:cs="Times New Roman"/>
          <w:sz w:val="24"/>
          <w:szCs w:val="24"/>
        </w:rPr>
        <w:t>, naročito u pogledu organizovanog sakupljanja i odvoza otpada na lokacijama gdje je to potrebno i moguće, sprječavanja nepropisnog odlaganja, evidentiranja kritičnih lokacija i informisanja korisnika prostora.</w:t>
      </w:r>
    </w:p>
    <w:p w:rsidR="00397842" w:rsidRPr="00615350" w:rsidRDefault="00397842" w:rsidP="00E86CB9">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Posebnu pažnju potrebno je posvetiti lokacijama sa povećanom posjetom, turističkim i izletničkim sadržajima i periodima većeg opterećenja, pri čemu način postavljanja posuda, sakupljanja i odvoza otpada treba prilagoditi uslovima prostora i režimu zaštite, a učestalost sakupljanja i odvoza povećavati u periodima izraženijeg sezonskog opterećenja, gdje je to potrebno.</w:t>
      </w:r>
    </w:p>
    <w:p w:rsidR="00E86CB9" w:rsidRPr="00615350" w:rsidRDefault="00E86CB9" w:rsidP="00E86CB9">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w:t>
      </w:r>
      <w:r w:rsidRPr="00615350">
        <w:rPr>
          <w:rFonts w:ascii="Times New Roman" w:eastAsia="Times New Roman" w:hAnsi="Times New Roman" w:cs="Times New Roman"/>
          <w:b/>
          <w:bCs/>
          <w:sz w:val="24"/>
          <w:szCs w:val="24"/>
        </w:rPr>
        <w:t>zajednicu bora krivulja na Bjelasici</w:t>
      </w:r>
      <w:r w:rsidRPr="00615350">
        <w:rPr>
          <w:rFonts w:ascii="Times New Roman" w:eastAsia="Times New Roman" w:hAnsi="Times New Roman" w:cs="Times New Roman"/>
          <w:sz w:val="24"/>
          <w:szCs w:val="24"/>
        </w:rPr>
        <w:t>, kao i za druga zaštićena područja, mjere upravljanja otpadom potrebno je uskladiti sa konkretnim režimom zaštite i nadležnostima upravljača, uz prioritet sprječavanja nepropisnog odlaganja otpada i negativnih uticaja na prirodne vrijednosti.</w:t>
      </w:r>
    </w:p>
    <w:p w:rsidR="00E72EDE" w:rsidRPr="00615350" w:rsidRDefault="00E72EDE" w:rsidP="00C34216">
      <w:pPr>
        <w:pStyle w:val="Heading1"/>
        <w:rPr>
          <w:rFonts w:eastAsia="Times New Roman"/>
        </w:rPr>
      </w:pPr>
      <w:bookmarkStart w:id="56" w:name="_Toc240282314"/>
      <w:r w:rsidRPr="00615350">
        <w:rPr>
          <w:rFonts w:eastAsia="Times New Roman"/>
        </w:rPr>
        <w:t>7. UPRAVLJANJE NEOPASNIM GRAĐEVINSKIM OTPADOM</w:t>
      </w:r>
      <w:bookmarkEnd w:id="56"/>
    </w:p>
    <w:p w:rsidR="00DC69C0" w:rsidRPr="00615350" w:rsidRDefault="00DC69C0" w:rsidP="00C34216">
      <w:pPr>
        <w:pStyle w:val="Heading2"/>
        <w:rPr>
          <w:rFonts w:eastAsia="Times New Roman"/>
        </w:rPr>
      </w:pPr>
      <w:bookmarkStart w:id="57" w:name="_Toc240282315"/>
      <w:r w:rsidRPr="00615350">
        <w:rPr>
          <w:rFonts w:eastAsia="Times New Roman"/>
        </w:rPr>
        <w:t>7.1. Planirani način sakupljanja i transporta neopasnog građevinskog otpada</w:t>
      </w:r>
      <w:bookmarkEnd w:id="57"/>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Upravljanje neopasnim građevinskim otpadom na teritoriji opštine Berane u planskom periodu 2026–2029. godine potrebno je organizovati kao poseban i kontrolisan tok otpada, odvojeno od sistema sakupljanja miješanog komunalnog otpada. Sistem treba da obezbijedi odvojeno sakupljanje, kontrolisan transport, prijem i evidenciju, kao i dalje usmjeravanje otpada ka ponovnoj upotrebi, reciklaži i drugim oblicima materijalne prerade.</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Potreba za uspostavljanjem takvog sistema proizlazi iz postojećeg stanja. Skupština opštine Berane ranije je za privremeno skladištenje neopasnog građevinskog otpada odredila lokaciju </w:t>
      </w:r>
      <w:r w:rsidRPr="00615350">
        <w:rPr>
          <w:rFonts w:ascii="Times New Roman" w:eastAsia="Times New Roman" w:hAnsi="Times New Roman" w:cs="Times New Roman"/>
          <w:b/>
          <w:bCs/>
          <w:sz w:val="24"/>
          <w:szCs w:val="24"/>
        </w:rPr>
        <w:t>„Gradinsko polje“</w:t>
      </w:r>
      <w:r w:rsidRPr="00615350">
        <w:rPr>
          <w:rFonts w:ascii="Times New Roman" w:eastAsia="Times New Roman" w:hAnsi="Times New Roman" w:cs="Times New Roman"/>
          <w:sz w:val="24"/>
          <w:szCs w:val="24"/>
        </w:rPr>
        <w:t xml:space="preserve">, na djelovima katastarskih parcela br. </w:t>
      </w:r>
      <w:r w:rsidRPr="00615350">
        <w:rPr>
          <w:rFonts w:ascii="Times New Roman" w:eastAsia="Times New Roman" w:hAnsi="Times New Roman" w:cs="Times New Roman"/>
          <w:b/>
          <w:bCs/>
          <w:sz w:val="24"/>
          <w:szCs w:val="24"/>
        </w:rPr>
        <w:t>1794 i 1795/1 KO Buče I</w:t>
      </w:r>
      <w:r w:rsidRPr="00615350">
        <w:rPr>
          <w:rFonts w:ascii="Times New Roman" w:eastAsia="Times New Roman" w:hAnsi="Times New Roman" w:cs="Times New Roman"/>
          <w:sz w:val="24"/>
          <w:szCs w:val="24"/>
        </w:rPr>
        <w:t xml:space="preserve">, ukupne površine oko </w:t>
      </w:r>
      <w:r w:rsidRPr="00615350">
        <w:rPr>
          <w:rFonts w:ascii="Times New Roman" w:eastAsia="Times New Roman" w:hAnsi="Times New Roman" w:cs="Times New Roman"/>
          <w:b/>
          <w:bCs/>
          <w:sz w:val="24"/>
          <w:szCs w:val="24"/>
        </w:rPr>
        <w:t>11.000 m²</w:t>
      </w:r>
      <w:r w:rsidRPr="00615350">
        <w:rPr>
          <w:rFonts w:ascii="Times New Roman" w:eastAsia="Times New Roman" w:hAnsi="Times New Roman" w:cs="Times New Roman"/>
          <w:sz w:val="24"/>
          <w:szCs w:val="24"/>
        </w:rPr>
        <w:t xml:space="preserve">, i dala je na upravljanje i održavanje DOO „Komunalno“ Berane. Međutim, ranije utvrđena lokacija nije privedena namjeni i funkcionalan sistem upravljanja ovom vrstom otpada još nije uspostavljen. Prema najnovijim podacima dostavljenim za </w:t>
      </w:r>
      <w:r w:rsidRPr="00615350">
        <w:rPr>
          <w:rFonts w:ascii="Times New Roman" w:eastAsia="Times New Roman" w:hAnsi="Times New Roman" w:cs="Times New Roman"/>
          <w:sz w:val="24"/>
          <w:szCs w:val="24"/>
        </w:rPr>
        <w:lastRenderedPageBreak/>
        <w:t xml:space="preserve">potrebe izrade ovog Plana, razmatra se mogućnost dislociranja prvobitno planirane lokacije u okviru iste katastarske površine, a radi sagledavanja odgovarajućeg rješenja formirana je posebna Komisija. </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Zbog toga se ovim Planom </w:t>
      </w:r>
      <w:r w:rsidRPr="00615350">
        <w:rPr>
          <w:rFonts w:ascii="Times New Roman" w:eastAsia="Times New Roman" w:hAnsi="Times New Roman" w:cs="Times New Roman"/>
          <w:b/>
          <w:bCs/>
          <w:sz w:val="24"/>
          <w:szCs w:val="24"/>
        </w:rPr>
        <w:t>ne utvrđuje da ranije određena mikrolokacija predstavlja postojeću funkcionalnu lokaciju</w:t>
      </w:r>
      <w:r w:rsidRPr="00615350">
        <w:rPr>
          <w:rFonts w:ascii="Times New Roman" w:eastAsia="Times New Roman" w:hAnsi="Times New Roman" w:cs="Times New Roman"/>
          <w:sz w:val="24"/>
          <w:szCs w:val="24"/>
        </w:rPr>
        <w:t xml:space="preserve">, niti se unaprijed određuje nova mikrolokacija. U planskom periodu potrebno je završiti postupak utvrđivanja odgovarajućeg lokacijskog rješenja, provjeriti njegovu usklađenost sa važećom prostorno-planskom dokumentacijom i propisima i obezbijediti uslove za kontrolisani prijem i upravljanje neopasnim građevinskim otpadom. </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Sakupljanje građevinskog otpada treba organizovati tako da se spriječi njegovo odlaganje u posude za miješani komunalni otpad i na neuređenim lokacijama. Poseban značaj ima sprečavanje odlaganja građevinskog otpada uz rijeku Lim i druge vodotoke, imajući u vidu da postojeća dokumentacija ukazuje na prisustvo ove vrste otpada na većem broju neuređenih lokacija. </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manje količine neopasnog građevinskog otpada, naročito one koje nastaju u domaćinstvima prilikom manjih radova na održavanju i adaptaciji objekata, potrebno je obezbijediti dostupan način kontrolisane predaje. Sistem može obuhvatiti direktnu predaju na uređenoj lokaciji, preuzimanje po pozivu korisnika i, kada je opravdano, korišćenje odgovarajućih kontejnera većeg kapaciteta. </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Potrebno je razlikovati ove količine od građevinskog otpada koji nastaje na većim gradilištima. Za proizvođače za koje Zakon propisuje obavezu izrade posebnog plana upravljanja građevinskim otpadom primjenjuju se odgovarajuće zakonske obaveze i takav otpad se ne može tretirati na isti način kao manje količine iz domaćinstava. Prema raspoloživoj dokumentaciji, plan upravljanja građevinskim otpadom obavezan je kada građevinski otpad nastaje od objekta čija je zapremina, zajedno sa zemljanim iskopom, veća od </w:t>
      </w:r>
      <w:r w:rsidRPr="00615350">
        <w:rPr>
          <w:rFonts w:ascii="Times New Roman" w:eastAsia="Times New Roman" w:hAnsi="Times New Roman" w:cs="Times New Roman"/>
          <w:b/>
          <w:bCs/>
          <w:sz w:val="24"/>
          <w:szCs w:val="24"/>
        </w:rPr>
        <w:t>2.000 m³</w:t>
      </w:r>
      <w:r w:rsidRPr="00615350">
        <w:rPr>
          <w:rFonts w:ascii="Times New Roman" w:eastAsia="Times New Roman" w:hAnsi="Times New Roman" w:cs="Times New Roman"/>
          <w:sz w:val="24"/>
          <w:szCs w:val="24"/>
        </w:rPr>
        <w:t xml:space="preserve">, kao i kada otpad sadrži ili je bio izložen opasnim materijama, bez obzira na zapreminu objekta. </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Građevinski otpad potrebno je, gdje je primjenjivo, razdvajati već na mjestu nastanka. U skladu sa Zakonom, selektivno se izdvajaju </w:t>
      </w:r>
      <w:r w:rsidRPr="00615350">
        <w:rPr>
          <w:rFonts w:ascii="Times New Roman" w:eastAsia="Times New Roman" w:hAnsi="Times New Roman" w:cs="Times New Roman"/>
          <w:b/>
          <w:bCs/>
          <w:sz w:val="24"/>
          <w:szCs w:val="24"/>
        </w:rPr>
        <w:t>drvo, mineralne frakcije – beton, cigla, pločice, keramika i kamen, metal, staklo, plastika i gips</w:t>
      </w:r>
      <w:r w:rsidRPr="00615350">
        <w:rPr>
          <w:rFonts w:ascii="Times New Roman" w:eastAsia="Times New Roman" w:hAnsi="Times New Roman" w:cs="Times New Roman"/>
          <w:sz w:val="24"/>
          <w:szCs w:val="24"/>
        </w:rPr>
        <w:t xml:space="preserve">. Otpad za koji postoji sumnja da sadrži opasne materije mora se odvojiti od neopasnog građevinskog otpada i njime se mora postupati u skladu sa propisima koji uređuju odgovarajući tok opasnog otpada. </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Transport neopasnog građevinskog otpada treba organizovati odvojeno od transporta miješanog komunalnog otpada, odgovarajućim vozilima i kontejnerima, na način kojim se sprečavaju rasipanje materijala, prašenje i drugi negativni uticaji na životnu sredinu. Za domaćinstva i manje proizvođače transport može obavljati DOO „Komunalno“ Berane ili drugi za to ovlašćeni subjekt, dok proizvođači većih količina mogu organizovati predaju odgovarajućem ovlašćenom subjektu, u skladu sa Zakonom. </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Za planiranje sistema treba koristiti postojeće lokalne evidencije, prema kojima je u periodu 2022–2025. godine evidentirano približno </w:t>
      </w:r>
      <w:r w:rsidRPr="00615350">
        <w:rPr>
          <w:rFonts w:ascii="Times New Roman" w:eastAsia="Times New Roman" w:hAnsi="Times New Roman" w:cs="Times New Roman"/>
          <w:b/>
          <w:bCs/>
          <w:sz w:val="24"/>
          <w:szCs w:val="24"/>
        </w:rPr>
        <w:t>1.500–1.760 t/god.</w:t>
      </w:r>
      <w:r w:rsidRPr="00615350">
        <w:rPr>
          <w:rFonts w:ascii="Times New Roman" w:eastAsia="Times New Roman" w:hAnsi="Times New Roman" w:cs="Times New Roman"/>
          <w:sz w:val="24"/>
          <w:szCs w:val="24"/>
        </w:rPr>
        <w:t xml:space="preserve"> u zbirnoj kategoriji „zemlja, kamen i građevinski otpad“. Ove podatke treba koristiti kao indikativan red veličine, a ne kao preciznu količinu isključivo neopasnog građevinskog otpada, zbog čega je u budućem sistemu neophodno uspostaviti vaganje i evidenciju pojedinačnih vrsta otpada prema katalogu otpada. </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Jedan od prioriteta planskog perioda je zato istovremeno </w:t>
      </w:r>
      <w:r w:rsidRPr="00615350">
        <w:rPr>
          <w:rFonts w:ascii="Times New Roman" w:eastAsia="Times New Roman" w:hAnsi="Times New Roman" w:cs="Times New Roman"/>
          <w:b/>
          <w:bCs/>
          <w:sz w:val="24"/>
          <w:szCs w:val="24"/>
        </w:rPr>
        <w:t>uspostavljanje dostupnog i kontrolisanog sistema prijema građevinskog otpada i sprečavanje njegovog nelegalnog odlaganja</w:t>
      </w:r>
      <w:r w:rsidRPr="00615350">
        <w:rPr>
          <w:rFonts w:ascii="Times New Roman" w:eastAsia="Times New Roman" w:hAnsi="Times New Roman" w:cs="Times New Roman"/>
          <w:sz w:val="24"/>
          <w:szCs w:val="24"/>
        </w:rPr>
        <w:t xml:space="preserve">. Samo uklanjanje otpada sa postojećih neuređenih lokacija, bez obezbjeđivanja odgovarajućeg načina predaje, ne predstavlja trajno rješenje i može dovesti do njihovog ponovnog formiranja. </w:t>
      </w:r>
    </w:p>
    <w:p w:rsidR="00DC69C0" w:rsidRPr="00615350" w:rsidRDefault="00DC69C0"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periodu 2026–2029. godine potrebno je, stoga, završiti postupak određivanja odgovarajućeg lokacijskog rješenja, infrastrukturno ga opremiti, uspostaviti kontrolisani prijem i transport za domaćinstva i manje proizvođače i obezbijediti vaganje i pouzdanu evidenciju prihvaćenih količina. Nakon prijema, pojedine frakcije treba usmjeravati ka ponovnoj upotrebi, reciklaži i drugim oblicima materijalne prerade, što se detaljnije razmatra u narednim potpoglavljima.</w:t>
      </w:r>
    </w:p>
    <w:p w:rsidR="001E5D7E" w:rsidRPr="00615350" w:rsidRDefault="001E5D7E" w:rsidP="00C34216">
      <w:pPr>
        <w:pStyle w:val="Heading2"/>
        <w:rPr>
          <w:rFonts w:eastAsia="Times New Roman"/>
        </w:rPr>
      </w:pPr>
      <w:bookmarkStart w:id="58" w:name="_Toc240282316"/>
      <w:r w:rsidRPr="00615350">
        <w:rPr>
          <w:rFonts w:eastAsia="Times New Roman"/>
        </w:rPr>
        <w:t>7.2. Privremeno skladištenje i tretman neopasnog građevinskog otpada</w:t>
      </w:r>
      <w:bookmarkEnd w:id="58"/>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Uspostavljanje uređene lokacije za prijem i privremeno skladištenje neopasnog građevinskog otpada predstavlja jednu od prioritetnih aktivnosti u planskom periodu. Postojeće stanje, u kojem nije uspostavljena funkcionalna lokacija za kontrolisani prijem ovog toka, povezano je sa pojavom građevinskog otpada na neuređenim lokacijama, uključujući više lokaliteta uz rijeku Lim. Postojeća lokalna dokumentacija potvrđuje da građevinski otpad predstavlja značajan dio problema neuređenih odlagališta na području Berana. </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Ranije je za privremeno skladištenje neopasnog građevinskog otpada određena lokacija </w:t>
      </w:r>
      <w:r w:rsidRPr="00615350">
        <w:rPr>
          <w:rFonts w:ascii="Times New Roman" w:eastAsia="Times New Roman" w:hAnsi="Times New Roman" w:cs="Times New Roman"/>
          <w:b/>
          <w:bCs/>
          <w:sz w:val="24"/>
          <w:szCs w:val="24"/>
        </w:rPr>
        <w:t>„Gradinsko polje“</w:t>
      </w:r>
      <w:r w:rsidRPr="00615350">
        <w:rPr>
          <w:rFonts w:ascii="Times New Roman" w:eastAsia="Times New Roman" w:hAnsi="Times New Roman" w:cs="Times New Roman"/>
          <w:sz w:val="24"/>
          <w:szCs w:val="24"/>
        </w:rPr>
        <w:t xml:space="preserve">, na djelovima katastarskih parcela br. </w:t>
      </w:r>
      <w:r w:rsidRPr="00615350">
        <w:rPr>
          <w:rFonts w:ascii="Times New Roman" w:eastAsia="Times New Roman" w:hAnsi="Times New Roman" w:cs="Times New Roman"/>
          <w:b/>
          <w:bCs/>
          <w:sz w:val="24"/>
          <w:szCs w:val="24"/>
        </w:rPr>
        <w:t>1794 i 1795/1 KO Buče I</w:t>
      </w:r>
      <w:r w:rsidRPr="00615350">
        <w:rPr>
          <w:rFonts w:ascii="Times New Roman" w:eastAsia="Times New Roman" w:hAnsi="Times New Roman" w:cs="Times New Roman"/>
          <w:sz w:val="24"/>
          <w:szCs w:val="24"/>
        </w:rPr>
        <w:t xml:space="preserve">, ukupne površine oko </w:t>
      </w:r>
      <w:r w:rsidRPr="00615350">
        <w:rPr>
          <w:rFonts w:ascii="Times New Roman" w:eastAsia="Times New Roman" w:hAnsi="Times New Roman" w:cs="Times New Roman"/>
          <w:b/>
          <w:bCs/>
          <w:sz w:val="24"/>
          <w:szCs w:val="24"/>
        </w:rPr>
        <w:t>11.000 m²</w:t>
      </w:r>
      <w:r w:rsidRPr="00615350">
        <w:rPr>
          <w:rFonts w:ascii="Times New Roman" w:eastAsia="Times New Roman" w:hAnsi="Times New Roman" w:cs="Times New Roman"/>
          <w:sz w:val="24"/>
          <w:szCs w:val="24"/>
        </w:rPr>
        <w:t xml:space="preserve">, koja je data na upravljanje i održavanje DOO „Komunalno“ Berane. Međutim, lokalnim aktom korišćenje ove lokacije bilo je predviđeno za period od </w:t>
      </w:r>
      <w:r w:rsidRPr="00615350">
        <w:rPr>
          <w:rFonts w:ascii="Times New Roman" w:eastAsia="Times New Roman" w:hAnsi="Times New Roman" w:cs="Times New Roman"/>
          <w:b/>
          <w:bCs/>
          <w:sz w:val="24"/>
          <w:szCs w:val="24"/>
        </w:rPr>
        <w:t>1. oktobra 2019. do 1. oktobra 2021. godine</w:t>
      </w:r>
      <w:r w:rsidRPr="00615350">
        <w:rPr>
          <w:rFonts w:ascii="Times New Roman" w:eastAsia="Times New Roman" w:hAnsi="Times New Roman" w:cs="Times New Roman"/>
          <w:sz w:val="24"/>
          <w:szCs w:val="24"/>
        </w:rPr>
        <w:t xml:space="preserve">, nakon čega je trebalo izvršiti sanaciju. </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novijim podacima dostavljenim za potrebe izrade ovog Plana, lokacija nije privedena namjeni i funkcionalan sistem upravljanja neopasnim građevinskim otpadom nije uspostavljen. Istovremeno, razmatra se mogućnost određivanja odgovarajuće mikrolokacije u okviru iste katastarske površine, a radi sagledavanja odgovarajućeg rješenja formirana je posebna Komisija. Zbog toga se ranije određeno „Gradinsko polje“ u ovom Planu tretira kao </w:t>
      </w:r>
      <w:r w:rsidRPr="00615350">
        <w:rPr>
          <w:rFonts w:ascii="Times New Roman" w:eastAsia="Times New Roman" w:hAnsi="Times New Roman" w:cs="Times New Roman"/>
          <w:b/>
          <w:bCs/>
          <w:sz w:val="24"/>
          <w:szCs w:val="24"/>
        </w:rPr>
        <w:t>polazna planska i dokumentaciona osnova, a ne kao postojeća funkcionalna lokacija ili unaprijed potvrđeno konačno rješenje</w:t>
      </w:r>
      <w:r w:rsidRPr="00615350">
        <w:rPr>
          <w:rFonts w:ascii="Times New Roman" w:eastAsia="Times New Roman" w:hAnsi="Times New Roman" w:cs="Times New Roman"/>
          <w:sz w:val="24"/>
          <w:szCs w:val="24"/>
        </w:rPr>
        <w:t xml:space="preserve">. </w:t>
      </w:r>
    </w:p>
    <w:p w:rsidR="006355E8" w:rsidRPr="00615350" w:rsidRDefault="006355E8" w:rsidP="00A25394">
      <w:pPr>
        <w:rPr>
          <w:rFonts w:ascii="Times New Roman" w:hAnsi="Times New Roman" w:cs="Times New Roman"/>
          <w:b/>
          <w:sz w:val="24"/>
        </w:rPr>
      </w:pPr>
      <w:r w:rsidRPr="00615350">
        <w:rPr>
          <w:rFonts w:ascii="Times New Roman" w:hAnsi="Times New Roman" w:cs="Times New Roman"/>
          <w:b/>
          <w:sz w:val="24"/>
        </w:rPr>
        <w:t>Određivanje i uređenje lokacije</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U planskom periodu potrebno je završiti postupak određivanja odgovarajuće lokacije, odnosno mikrolokacije, za prijem i privremeno skladištenje neopasnog građevinskog otpada, uz provjeru njene usklađenosti sa važećom prostorno-planskom dokumentacijom, propisima o upravljanju otpadom i zahtjevima zaštite životne sredine.</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Lokacija mora biti uređena tako da omogućava kontrolisan prijem, mjerenje, evidenciju i odvojeno skladištenje pojedinih vrsta otpada. Prema zahtjevima koji su već utvrđeni u dokumentaciji korišćenoj za izradu Plana, lokacija za privremeno skladištenje treba da bude </w:t>
      </w:r>
      <w:r w:rsidRPr="00615350">
        <w:rPr>
          <w:rFonts w:ascii="Times New Roman" w:eastAsia="Times New Roman" w:hAnsi="Times New Roman" w:cs="Times New Roman"/>
          <w:b/>
          <w:bCs/>
          <w:sz w:val="24"/>
          <w:szCs w:val="24"/>
        </w:rPr>
        <w:t>ograđena, opremljena vagom, sa organizovanom čuvarskom službom i službom za prijem otpada</w:t>
      </w:r>
      <w:r w:rsidRPr="00615350">
        <w:rPr>
          <w:rFonts w:ascii="Times New Roman" w:eastAsia="Times New Roman" w:hAnsi="Times New Roman" w:cs="Times New Roman"/>
          <w:sz w:val="24"/>
          <w:szCs w:val="24"/>
        </w:rPr>
        <w:t xml:space="preserve">, uz ispunjavanje drugih propisanih uslova zaštite životne sredine. </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Konačno tehničko uređenje lokacije – pristup, manipulativne površine, način skladištenja pojedinih frakcija i mjere zaštite zemljišta, površinskih i podzemnih voda – potrebno je utvrditi kroz odgovarajuću prostorno-plansku, tehničku i drugu dokumentaciju. Time se u Lokalnom planu ne prejudicira tehničko rješenje koje tek treba detaljno razraditi.</w:t>
      </w:r>
    </w:p>
    <w:p w:rsidR="006355E8" w:rsidRPr="00615350" w:rsidRDefault="006355E8" w:rsidP="00A25394">
      <w:pPr>
        <w:rPr>
          <w:rFonts w:ascii="Times New Roman" w:hAnsi="Times New Roman" w:cs="Times New Roman"/>
          <w:b/>
          <w:sz w:val="24"/>
        </w:rPr>
      </w:pPr>
      <w:r w:rsidRPr="00615350">
        <w:rPr>
          <w:rFonts w:ascii="Times New Roman" w:hAnsi="Times New Roman" w:cs="Times New Roman"/>
          <w:b/>
          <w:sz w:val="24"/>
        </w:rPr>
        <w:t>Prijem, razvrstavanje i evidencija</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lokaciji je potrebno uspostaviti kontrolisan prijem otpada i evidentiranje najmanje njegove vrste, količine i porijekla. Posebno je važno postojeću zbirnu evidenciju „zemlja, kamen i građevinski otpad“ zamijeniti preciznijom evidencijom prema vrstama otpada, jer dosadašnje količine ne omogućavaju pouzdano utvrđivanje mase pojedinačnih frakcija. Budući sistem treba da omogući prelazak sa pretežno procijenjenih na </w:t>
      </w:r>
      <w:r w:rsidRPr="00615350">
        <w:rPr>
          <w:rFonts w:ascii="Times New Roman" w:eastAsia="Times New Roman" w:hAnsi="Times New Roman" w:cs="Times New Roman"/>
          <w:b/>
          <w:bCs/>
          <w:sz w:val="24"/>
          <w:szCs w:val="24"/>
        </w:rPr>
        <w:t>stvarno vagane i provjerljive količine</w:t>
      </w:r>
      <w:r w:rsidRPr="00615350">
        <w:rPr>
          <w:rFonts w:ascii="Times New Roman" w:eastAsia="Times New Roman" w:hAnsi="Times New Roman" w:cs="Times New Roman"/>
          <w:sz w:val="24"/>
          <w:szCs w:val="24"/>
        </w:rPr>
        <w:t xml:space="preserve">. </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Građevinski otpad treba razvrstavati tako da se, gdje je primjenjivo, odvojeno izdvajaju </w:t>
      </w:r>
      <w:r w:rsidRPr="00615350">
        <w:rPr>
          <w:rFonts w:ascii="Times New Roman" w:eastAsia="Times New Roman" w:hAnsi="Times New Roman" w:cs="Times New Roman"/>
          <w:b/>
          <w:bCs/>
          <w:sz w:val="24"/>
          <w:szCs w:val="24"/>
        </w:rPr>
        <w:t>drvo, mineralne frakcije – beton, cigla, pločice, keramika i kamen, metal, staklo, plastika i gips</w:t>
      </w:r>
      <w:r w:rsidRPr="00615350">
        <w:rPr>
          <w:rFonts w:ascii="Times New Roman" w:eastAsia="Times New Roman" w:hAnsi="Times New Roman" w:cs="Times New Roman"/>
          <w:sz w:val="24"/>
          <w:szCs w:val="24"/>
        </w:rPr>
        <w:t xml:space="preserve">. Time se stvaraju uslovi da se materijali koji imaju upotrebnu vrijednost usmjere ka ponovnoj upotrebi, reciklaži ili drugoj materijalnoj preradi. </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Otpad koji sadrži ili za koji postoji sumnja da sadrži opasne materije ne smije se miješati niti tretirati kao neopasni građevinski otpad. Posebno se mora odvojeno postupati sa otpadom koji sadrži azbest. </w:t>
      </w:r>
    </w:p>
    <w:p w:rsidR="006355E8" w:rsidRPr="00615350" w:rsidRDefault="006355E8" w:rsidP="00A25394">
      <w:pPr>
        <w:rPr>
          <w:rFonts w:ascii="Times New Roman" w:hAnsi="Times New Roman" w:cs="Times New Roman"/>
          <w:b/>
          <w:sz w:val="24"/>
        </w:rPr>
      </w:pPr>
      <w:r w:rsidRPr="00615350">
        <w:rPr>
          <w:rFonts w:ascii="Times New Roman" w:hAnsi="Times New Roman" w:cs="Times New Roman"/>
          <w:b/>
          <w:sz w:val="24"/>
        </w:rPr>
        <w:t>Privremeno skladištenje i dalji tretman</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Lokacija za privremeno skladištenje </w:t>
      </w:r>
      <w:r w:rsidRPr="00615350">
        <w:rPr>
          <w:rFonts w:ascii="Times New Roman" w:eastAsia="Times New Roman" w:hAnsi="Times New Roman" w:cs="Times New Roman"/>
          <w:b/>
          <w:bCs/>
          <w:sz w:val="24"/>
          <w:szCs w:val="24"/>
        </w:rPr>
        <w:t>ne predstavlja mjesto konačnog odlaganja građevinskog otpada</w:t>
      </w:r>
      <w:r w:rsidRPr="00615350">
        <w:rPr>
          <w:rFonts w:ascii="Times New Roman" w:eastAsia="Times New Roman" w:hAnsi="Times New Roman" w:cs="Times New Roman"/>
          <w:sz w:val="24"/>
          <w:szCs w:val="24"/>
        </w:rPr>
        <w:t>. Njena osnovna funkcija je kontrolisani prijem, privremeno zadržavanje i razvrstavanje otpada prije njegovog daljeg usmjeravanja na ponovnu upotrebu, reciklažu, drugu materijalnu preradu ili, za dio koji nije moguće iskoristiti, odgovarajući postupak odstranjivanja.</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se sistem ne smije zasnivati na dugoročnom gomilanju građevinskog otpada. Potrebno je obezbijediti njegovo redovno dalje preuzimanje i usmjeravanje ka odgovarajućim postupcima upravljanja.</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Prioritet treba dati materijalnom iskorišćenju čistih mineralnih frakcija, kao što su beton, cigla, keramika i kamen, kao i izdvajanju metala, drveta i drugih materijala pogodnih za ponovnu upotrebu ili reciklažu.</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ovom Planu </w:t>
      </w:r>
      <w:r w:rsidRPr="00615350">
        <w:rPr>
          <w:rFonts w:ascii="Times New Roman" w:eastAsia="Times New Roman" w:hAnsi="Times New Roman" w:cs="Times New Roman"/>
          <w:b/>
          <w:bCs/>
          <w:sz w:val="24"/>
          <w:szCs w:val="24"/>
        </w:rPr>
        <w:t>ne utvrđuje se kao obavezujuće rješenje izgradnja stalnog postrojenja za obradu građevinskog otpada u Beranama</w:t>
      </w:r>
      <w:r w:rsidRPr="00615350">
        <w:rPr>
          <w:rFonts w:ascii="Times New Roman" w:eastAsia="Times New Roman" w:hAnsi="Times New Roman" w:cs="Times New Roman"/>
          <w:sz w:val="24"/>
          <w:szCs w:val="24"/>
        </w:rPr>
        <w:t>, jer raspoloživi podaci o količinama i sastavu nijesu dovoljno precizni za dimenzionisanje takvog postrojenja. Mogućnost mehaničke obrade, uključujući mobilnu obradu mineralnih frakcija, angažovanje ovlašćenog operatera ili drugo tehnički i ekonomski opravdano rješenje, treba razmotriti nakon uspostavljanja pouzdanog vaganja i evidencije količina.</w:t>
      </w:r>
    </w:p>
    <w:p w:rsidR="006355E8" w:rsidRPr="00615350" w:rsidRDefault="006355E8" w:rsidP="00A25394">
      <w:pPr>
        <w:rPr>
          <w:rFonts w:ascii="Times New Roman" w:hAnsi="Times New Roman" w:cs="Times New Roman"/>
          <w:b/>
          <w:sz w:val="24"/>
        </w:rPr>
      </w:pPr>
      <w:r w:rsidRPr="00615350">
        <w:rPr>
          <w:rFonts w:ascii="Times New Roman" w:hAnsi="Times New Roman" w:cs="Times New Roman"/>
          <w:b/>
          <w:sz w:val="24"/>
        </w:rPr>
        <w:t>Veza sa sanacijom neuređenih odlagališta</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Uspostavljanje funkcionalne lokacije mora biti povezano sa sanacijom postojećih neuređenih odlagališta. Poseban prioritet predstavljaju lokacije uz Lim i druge vodotoke, gdje nekontrolisano odlaganje građevinskog otpada može dodatno ugroziti vodne i priobalne ekosisteme.</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 uklanjanju postojećeg građevinskog otpada, materijale pogodne za ponovno korišćenje ili materijalnu preradu treba, gdje je to moguće i dozvoljeno, izdvojiti od ostatka otpada i usmjeriti na odgovarajuće postupanje.</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Sama sanacija postojećih lokacija, bez istovremenog uspostavljanja dostupnog sistema za zakonitu predaju građevinskog otpada, ne predstavlja trajno rješenje. Postojeća dokumentacija upravo ukazuje na rizik ponovnog formiranja neuređenih odlagališta nakon njihovog čišćenja. </w:t>
      </w:r>
    </w:p>
    <w:p w:rsidR="006355E8" w:rsidRPr="00615350" w:rsidRDefault="006355E8" w:rsidP="00A25394">
      <w:pPr>
        <w:rPr>
          <w:rFonts w:ascii="Times New Roman" w:hAnsi="Times New Roman" w:cs="Times New Roman"/>
          <w:b/>
          <w:sz w:val="24"/>
        </w:rPr>
      </w:pPr>
      <w:r w:rsidRPr="00615350">
        <w:rPr>
          <w:rFonts w:ascii="Times New Roman" w:hAnsi="Times New Roman" w:cs="Times New Roman"/>
          <w:b/>
          <w:sz w:val="24"/>
        </w:rPr>
        <w:t>Plansko opredjeljenje</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kraja planskog perioda potrebno je uspostaviti </w:t>
      </w:r>
      <w:r w:rsidRPr="00615350">
        <w:rPr>
          <w:rFonts w:ascii="Times New Roman" w:eastAsia="Times New Roman" w:hAnsi="Times New Roman" w:cs="Times New Roman"/>
          <w:b/>
          <w:bCs/>
          <w:sz w:val="24"/>
          <w:szCs w:val="24"/>
        </w:rPr>
        <w:t>zakonito određenu, uređenu i funkcionalnu lokaciju za kontrolisani prijem i privremeno skladištenje neopasnog građevinskog otpada</w:t>
      </w:r>
      <w:r w:rsidRPr="00615350">
        <w:rPr>
          <w:rFonts w:ascii="Times New Roman" w:eastAsia="Times New Roman" w:hAnsi="Times New Roman" w:cs="Times New Roman"/>
          <w:sz w:val="24"/>
          <w:szCs w:val="24"/>
        </w:rPr>
        <w:t>, sa vaganjem, razvrstavanjem i pouzdanom evidencijom prihvaćenih količina.</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Istovremeno je potrebno obezbijediti da se prihvaćeni otpad redovno usmjerava ka ponovnoj upotrebi, reciklaži i drugim odgovarajućim oblicima materijalne prerade, kako privremeno skladištenje ne bi preraslo u trajno odlaganje.</w:t>
      </w:r>
    </w:p>
    <w:p w:rsidR="006355E8" w:rsidRPr="00615350" w:rsidRDefault="006355E8"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Ranije određeno </w:t>
      </w:r>
      <w:r w:rsidRPr="00615350">
        <w:rPr>
          <w:rFonts w:ascii="Times New Roman" w:eastAsia="Times New Roman" w:hAnsi="Times New Roman" w:cs="Times New Roman"/>
          <w:b/>
          <w:bCs/>
          <w:sz w:val="24"/>
          <w:szCs w:val="24"/>
        </w:rPr>
        <w:t>„Gradinsko polje“ ostaje polazna planska i dokumentaciona osnova</w:t>
      </w:r>
      <w:r w:rsidRPr="00615350">
        <w:rPr>
          <w:rFonts w:ascii="Times New Roman" w:eastAsia="Times New Roman" w:hAnsi="Times New Roman" w:cs="Times New Roman"/>
          <w:sz w:val="24"/>
          <w:szCs w:val="24"/>
        </w:rPr>
        <w:t>, dok konačnu lokaciju odnosno mikrolokaciju treba potvrditi kroz postupak koji je Opština već pokrenula, uz usklađivanje sa prostorno-planskim, zakonskim, tehničkim i zahtjevima zaštite životne sredine.</w:t>
      </w:r>
    </w:p>
    <w:p w:rsidR="00A66222" w:rsidRPr="00615350" w:rsidRDefault="00A66222" w:rsidP="00C34216">
      <w:pPr>
        <w:pStyle w:val="Heading2"/>
        <w:rPr>
          <w:rFonts w:eastAsia="Times New Roman"/>
        </w:rPr>
      </w:pPr>
      <w:bookmarkStart w:id="59" w:name="_Toc240282317"/>
      <w:r w:rsidRPr="00615350">
        <w:rPr>
          <w:rFonts w:eastAsia="Times New Roman"/>
        </w:rPr>
        <w:lastRenderedPageBreak/>
        <w:t>7.3. Ponovna upotreba, reciklaža i druga materijalna prerada</w:t>
      </w:r>
      <w:bookmarkEnd w:id="59"/>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skladu sa hijerarhijom upravljanja otpadom, neopasni građevinski otpad ne treba posmatrati prvenstveno kao otpad namijenjen odlaganju, već kao potencijalni izvor sekundarnih materijala koji se, nakon odgovarajućeg razvrstavanja i obrade, mogu ponovo upotrijebiti, reciklirati ili na drugi način materijalno iskoristiti.</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Zakon o upravljanju otpadom propisuje da se do 2030. godine najmanje </w:t>
      </w:r>
      <w:r w:rsidRPr="00615350">
        <w:rPr>
          <w:rFonts w:ascii="Times New Roman" w:eastAsia="Times New Roman" w:hAnsi="Times New Roman" w:cs="Times New Roman"/>
          <w:b/>
          <w:bCs/>
          <w:sz w:val="24"/>
          <w:szCs w:val="24"/>
        </w:rPr>
        <w:t>70% mase sakupljenog neopasnog građevinskog otpada</w:t>
      </w:r>
      <w:r w:rsidRPr="00615350">
        <w:rPr>
          <w:rFonts w:ascii="Times New Roman" w:eastAsia="Times New Roman" w:hAnsi="Times New Roman" w:cs="Times New Roman"/>
          <w:sz w:val="24"/>
          <w:szCs w:val="24"/>
        </w:rPr>
        <w:t xml:space="preserve"> pripremi za ponovnu upotrebu, recikliranje i druge načine materijalne prerade, uključujući postupke popunjavanja u kojima se otpad koristi kao zamjena za druge materijale. Iz obračuna ovog cilja isključuje se materijal iz prirode označen brojem </w:t>
      </w:r>
      <w:r w:rsidRPr="00615350">
        <w:rPr>
          <w:rFonts w:ascii="Times New Roman" w:eastAsia="Times New Roman" w:hAnsi="Times New Roman" w:cs="Times New Roman"/>
          <w:b/>
          <w:bCs/>
          <w:sz w:val="24"/>
          <w:szCs w:val="24"/>
        </w:rPr>
        <w:t>17 05 04</w:t>
      </w:r>
      <w:r w:rsidRPr="00615350">
        <w:rPr>
          <w:rFonts w:ascii="Times New Roman" w:eastAsia="Times New Roman" w:hAnsi="Times New Roman" w:cs="Times New Roman"/>
          <w:sz w:val="24"/>
          <w:szCs w:val="24"/>
        </w:rPr>
        <w:t xml:space="preserve"> u listi otpada. </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Zakonom je, takođe, propisano da se od 1. januara 2025. godine selektivno izdvajaju pojedine frakcije građevinskog otpada, i to: </w:t>
      </w:r>
      <w:r w:rsidRPr="00615350">
        <w:rPr>
          <w:rFonts w:ascii="Times New Roman" w:eastAsia="Times New Roman" w:hAnsi="Times New Roman" w:cs="Times New Roman"/>
          <w:b/>
          <w:bCs/>
          <w:sz w:val="24"/>
          <w:szCs w:val="24"/>
        </w:rPr>
        <w:t>drvo, mineralne frakcije – beton, cigla, pločice, keramika i kamen, metal, staklo, plastika i gips</w:t>
      </w:r>
      <w:r w:rsidRPr="00615350">
        <w:rPr>
          <w:rFonts w:ascii="Times New Roman" w:eastAsia="Times New Roman" w:hAnsi="Times New Roman" w:cs="Times New Roman"/>
          <w:sz w:val="24"/>
          <w:szCs w:val="24"/>
        </w:rPr>
        <w:t xml:space="preserve">. </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DPUO 2025–2029. preuzima cilj od najmanje 70% materijalnog iskorišćenja neopasnog građevinskog otpada do 2030. godine. Za Opštinu Berane ovaj cilj predstavlja pravac razvoja sistema koji se uspostavlja tokom planskog perioda 2026–2029. godine, dok je prioritet Lokalnog plana da do kraja 2029. obezbijedi tehničke, organizacione i evidencione uslove za njegovo ostvarivanje.</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raspoloživim lokalnim podacima DOO „Komunalno“, u 2024. godini evidentirano je oko </w:t>
      </w:r>
      <w:r w:rsidRPr="00615350">
        <w:rPr>
          <w:rFonts w:ascii="Times New Roman" w:eastAsia="Times New Roman" w:hAnsi="Times New Roman" w:cs="Times New Roman"/>
          <w:b/>
          <w:bCs/>
          <w:sz w:val="24"/>
          <w:szCs w:val="24"/>
        </w:rPr>
        <w:t>1.650 t zemlje, kamena i građevinskog otpada</w:t>
      </w:r>
      <w:r w:rsidRPr="00615350">
        <w:rPr>
          <w:rFonts w:ascii="Times New Roman" w:eastAsia="Times New Roman" w:hAnsi="Times New Roman" w:cs="Times New Roman"/>
          <w:sz w:val="24"/>
          <w:szCs w:val="24"/>
        </w:rPr>
        <w:t xml:space="preserve">, dok je u 2025. godini evidentirano oko </w:t>
      </w:r>
      <w:r w:rsidRPr="00615350">
        <w:rPr>
          <w:rFonts w:ascii="Times New Roman" w:eastAsia="Times New Roman" w:hAnsi="Times New Roman" w:cs="Times New Roman"/>
          <w:b/>
          <w:bCs/>
          <w:sz w:val="24"/>
          <w:szCs w:val="24"/>
        </w:rPr>
        <w:t>1.760 t</w:t>
      </w:r>
      <w:r w:rsidRPr="00615350">
        <w:rPr>
          <w:rFonts w:ascii="Times New Roman" w:eastAsia="Times New Roman" w:hAnsi="Times New Roman" w:cs="Times New Roman"/>
          <w:sz w:val="24"/>
          <w:szCs w:val="24"/>
        </w:rPr>
        <w:t xml:space="preserve">. Ove količine predstavljaju zbirnu operativnu evidenciju i ne mogu se poistovjetiti sa precizno utvrđenom količinom isključivo neopasnog građevinskog otpada. Zbog toga trenutno nije moguće pouzdano utvrditi ni postojeću stopu njegove ponovne upotrebe, reciklaže i druge materijalne prerade. </w:t>
      </w:r>
    </w:p>
    <w:p w:rsidR="00A66222" w:rsidRPr="00615350" w:rsidRDefault="00A66222" w:rsidP="00C51050">
      <w:pPr>
        <w:rPr>
          <w:rFonts w:ascii="Times New Roman" w:hAnsi="Times New Roman" w:cs="Times New Roman"/>
          <w:b/>
          <w:sz w:val="24"/>
        </w:rPr>
      </w:pPr>
      <w:r w:rsidRPr="00615350">
        <w:rPr>
          <w:rFonts w:ascii="Times New Roman" w:hAnsi="Times New Roman" w:cs="Times New Roman"/>
          <w:b/>
          <w:sz w:val="24"/>
        </w:rPr>
        <w:t>Prioritetne frakcije za materijalno iskorišćenje</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Najveći potencijal za ponovnu upotrebu i preradu imaju mineralne frakcije građevinskog otpada, naročito:</w:t>
      </w:r>
    </w:p>
    <w:p w:rsidR="00A66222" w:rsidRPr="00615350" w:rsidRDefault="00A66222" w:rsidP="00C1197A">
      <w:pPr>
        <w:numPr>
          <w:ilvl w:val="0"/>
          <w:numId w:val="2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beton; </w:t>
      </w:r>
    </w:p>
    <w:p w:rsidR="00A66222" w:rsidRPr="00615350" w:rsidRDefault="00A66222" w:rsidP="00C1197A">
      <w:pPr>
        <w:numPr>
          <w:ilvl w:val="0"/>
          <w:numId w:val="2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cigla; </w:t>
      </w:r>
    </w:p>
    <w:p w:rsidR="00A66222" w:rsidRPr="00615350" w:rsidRDefault="00A66222" w:rsidP="00C1197A">
      <w:pPr>
        <w:numPr>
          <w:ilvl w:val="0"/>
          <w:numId w:val="2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crijep, pločice i keramika; </w:t>
      </w:r>
    </w:p>
    <w:p w:rsidR="00A66222" w:rsidRPr="00615350" w:rsidRDefault="00A66222" w:rsidP="00C1197A">
      <w:pPr>
        <w:numPr>
          <w:ilvl w:val="0"/>
          <w:numId w:val="2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kamen; </w:t>
      </w:r>
    </w:p>
    <w:p w:rsidR="00A66222" w:rsidRPr="00615350" w:rsidRDefault="00A66222" w:rsidP="00C1197A">
      <w:pPr>
        <w:numPr>
          <w:ilvl w:val="0"/>
          <w:numId w:val="2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odgovarajuće nekontaminirane asfaltne frakcije; </w:t>
      </w:r>
    </w:p>
    <w:p w:rsidR="00A66222" w:rsidRPr="00615350" w:rsidRDefault="00A66222" w:rsidP="00C1197A">
      <w:pPr>
        <w:numPr>
          <w:ilvl w:val="0"/>
          <w:numId w:val="2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zemlja i iskopni materijal, kada ispunjavaju uslove za odgovarajuću upotrebu. </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Pored mineralnih frakcija, potrebno je odvojeno izdvajati metal, drvo, staklo, plastiku i gips, u skladu sa zakonskim zahtjevima.</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Odvojeno sakupljanje i razvrstavanje predstavljaju osnovni preduslov za dalje materijalno iskorišćenje. Miješanje građevinskog otpada sa komunalnim otpadom, opasnim materijama ili drugim neodgovarajućim tokovima smanjuje mogućnost njegove ponovne upotrebe i reciklaže i povećava troškove postupanja.</w:t>
      </w:r>
    </w:p>
    <w:p w:rsidR="00A66222" w:rsidRPr="00615350" w:rsidRDefault="00A66222" w:rsidP="00C51050">
      <w:pPr>
        <w:rPr>
          <w:rFonts w:ascii="Times New Roman" w:hAnsi="Times New Roman" w:cs="Times New Roman"/>
          <w:b/>
          <w:sz w:val="24"/>
        </w:rPr>
      </w:pPr>
      <w:r w:rsidRPr="00615350">
        <w:rPr>
          <w:rFonts w:ascii="Times New Roman" w:hAnsi="Times New Roman" w:cs="Times New Roman"/>
          <w:b/>
          <w:sz w:val="24"/>
        </w:rPr>
        <w:t>Ponovna upotreba i materijalna prerada</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Čiste i odgovarajuće razvrstane mineralne frakcije mogu se, nakon potrebne obrade i provjere kvaliteta, koristiti kao zamjena za prirodne materijale tamo gdje je takva upotreba tehnički dozvoljena i ekološki prihvatljiva.</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Moguće namjene obrađenog materijala mogu obuhvatiti:</w:t>
      </w:r>
    </w:p>
    <w:p w:rsidR="00A66222" w:rsidRPr="00615350" w:rsidRDefault="00A66222" w:rsidP="00C1197A">
      <w:pPr>
        <w:numPr>
          <w:ilvl w:val="0"/>
          <w:numId w:val="2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nasipanje i popunjavanje; </w:t>
      </w:r>
    </w:p>
    <w:p w:rsidR="00A66222" w:rsidRPr="00615350" w:rsidRDefault="00A66222" w:rsidP="00C1197A">
      <w:pPr>
        <w:numPr>
          <w:ilvl w:val="0"/>
          <w:numId w:val="2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izradu tamponskih i podložnih slojeva; </w:t>
      </w:r>
    </w:p>
    <w:p w:rsidR="00A66222" w:rsidRPr="00615350" w:rsidRDefault="00A66222" w:rsidP="00C1197A">
      <w:pPr>
        <w:numPr>
          <w:ilvl w:val="0"/>
          <w:numId w:val="2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održavanje određenih lokalnih i nekategorisanih puteva; </w:t>
      </w:r>
    </w:p>
    <w:p w:rsidR="00A66222" w:rsidRPr="00615350" w:rsidRDefault="00A66222" w:rsidP="00C1197A">
      <w:pPr>
        <w:numPr>
          <w:ilvl w:val="0"/>
          <w:numId w:val="2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uređenje manipulativnih i radnih površina; </w:t>
      </w:r>
    </w:p>
    <w:p w:rsidR="00A66222" w:rsidRPr="00615350" w:rsidRDefault="00A66222" w:rsidP="00C1197A">
      <w:pPr>
        <w:numPr>
          <w:ilvl w:val="0"/>
          <w:numId w:val="2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druge odgovarajuće građevinske radove. </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Ponovna upotreba mora biti zasnovana na odgovarajućoj kontroli kvaliteta materijala i ne smije predstavljati prikriveno odlaganje otpada.</w:t>
      </w:r>
    </w:p>
    <w:p w:rsidR="00A66222" w:rsidRPr="00615350" w:rsidRDefault="00A66222" w:rsidP="00C51050">
      <w:pPr>
        <w:rPr>
          <w:rFonts w:ascii="Times New Roman" w:hAnsi="Times New Roman" w:cs="Times New Roman"/>
          <w:b/>
          <w:sz w:val="24"/>
        </w:rPr>
      </w:pPr>
      <w:r w:rsidRPr="00615350">
        <w:rPr>
          <w:rFonts w:ascii="Times New Roman" w:hAnsi="Times New Roman" w:cs="Times New Roman"/>
          <w:b/>
          <w:sz w:val="24"/>
        </w:rPr>
        <w:t>Mehanička obrada</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mineralne frakcije građevinskog otpada najčešći oblik pripreme za dalju upotrebu predstavlja mehanička obrada, prvenstveno </w:t>
      </w:r>
      <w:r w:rsidRPr="00615350">
        <w:rPr>
          <w:rFonts w:ascii="Times New Roman" w:eastAsia="Times New Roman" w:hAnsi="Times New Roman" w:cs="Times New Roman"/>
          <w:b/>
          <w:bCs/>
          <w:sz w:val="24"/>
          <w:szCs w:val="24"/>
        </w:rPr>
        <w:t>drobljenje i prosijavanje</w:t>
      </w:r>
      <w:r w:rsidRPr="00615350">
        <w:rPr>
          <w:rFonts w:ascii="Times New Roman" w:eastAsia="Times New Roman" w:hAnsi="Times New Roman" w:cs="Times New Roman"/>
          <w:sz w:val="24"/>
          <w:szCs w:val="24"/>
        </w:rPr>
        <w:t>, čime se dobijaju frakcije odgovarajuće granulacije.</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Berane u ovom trenutku nije opravdano unaprijed propisivati izgradnju stalnog postrojenja za drobljenje građevinskog otpada. Postojeći podaci još nijesu dovoljno precizni da bi se mogla pouzdano utvrditi stvarna količina i struktura materijala koji bi bio raspoloživ za obradu.</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je primjerenije da se u planskom periodu predvidi mogućnost:</w:t>
      </w:r>
    </w:p>
    <w:p w:rsidR="00A66222" w:rsidRPr="00615350" w:rsidRDefault="00A66222" w:rsidP="00C1197A">
      <w:pPr>
        <w:numPr>
          <w:ilvl w:val="0"/>
          <w:numId w:val="3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povremenog angažovanja mobilnog postrojenja za drobljenje; </w:t>
      </w:r>
    </w:p>
    <w:p w:rsidR="00A66222" w:rsidRPr="00615350" w:rsidRDefault="00A66222" w:rsidP="00C1197A">
      <w:pPr>
        <w:numPr>
          <w:ilvl w:val="0"/>
          <w:numId w:val="3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angažovanja ovlašćenog operatera; </w:t>
      </w:r>
    </w:p>
    <w:p w:rsidR="00A66222" w:rsidRPr="00615350" w:rsidRDefault="00A66222" w:rsidP="00C1197A">
      <w:pPr>
        <w:numPr>
          <w:ilvl w:val="0"/>
          <w:numId w:val="3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prerade otpada na drugoj odgovarajućoj lokaciji; </w:t>
      </w:r>
    </w:p>
    <w:p w:rsidR="00A66222" w:rsidRPr="00615350" w:rsidRDefault="00A66222" w:rsidP="00C1197A">
      <w:pPr>
        <w:numPr>
          <w:ilvl w:val="0"/>
          <w:numId w:val="3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zajedničkog ili regionalnog rješenja, ukoliko se pokaže tehnički i ekonomski opravdanim. </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Izbor konkretnog modela treba zasnivati na stvarno izmjerenim količinama, sastavu otpada, troškovima transporta i prerade i raspoloživim tržišnim mogućnostima za korišćenje dobijenih sekundarnih materijala.</w:t>
      </w:r>
    </w:p>
    <w:p w:rsidR="00A66222" w:rsidRPr="00615350" w:rsidRDefault="00A66222" w:rsidP="00C51050">
      <w:pPr>
        <w:rPr>
          <w:rFonts w:ascii="Times New Roman" w:hAnsi="Times New Roman" w:cs="Times New Roman"/>
          <w:b/>
          <w:sz w:val="24"/>
        </w:rPr>
      </w:pPr>
      <w:r w:rsidRPr="00615350">
        <w:rPr>
          <w:rFonts w:ascii="Times New Roman" w:hAnsi="Times New Roman" w:cs="Times New Roman"/>
          <w:b/>
          <w:sz w:val="24"/>
        </w:rPr>
        <w:lastRenderedPageBreak/>
        <w:t>Uloga ovlašćenih operatera</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Nije potrebno da Opština Berane ili DOO „Komunalno“ razvijaju sopstvene kapacitete za konačni tretman svih izdvojenih frakcija.</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Osnovna uloga lokalnog sistema treba da bude obezbjeđivanje:</w:t>
      </w:r>
    </w:p>
    <w:p w:rsidR="00A66222" w:rsidRPr="00615350" w:rsidRDefault="00A66222" w:rsidP="00C1197A">
      <w:pPr>
        <w:numPr>
          <w:ilvl w:val="0"/>
          <w:numId w:val="3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kontrolisanog prijema otpada; </w:t>
      </w:r>
    </w:p>
    <w:p w:rsidR="00A66222" w:rsidRPr="00615350" w:rsidRDefault="00A66222" w:rsidP="00C1197A">
      <w:pPr>
        <w:numPr>
          <w:ilvl w:val="0"/>
          <w:numId w:val="3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vaganja; </w:t>
      </w:r>
    </w:p>
    <w:p w:rsidR="00A66222" w:rsidRPr="00615350" w:rsidRDefault="00A66222" w:rsidP="00C1197A">
      <w:pPr>
        <w:numPr>
          <w:ilvl w:val="0"/>
          <w:numId w:val="3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razvrstavanja; </w:t>
      </w:r>
    </w:p>
    <w:p w:rsidR="00A66222" w:rsidRPr="00615350" w:rsidRDefault="00A66222" w:rsidP="00C1197A">
      <w:pPr>
        <w:numPr>
          <w:ilvl w:val="0"/>
          <w:numId w:val="3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odgovarajućeg privremenog skladištenja; </w:t>
      </w:r>
    </w:p>
    <w:p w:rsidR="00A66222" w:rsidRPr="00615350" w:rsidRDefault="00A66222" w:rsidP="00C1197A">
      <w:pPr>
        <w:numPr>
          <w:ilvl w:val="0"/>
          <w:numId w:val="3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vođenja evidencije; </w:t>
      </w:r>
    </w:p>
    <w:p w:rsidR="00A66222" w:rsidRPr="00615350" w:rsidRDefault="00A66222" w:rsidP="00C1197A">
      <w:pPr>
        <w:numPr>
          <w:ilvl w:val="0"/>
          <w:numId w:val="3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zakonite predaje izdvojenih materijala ovlašćenim operaterima. </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Frakcije kao što su metal, drvo, plastika, staklo i drugi materijali sa tržišnom vrijednošću mogu se usmjeravati ovlašćenim sakupljačima i reciklerima, čime se smanjuje potreba za razvijanjem svih oblika tretmana na lokalnom nivou.</w:t>
      </w:r>
    </w:p>
    <w:p w:rsidR="00A66222" w:rsidRPr="00615350" w:rsidRDefault="00A66222" w:rsidP="00C51050">
      <w:pPr>
        <w:rPr>
          <w:rFonts w:ascii="Times New Roman" w:hAnsi="Times New Roman" w:cs="Times New Roman"/>
          <w:b/>
          <w:sz w:val="24"/>
        </w:rPr>
      </w:pPr>
      <w:r w:rsidRPr="00615350">
        <w:rPr>
          <w:rFonts w:ascii="Times New Roman" w:hAnsi="Times New Roman" w:cs="Times New Roman"/>
          <w:b/>
          <w:sz w:val="24"/>
        </w:rPr>
        <w:t>Postepeno približavanje cilju od 70%</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 obzirom na to da planski period ovog Lokalnog plana završava 2029. godine, a zakonski cilj od najmanje </w:t>
      </w:r>
      <w:r w:rsidRPr="00615350">
        <w:rPr>
          <w:rFonts w:ascii="Times New Roman" w:eastAsia="Times New Roman" w:hAnsi="Times New Roman" w:cs="Times New Roman"/>
          <w:b/>
          <w:bCs/>
          <w:sz w:val="24"/>
          <w:szCs w:val="24"/>
        </w:rPr>
        <w:t>70% materijalnog iskorišćenja</w:t>
      </w:r>
      <w:r w:rsidRPr="00615350">
        <w:rPr>
          <w:rFonts w:ascii="Times New Roman" w:eastAsia="Times New Roman" w:hAnsi="Times New Roman" w:cs="Times New Roman"/>
          <w:sz w:val="24"/>
          <w:szCs w:val="24"/>
        </w:rPr>
        <w:t xml:space="preserve"> odnosi se na 2030. godinu, osnovni zadatak LPUO nije da proizvoljno utvrđuje godišnje procente bez pouzdane polazne osnove, već da do kraja planskog perioda uspostavi sistem koji omogućava njihovo pouzdano praćenje i dalje povećavanje.</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Do kraja 2029. godine potrebno je uspostaviti:</w:t>
      </w:r>
    </w:p>
    <w:p w:rsidR="00A66222" w:rsidRPr="00615350" w:rsidRDefault="00A66222" w:rsidP="00C1197A">
      <w:pPr>
        <w:numPr>
          <w:ilvl w:val="0"/>
          <w:numId w:val="3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kontrolisani prijem neopasnog građevinskog otpada; </w:t>
      </w:r>
    </w:p>
    <w:p w:rsidR="00A66222" w:rsidRPr="00615350" w:rsidRDefault="00A66222" w:rsidP="00C1197A">
      <w:pPr>
        <w:numPr>
          <w:ilvl w:val="0"/>
          <w:numId w:val="3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vaganje svih primljenih količina; </w:t>
      </w:r>
    </w:p>
    <w:p w:rsidR="00A66222" w:rsidRPr="00615350" w:rsidRDefault="00A66222" w:rsidP="00C1197A">
      <w:pPr>
        <w:numPr>
          <w:ilvl w:val="0"/>
          <w:numId w:val="3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evidenciju po vrstama otpada u skladu sa katalogom otpada; </w:t>
      </w:r>
    </w:p>
    <w:p w:rsidR="00A66222" w:rsidRPr="00615350" w:rsidRDefault="00A66222" w:rsidP="00C1197A">
      <w:pPr>
        <w:numPr>
          <w:ilvl w:val="0"/>
          <w:numId w:val="3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selektivno izdvajanje glavnih frakcija; </w:t>
      </w:r>
    </w:p>
    <w:p w:rsidR="00A66222" w:rsidRPr="00615350" w:rsidRDefault="00A66222" w:rsidP="00C1197A">
      <w:pPr>
        <w:numPr>
          <w:ilvl w:val="0"/>
          <w:numId w:val="3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razdvajanje kontaminiranog i nekontaminiranog otpada; </w:t>
      </w:r>
    </w:p>
    <w:p w:rsidR="00A66222" w:rsidRPr="00615350" w:rsidRDefault="00A66222" w:rsidP="00C1197A">
      <w:pPr>
        <w:numPr>
          <w:ilvl w:val="0"/>
          <w:numId w:val="3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kanale za ponovnu upotrebu, reciklažu i drugu materijalnu preradu; </w:t>
      </w:r>
    </w:p>
    <w:p w:rsidR="00A66222" w:rsidRPr="00615350" w:rsidRDefault="00A66222" w:rsidP="00C1197A">
      <w:pPr>
        <w:numPr>
          <w:ilvl w:val="0"/>
          <w:numId w:val="3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praćenje količine materijala koja je stvarno ponovno upotrijebljena, reciklirana ili drugačije materijalno iskorišćena. </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Uvođenje lokalnih godišnjih procentualnih ciljeva za 2026, 2027. i 2028. godinu nije opravdano dok se ne uspostave pouzdano vaganje i evidencija. Nakon formiranja početne baze podataka, moguće je godišnjim operativnim planovima postepeno povećavati udio materijalnog iskorišćenja prema zakonskom cilju za 2030. godinu.</w:t>
      </w:r>
    </w:p>
    <w:p w:rsidR="00A66222" w:rsidRPr="00615350" w:rsidRDefault="00A66222" w:rsidP="00C51050">
      <w:pPr>
        <w:rPr>
          <w:rFonts w:ascii="Times New Roman" w:hAnsi="Times New Roman" w:cs="Times New Roman"/>
          <w:b/>
          <w:sz w:val="24"/>
        </w:rPr>
      </w:pPr>
      <w:r w:rsidRPr="00615350">
        <w:rPr>
          <w:rFonts w:ascii="Times New Roman" w:hAnsi="Times New Roman" w:cs="Times New Roman"/>
          <w:b/>
          <w:sz w:val="24"/>
        </w:rPr>
        <w:t>Praćenje realizacije</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praćenje sistema potrebno je najmanje voditi evidenciju o:</w:t>
      </w:r>
    </w:p>
    <w:p w:rsidR="00A66222" w:rsidRPr="00615350" w:rsidRDefault="00A66222" w:rsidP="00C1197A">
      <w:pPr>
        <w:numPr>
          <w:ilvl w:val="0"/>
          <w:numId w:val="3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ukupnoj masi primljenog neopasnog građevinskog otpada; </w:t>
      </w:r>
    </w:p>
    <w:p w:rsidR="00A66222" w:rsidRPr="00615350" w:rsidRDefault="00A66222" w:rsidP="00C1197A">
      <w:pPr>
        <w:numPr>
          <w:ilvl w:val="0"/>
          <w:numId w:val="3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masi pojedinih izdvojenih mineralnih frakcija; </w:t>
      </w:r>
    </w:p>
    <w:p w:rsidR="00A66222" w:rsidRPr="00615350" w:rsidRDefault="00A66222" w:rsidP="00C1197A">
      <w:pPr>
        <w:numPr>
          <w:ilvl w:val="0"/>
          <w:numId w:val="3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masi izdvojenog metala, drveta, stakla, plastike i gipsa; </w:t>
      </w:r>
    </w:p>
    <w:p w:rsidR="00A66222" w:rsidRPr="00615350" w:rsidRDefault="00A66222" w:rsidP="00C1197A">
      <w:pPr>
        <w:numPr>
          <w:ilvl w:val="0"/>
          <w:numId w:val="3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količini otpada predatoj na reciklažu; </w:t>
      </w:r>
    </w:p>
    <w:p w:rsidR="00A66222" w:rsidRPr="00615350" w:rsidRDefault="00A66222" w:rsidP="00C1197A">
      <w:pPr>
        <w:numPr>
          <w:ilvl w:val="0"/>
          <w:numId w:val="3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količini materijala pripremljenog za ponovnu upotrebu; </w:t>
      </w:r>
    </w:p>
    <w:p w:rsidR="00A66222" w:rsidRPr="00615350" w:rsidRDefault="00A66222" w:rsidP="00C1197A">
      <w:pPr>
        <w:numPr>
          <w:ilvl w:val="0"/>
          <w:numId w:val="3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količini otpada materijalno prerađenog ili korišćenog u odgovarajućim postupcima popunjavanja; </w:t>
      </w:r>
    </w:p>
    <w:p w:rsidR="00A66222" w:rsidRPr="00615350" w:rsidRDefault="00A66222" w:rsidP="00C1197A">
      <w:pPr>
        <w:numPr>
          <w:ilvl w:val="0"/>
          <w:numId w:val="3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količini preostalog otpada koji nije materijalno iskorišćen. </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osnovu ovih podataka treba godišnje utvrđivati udio sakupljenog neopasnog građevinskog otpada koji je pripremljen za ponovnu upotrebu, recikliran ili na drugi način materijalno prerađen.</w:t>
      </w:r>
    </w:p>
    <w:p w:rsidR="00A66222" w:rsidRPr="00615350" w:rsidRDefault="00A66222" w:rsidP="00C51050">
      <w:pPr>
        <w:rPr>
          <w:rFonts w:ascii="Times New Roman" w:hAnsi="Times New Roman" w:cs="Times New Roman"/>
          <w:b/>
          <w:sz w:val="24"/>
        </w:rPr>
      </w:pPr>
      <w:r w:rsidRPr="00615350">
        <w:rPr>
          <w:rFonts w:ascii="Times New Roman" w:hAnsi="Times New Roman" w:cs="Times New Roman"/>
          <w:b/>
          <w:sz w:val="24"/>
        </w:rPr>
        <w:t>Plansko opredjeljenje</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kraja planskog perioda Opština Berane treba da uspostavi sistem u kojem se neopasni građevinski otpad ne sakuplja samo radi uklanjanja sa mjesta nastanka, već se nakon kontrolisanog prijema, vaganja i razvrstavanja u najvećoj tehnički i ekonomski opravdanoj mjeri usmjerava ka </w:t>
      </w:r>
      <w:r w:rsidRPr="00615350">
        <w:rPr>
          <w:rFonts w:ascii="Times New Roman" w:eastAsia="Times New Roman" w:hAnsi="Times New Roman" w:cs="Times New Roman"/>
          <w:b/>
          <w:bCs/>
          <w:sz w:val="24"/>
          <w:szCs w:val="24"/>
        </w:rPr>
        <w:t>ponovnoj upotrebi, reciklaži i drugim oblicima materijalne prerade</w:t>
      </w:r>
      <w:r w:rsidRPr="00615350">
        <w:rPr>
          <w:rFonts w:ascii="Times New Roman" w:eastAsia="Times New Roman" w:hAnsi="Times New Roman" w:cs="Times New Roman"/>
          <w:sz w:val="24"/>
          <w:szCs w:val="24"/>
        </w:rPr>
        <w:t>.</w:t>
      </w:r>
    </w:p>
    <w:p w:rsidR="00A66222" w:rsidRPr="00615350" w:rsidRDefault="00A66222"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taj način se tokom perioda 2026–2029. godine stvaraju osnovni tehnički, organizacioni i evidencioni uslovi za ostvarivanje zakonskog i DPUO cilja da se do 2030. godine najmanje </w:t>
      </w:r>
      <w:r w:rsidRPr="00615350">
        <w:rPr>
          <w:rFonts w:ascii="Times New Roman" w:eastAsia="Times New Roman" w:hAnsi="Times New Roman" w:cs="Times New Roman"/>
          <w:b/>
          <w:bCs/>
          <w:sz w:val="24"/>
          <w:szCs w:val="24"/>
        </w:rPr>
        <w:t>70% mase sakupljenog neopasnog građevinskog otpada</w:t>
      </w:r>
      <w:r w:rsidRPr="00615350">
        <w:rPr>
          <w:rFonts w:ascii="Times New Roman" w:eastAsia="Times New Roman" w:hAnsi="Times New Roman" w:cs="Times New Roman"/>
          <w:sz w:val="24"/>
          <w:szCs w:val="24"/>
        </w:rPr>
        <w:t xml:space="preserve"> pripremi za ponovnu upotrebu, recikliranje i drugu materijalnu preradu, uz istovremeno smanjenje količina građevinskog otpada koje završavaju na neuređenim lokacijama i uz obale vodotoka. </w:t>
      </w:r>
    </w:p>
    <w:p w:rsidR="00B4334C" w:rsidRPr="00615350" w:rsidRDefault="00B4334C" w:rsidP="00C34216">
      <w:pPr>
        <w:pStyle w:val="Heading1"/>
        <w:rPr>
          <w:rFonts w:eastAsia="Times New Roman"/>
        </w:rPr>
      </w:pPr>
      <w:bookmarkStart w:id="60" w:name="_Toc240282318"/>
      <w:r w:rsidRPr="00615350">
        <w:rPr>
          <w:rFonts w:eastAsia="Times New Roman"/>
        </w:rPr>
        <w:t>8. MJERE ZA SPRJEČAVANJE NASTANKA I SMANJENJE KOLIČINA OTPADA</w:t>
      </w:r>
      <w:bookmarkEnd w:id="60"/>
    </w:p>
    <w:p w:rsidR="00B4334C" w:rsidRPr="00615350" w:rsidRDefault="00B4334C" w:rsidP="00C34216">
      <w:pPr>
        <w:pStyle w:val="Heading2"/>
        <w:rPr>
          <w:rFonts w:eastAsia="Times New Roman"/>
        </w:rPr>
      </w:pPr>
      <w:bookmarkStart w:id="61" w:name="_Toc240282319"/>
      <w:r w:rsidRPr="00615350">
        <w:rPr>
          <w:rFonts w:eastAsia="Times New Roman"/>
        </w:rPr>
        <w:t>8.1. Sprječavanje nastanka i ponovna upotreba</w:t>
      </w:r>
      <w:bookmarkEnd w:id="61"/>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Sprječavanje nastanka otpada predstavlja prvi i najpoželjniji nivo hijerarhije upravljanja otpadom. Za razliku od reciklaže, koja podrazumijeva obradu već nastalog otpada, mjere prevencije usmjerene su na izbjegavanje nastanka otpada, smanjenje njegove količine i štetnih svojstava i produženje životnog vijeka proizvoda prije nego što postanu otpad.</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2025–2029. sadrži </w:t>
      </w:r>
      <w:r w:rsidRPr="00615350">
        <w:rPr>
          <w:rFonts w:ascii="Times New Roman" w:eastAsia="Times New Roman" w:hAnsi="Times New Roman" w:cs="Times New Roman"/>
          <w:b/>
          <w:bCs/>
          <w:sz w:val="24"/>
          <w:szCs w:val="24"/>
        </w:rPr>
        <w:t>Program sprječavanja nastanka otpada</w:t>
      </w:r>
      <w:r w:rsidRPr="00615350">
        <w:rPr>
          <w:rFonts w:ascii="Times New Roman" w:eastAsia="Times New Roman" w:hAnsi="Times New Roman" w:cs="Times New Roman"/>
          <w:sz w:val="24"/>
          <w:szCs w:val="24"/>
        </w:rPr>
        <w:t xml:space="preserve"> i razvoj sistema usmjerava ka smanjenju potrošnje resursa, ponovnoj upotrebi proizvoda, promjeni obrazaca proizvodnje i potrošnje i postepenom razvoju cirkularne ekonomije. Na lokalnom nivou to podrazumijeva da se upravljanje otpadom ne zasniva samo na sakupljanju i tretmanu već i na mjerama kojima se smanjuje količina otpada koja uopšte nastaje.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periodu 2026–2029. godine u Opštini Berane potrebno je razvijati mjere prevencije usmjerene prema domaćinstvima, javnom sektoru, privredi i organizatorima javnih događaja, </w:t>
      </w:r>
      <w:r w:rsidRPr="00615350">
        <w:rPr>
          <w:rFonts w:ascii="Times New Roman" w:eastAsia="Times New Roman" w:hAnsi="Times New Roman" w:cs="Times New Roman"/>
          <w:sz w:val="24"/>
          <w:szCs w:val="24"/>
        </w:rPr>
        <w:lastRenderedPageBreak/>
        <w:t>uz poseban naglasak na smanjenje jednokratnih proizvoda, produženje vijeka trajanja proizvoda i razvoj ponovne upotrebe.</w:t>
      </w:r>
    </w:p>
    <w:p w:rsidR="003651CB" w:rsidRPr="00615350" w:rsidRDefault="003651CB" w:rsidP="00191FB4">
      <w:pPr>
        <w:rPr>
          <w:rFonts w:ascii="Times New Roman" w:hAnsi="Times New Roman" w:cs="Times New Roman"/>
          <w:b/>
          <w:sz w:val="24"/>
        </w:rPr>
      </w:pPr>
      <w:r w:rsidRPr="00615350">
        <w:rPr>
          <w:rFonts w:ascii="Times New Roman" w:hAnsi="Times New Roman" w:cs="Times New Roman"/>
          <w:b/>
          <w:sz w:val="24"/>
        </w:rPr>
        <w:t>Smanjenje upotrebe jednokratnih proizvoda i ambalaže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Potrebno je podsticati korišćenje proizvoda za višekratnu upotrebu, povratne ambalaže gdje za to postoje uslovi, proizvoda sa manjom količinom ambalaže i drugih rješenja kojima se smanjuje količina otpada nakon potrošnje.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Posebno treba primjenjivati zakonske mjere koje se odnose na plastične kese. Zakon propisuje da je:</w:t>
      </w:r>
    </w:p>
    <w:p w:rsidR="003651CB" w:rsidRPr="00615350" w:rsidRDefault="003651CB" w:rsidP="00C1197A">
      <w:pPr>
        <w:numPr>
          <w:ilvl w:val="0"/>
          <w:numId w:val="2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zabranjena upotreba laganih plastičnih kesa za nošenje debljine zida od </w:t>
      </w:r>
      <w:r w:rsidRPr="00615350">
        <w:rPr>
          <w:rFonts w:ascii="Times New Roman" w:eastAsia="Times New Roman" w:hAnsi="Times New Roman" w:cs="Times New Roman"/>
          <w:b/>
          <w:bCs/>
          <w:sz w:val="24"/>
          <w:szCs w:val="24"/>
        </w:rPr>
        <w:t>15 do 50 mikrona</w:t>
      </w:r>
      <w:r w:rsidRPr="00615350">
        <w:rPr>
          <w:rFonts w:ascii="Times New Roman" w:eastAsia="Times New Roman" w:hAnsi="Times New Roman" w:cs="Times New Roman"/>
          <w:sz w:val="24"/>
          <w:szCs w:val="24"/>
        </w:rPr>
        <w:t xml:space="preserve"> na prodajnom mjestu robe ili proizvoda; </w:t>
      </w:r>
    </w:p>
    <w:p w:rsidR="003651CB" w:rsidRPr="00615350" w:rsidRDefault="003651CB" w:rsidP="00C1197A">
      <w:pPr>
        <w:numPr>
          <w:ilvl w:val="0"/>
          <w:numId w:val="2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dozvoljena upotreba kesa debljine do </w:t>
      </w:r>
      <w:r w:rsidRPr="00615350">
        <w:rPr>
          <w:rFonts w:ascii="Times New Roman" w:eastAsia="Times New Roman" w:hAnsi="Times New Roman" w:cs="Times New Roman"/>
          <w:b/>
          <w:bCs/>
          <w:sz w:val="24"/>
          <w:szCs w:val="24"/>
        </w:rPr>
        <w:t>15 mikrona</w:t>
      </w:r>
      <w:r w:rsidRPr="00615350">
        <w:rPr>
          <w:rFonts w:ascii="Times New Roman" w:eastAsia="Times New Roman" w:hAnsi="Times New Roman" w:cs="Times New Roman"/>
          <w:sz w:val="24"/>
          <w:szCs w:val="24"/>
        </w:rPr>
        <w:t xml:space="preserve"> na mjestu za pakovanje robe ili proizvoda; </w:t>
      </w:r>
    </w:p>
    <w:p w:rsidR="003651CB" w:rsidRPr="00615350" w:rsidRDefault="003651CB" w:rsidP="00C1197A">
      <w:pPr>
        <w:numPr>
          <w:ilvl w:val="0"/>
          <w:numId w:val="2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kese debljine </w:t>
      </w:r>
      <w:r w:rsidRPr="00615350">
        <w:rPr>
          <w:rFonts w:ascii="Times New Roman" w:eastAsia="Times New Roman" w:hAnsi="Times New Roman" w:cs="Times New Roman"/>
          <w:b/>
          <w:bCs/>
          <w:sz w:val="24"/>
          <w:szCs w:val="24"/>
        </w:rPr>
        <w:t>preko 50 mikrona</w:t>
      </w:r>
      <w:r w:rsidRPr="00615350">
        <w:rPr>
          <w:rFonts w:ascii="Times New Roman" w:eastAsia="Times New Roman" w:hAnsi="Times New Roman" w:cs="Times New Roman"/>
          <w:sz w:val="24"/>
          <w:szCs w:val="24"/>
        </w:rPr>
        <w:t xml:space="preserve"> propisano plaćanje naknade.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Uloga lokalnog nivoa u ovoj oblasti prvenstveno je u informisanju građana i privrede, podsticanju korišćenja višekratnih alternativa i povezivanju lokalnih aktivnosti sa nacionalnim sistemima upravljanja ambalažom i plastičnim proizvodima za jednokratnu upotrebu. Zakon za određene plastične proizvode propisuje uključivanje proizvođača u organizovane sisteme preuzimanja, sakupljanja i obrade, pa lokalne mjere treba razvijati kao dopunu tim sistemima. </w:t>
      </w:r>
    </w:p>
    <w:p w:rsidR="003651CB" w:rsidRPr="00615350" w:rsidRDefault="003651CB" w:rsidP="00191FB4">
      <w:pPr>
        <w:rPr>
          <w:rFonts w:ascii="Times New Roman" w:hAnsi="Times New Roman" w:cs="Times New Roman"/>
          <w:b/>
          <w:sz w:val="24"/>
        </w:rPr>
      </w:pPr>
      <w:r w:rsidRPr="00615350">
        <w:rPr>
          <w:rFonts w:ascii="Times New Roman" w:hAnsi="Times New Roman" w:cs="Times New Roman"/>
          <w:b/>
          <w:sz w:val="24"/>
        </w:rPr>
        <w:t>Produženje vijeka trajanja i ponovna upotreba proizvoda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Značajan dio otpada može se spriječiti popravkom, održavanjem i ponovnom upotrebom proizvoda.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Potrebno je promovisati popravku i ponovnu upotrebu namještaja, kućnih aparata, bicikala, tekstila i drugih predmeta, kao i razvijati saradnju sa lokalnim servisima, zanatlijama, nevladinim i humanitarnim organizacijama.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Predmeti koji jednom korisniku više nijesu potrebni, ali su i dalje upotrebljivi, mogu se usmjeravati na:</w:t>
      </w:r>
    </w:p>
    <w:p w:rsidR="003651CB" w:rsidRPr="00615350" w:rsidRDefault="003651CB" w:rsidP="00C1197A">
      <w:pPr>
        <w:numPr>
          <w:ilvl w:val="0"/>
          <w:numId w:val="2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doniranje; </w:t>
      </w:r>
    </w:p>
    <w:p w:rsidR="003651CB" w:rsidRPr="00615350" w:rsidRDefault="003651CB" w:rsidP="00C1197A">
      <w:pPr>
        <w:numPr>
          <w:ilvl w:val="0"/>
          <w:numId w:val="2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razmjenu; </w:t>
      </w:r>
    </w:p>
    <w:p w:rsidR="003651CB" w:rsidRPr="00615350" w:rsidRDefault="003651CB" w:rsidP="00C1197A">
      <w:pPr>
        <w:numPr>
          <w:ilvl w:val="0"/>
          <w:numId w:val="2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popravku i ponovno korišćenje; </w:t>
      </w:r>
    </w:p>
    <w:p w:rsidR="003651CB" w:rsidRPr="00615350" w:rsidRDefault="003651CB" w:rsidP="00C1197A">
      <w:pPr>
        <w:numPr>
          <w:ilvl w:val="0"/>
          <w:numId w:val="2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druge organizovane programe ponovne upotrebe.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Poseban značaj ima planirani </w:t>
      </w:r>
      <w:r w:rsidRPr="00615350">
        <w:rPr>
          <w:rFonts w:ascii="Times New Roman" w:eastAsia="Times New Roman" w:hAnsi="Times New Roman" w:cs="Times New Roman"/>
          <w:b/>
          <w:bCs/>
          <w:sz w:val="24"/>
          <w:szCs w:val="24"/>
        </w:rPr>
        <w:t>reciklažni centar sa programom ponovne upotrebe</w:t>
      </w:r>
      <w:r w:rsidRPr="00615350">
        <w:rPr>
          <w:rFonts w:ascii="Times New Roman" w:eastAsia="Times New Roman" w:hAnsi="Times New Roman" w:cs="Times New Roman"/>
          <w:sz w:val="24"/>
          <w:szCs w:val="24"/>
        </w:rPr>
        <w:t>, u okviru kojeg treba, u zavisnosti od konačnog tehničkog rješenja, omogućiti izdvajanje upotrebljivih predmeta prije njihovog upućivanja na reciklažu ili odstranjivanje.</w:t>
      </w:r>
    </w:p>
    <w:p w:rsidR="003651CB" w:rsidRPr="00615350" w:rsidRDefault="003651CB" w:rsidP="00191FB4">
      <w:pPr>
        <w:rPr>
          <w:rFonts w:ascii="Times New Roman" w:hAnsi="Times New Roman" w:cs="Times New Roman"/>
          <w:b/>
          <w:sz w:val="24"/>
        </w:rPr>
      </w:pPr>
      <w:r w:rsidRPr="00615350">
        <w:rPr>
          <w:rFonts w:ascii="Times New Roman" w:hAnsi="Times New Roman" w:cs="Times New Roman"/>
          <w:b/>
          <w:sz w:val="24"/>
        </w:rPr>
        <w:lastRenderedPageBreak/>
        <w:t>Prevencija u javnoj upravi i ustanovama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Opština i javne ustanove treba da daju praktičan doprinos sprječavanju nastanka otpada kroz racionalnije korišćenje materijala i nabavke.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Mjere treba usmjeriti na:</w:t>
      </w:r>
    </w:p>
    <w:p w:rsidR="003651CB" w:rsidRPr="00615350" w:rsidRDefault="003651CB" w:rsidP="00C1197A">
      <w:pPr>
        <w:numPr>
          <w:ilvl w:val="0"/>
          <w:numId w:val="2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smanjenje potrošnje papira kroz digitalizaciju i dvostrano štampanje; </w:t>
      </w:r>
    </w:p>
    <w:p w:rsidR="003651CB" w:rsidRPr="00615350" w:rsidRDefault="003651CB" w:rsidP="00C1197A">
      <w:pPr>
        <w:numPr>
          <w:ilvl w:val="0"/>
          <w:numId w:val="2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korišćenje trajnog umjesto jednokratnog posuđa gdje je moguće; </w:t>
      </w:r>
    </w:p>
    <w:p w:rsidR="003651CB" w:rsidRPr="00615350" w:rsidRDefault="003651CB" w:rsidP="00C1197A">
      <w:pPr>
        <w:numPr>
          <w:ilvl w:val="0"/>
          <w:numId w:val="2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nabavku proizvoda sa dužim vijekom trajanja i mogućnošću popravke; </w:t>
      </w:r>
    </w:p>
    <w:p w:rsidR="003651CB" w:rsidRPr="00615350" w:rsidRDefault="003651CB" w:rsidP="00C1197A">
      <w:pPr>
        <w:numPr>
          <w:ilvl w:val="0"/>
          <w:numId w:val="2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ponovnu upotrebu kancelarijske i druge opreme; </w:t>
      </w:r>
    </w:p>
    <w:p w:rsidR="003651CB" w:rsidRPr="00615350" w:rsidRDefault="003651CB" w:rsidP="00C1197A">
      <w:pPr>
        <w:numPr>
          <w:ilvl w:val="0"/>
          <w:numId w:val="2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izbjegavanje nepotrebne zamjene funkcionalnih proizvoda.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postupcima javnih nabavki, gdje je to u skladu sa propisima i tehnički opravdano, treba razmatrati kriterijume koji podstiču duži vijek trajanja, mogućnost popravke, višekratnu upotrebu i smanjenje ambalaže.</w:t>
      </w:r>
    </w:p>
    <w:p w:rsidR="003651CB" w:rsidRPr="00615350" w:rsidRDefault="003651CB" w:rsidP="00191FB4">
      <w:pPr>
        <w:rPr>
          <w:rFonts w:ascii="Times New Roman" w:hAnsi="Times New Roman" w:cs="Times New Roman"/>
          <w:b/>
          <w:sz w:val="24"/>
        </w:rPr>
      </w:pPr>
      <w:r w:rsidRPr="00615350">
        <w:rPr>
          <w:rFonts w:ascii="Times New Roman" w:hAnsi="Times New Roman" w:cs="Times New Roman"/>
          <w:b/>
          <w:sz w:val="24"/>
        </w:rPr>
        <w:t>Javne manifestacije i saradnja sa privredom</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javnim manifestacijama i drugim događajima treba podsticati korišćenje višekratnog posuđa i čaša gdje postoje uslovi, smanjenje malih pojedinačnih pakovanja, odgovorno planiranje količina hrane i organizovanje odvojenog sakupljanja nastalog otpada.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Saradnja sa trgovinskim, ugostiteljskim i drugim privrednim subjektima treba biti usmjerena na smanjenje nepotrebne ambalaže, primjenu zakonskog režima za plastične kese, korišćenje proizvoda za višekratnu upotrebu, sprečavanje nastanka otpada od hrane i uključivanje odgovarajućih tokova u EPR sisteme.</w:t>
      </w:r>
    </w:p>
    <w:p w:rsidR="003651CB" w:rsidRPr="00615350" w:rsidRDefault="003651CB" w:rsidP="00191FB4">
      <w:pPr>
        <w:rPr>
          <w:rFonts w:ascii="Times New Roman" w:hAnsi="Times New Roman" w:cs="Times New Roman"/>
          <w:b/>
          <w:sz w:val="24"/>
        </w:rPr>
      </w:pPr>
      <w:r w:rsidRPr="00615350">
        <w:rPr>
          <w:rFonts w:ascii="Times New Roman" w:hAnsi="Times New Roman" w:cs="Times New Roman"/>
          <w:b/>
          <w:sz w:val="24"/>
        </w:rPr>
        <w:t>Informisanje i praćenje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Mjere prevencije treba pratiti kroz pokazatelje koji se mogu pouzdano evidentirati, kao što su:</w:t>
      </w:r>
    </w:p>
    <w:p w:rsidR="003651CB" w:rsidRPr="00615350" w:rsidRDefault="003651CB" w:rsidP="00C1197A">
      <w:pPr>
        <w:numPr>
          <w:ilvl w:val="0"/>
          <w:numId w:val="2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sprovedenih kampanja i edukativnih aktivnosti; </w:t>
      </w:r>
    </w:p>
    <w:p w:rsidR="003651CB" w:rsidRPr="00615350" w:rsidRDefault="003651CB" w:rsidP="00C1197A">
      <w:pPr>
        <w:numPr>
          <w:ilvl w:val="0"/>
          <w:numId w:val="2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javnih ustanova koje primjenjuju mjere prevencije; </w:t>
      </w:r>
    </w:p>
    <w:p w:rsidR="003651CB" w:rsidRPr="00615350" w:rsidRDefault="003651CB" w:rsidP="00C1197A">
      <w:pPr>
        <w:numPr>
          <w:ilvl w:val="0"/>
          <w:numId w:val="2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ili masa predmeta izdvojenih za ponovnu upotrebu; </w:t>
      </w:r>
    </w:p>
    <w:p w:rsidR="003651CB" w:rsidRPr="00615350" w:rsidRDefault="003651CB" w:rsidP="00C1197A">
      <w:pPr>
        <w:numPr>
          <w:ilvl w:val="0"/>
          <w:numId w:val="2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organizovanih akcija popravke, razmjene ili doniranja; </w:t>
      </w:r>
    </w:p>
    <w:p w:rsidR="003651CB" w:rsidRPr="00615350" w:rsidRDefault="003651CB" w:rsidP="00C1197A">
      <w:pPr>
        <w:numPr>
          <w:ilvl w:val="0"/>
          <w:numId w:val="2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korisnika uključenih u programe ponovne upotrebe.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Nakon uspostavljanja reciklažnog centra potrebno je posebno evidentirati vrste i količine predmeta izdvojenih i predatih za ponovnu upotrebu.</w:t>
      </w:r>
    </w:p>
    <w:p w:rsidR="003651CB" w:rsidRPr="00615350" w:rsidRDefault="003651CB" w:rsidP="00191FB4">
      <w:pPr>
        <w:rPr>
          <w:rFonts w:ascii="Times New Roman" w:hAnsi="Times New Roman" w:cs="Times New Roman"/>
          <w:b/>
          <w:sz w:val="24"/>
        </w:rPr>
      </w:pPr>
      <w:r w:rsidRPr="00615350">
        <w:rPr>
          <w:rFonts w:ascii="Times New Roman" w:hAnsi="Times New Roman" w:cs="Times New Roman"/>
          <w:b/>
          <w:sz w:val="24"/>
        </w:rPr>
        <w:t>Plansko opredjeljenje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U periodu 2026–2029. godine cilj je da se, paralelno sa razvojem odvojenog sakupljanja i reciklaže, </w:t>
      </w:r>
      <w:r w:rsidRPr="00615350">
        <w:rPr>
          <w:rFonts w:ascii="Times New Roman" w:eastAsia="Times New Roman" w:hAnsi="Times New Roman" w:cs="Times New Roman"/>
          <w:b/>
          <w:bCs/>
          <w:sz w:val="24"/>
          <w:szCs w:val="24"/>
        </w:rPr>
        <w:t>postepeno smanjuje nastanak otpada i produžava vijek trajanja proizvoda</w:t>
      </w:r>
      <w:r w:rsidRPr="00615350">
        <w:rPr>
          <w:rFonts w:ascii="Times New Roman" w:eastAsia="Times New Roman" w:hAnsi="Times New Roman" w:cs="Times New Roman"/>
          <w:sz w:val="24"/>
          <w:szCs w:val="24"/>
        </w:rPr>
        <w:t>.</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Prioritet treba dati mjerama koje mogu biti sprovedene bez velikih infrastrukturnih ulaganja: smanjenju korišćenja jednokratnih proizvoda i nepotrebne ambalaže, primjeni zakonskog režima za plastične kese, popravkama, doniranju, razmjeni, odgovornijim javnim nabavkama i informisanju stanovništva. Sa uspostavljanjem reciklažnog centra ove aktivnosti treba proširiti kroz organizovan program ponovne upotrebe.</w:t>
      </w:r>
    </w:p>
    <w:p w:rsidR="00B4334C" w:rsidRPr="00615350" w:rsidRDefault="00B4334C" w:rsidP="00C34216">
      <w:pPr>
        <w:pStyle w:val="Heading2"/>
        <w:rPr>
          <w:rFonts w:eastAsia="Times New Roman"/>
        </w:rPr>
      </w:pPr>
      <w:bookmarkStart w:id="62" w:name="_Toc240282320"/>
      <w:r w:rsidRPr="00615350">
        <w:rPr>
          <w:rFonts w:eastAsia="Times New Roman"/>
        </w:rPr>
        <w:t>8.2. Kućno kompostiranje i smanjenje otpada od hrane</w:t>
      </w:r>
      <w:bookmarkEnd w:id="62"/>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Biootpad predstavlja jedan od najznačajnijih tokova komunalnog otpada u Beranama. Lokalna morfološka analiza sprovedena tokom 2024. godine pokazala je da biorazgradiva frakcija čini prosječno </w:t>
      </w:r>
      <w:r w:rsidRPr="00615350">
        <w:rPr>
          <w:rFonts w:ascii="Times New Roman" w:eastAsia="Times New Roman" w:hAnsi="Times New Roman" w:cs="Times New Roman"/>
          <w:b/>
          <w:bCs/>
          <w:sz w:val="24"/>
          <w:szCs w:val="24"/>
        </w:rPr>
        <w:t>33,3%</w:t>
      </w:r>
      <w:r w:rsidRPr="00615350">
        <w:rPr>
          <w:rFonts w:ascii="Times New Roman" w:eastAsia="Times New Roman" w:hAnsi="Times New Roman" w:cs="Times New Roman"/>
          <w:sz w:val="24"/>
          <w:szCs w:val="24"/>
        </w:rPr>
        <w:t xml:space="preserve"> analiziranog komunalnog otpada. Istovremeno, prema podacima DOO „Komunalno“, u lokalnom sistemu se već izdvajaju određene količine zelenog, parkovskog i drugog biorazgradivog otpada, ali još nije potvrđeno postojanje funkcionalnog sistema organizovanog kompostiranja niti sistemskog programa kućnog kompostiranja.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Mjere u planskom periodu potrebno je razvijati u dva povezana pravca: </w:t>
      </w:r>
      <w:r w:rsidRPr="00615350">
        <w:rPr>
          <w:rFonts w:ascii="Times New Roman" w:eastAsia="Times New Roman" w:hAnsi="Times New Roman" w:cs="Times New Roman"/>
          <w:b/>
          <w:bCs/>
          <w:sz w:val="24"/>
          <w:szCs w:val="24"/>
        </w:rPr>
        <w:t>sprječavanje nastanka otpada od hrane i obrada biootpada na mjestu nastanka kroz kućno kompostiranje</w:t>
      </w:r>
      <w:r w:rsidRPr="00615350">
        <w:rPr>
          <w:rFonts w:ascii="Times New Roman" w:eastAsia="Times New Roman" w:hAnsi="Times New Roman" w:cs="Times New Roman"/>
          <w:sz w:val="24"/>
          <w:szCs w:val="24"/>
        </w:rPr>
        <w:t>, uz paralelno unapređenje odvojenog sakupljanja i biološkog tretmana zelenog i drugog biootpada.</w:t>
      </w:r>
    </w:p>
    <w:p w:rsidR="003651CB" w:rsidRPr="00615350" w:rsidRDefault="003651CB" w:rsidP="008B2616">
      <w:pPr>
        <w:rPr>
          <w:rFonts w:ascii="Times New Roman" w:hAnsi="Times New Roman" w:cs="Times New Roman"/>
          <w:b/>
          <w:sz w:val="24"/>
        </w:rPr>
      </w:pPr>
      <w:r w:rsidRPr="00615350">
        <w:rPr>
          <w:rFonts w:ascii="Times New Roman" w:hAnsi="Times New Roman" w:cs="Times New Roman"/>
          <w:b/>
          <w:sz w:val="24"/>
        </w:rPr>
        <w:t>Kućno kompostiranje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Kućno kompostiranje posebno je pogodno za individualna i ruralna domaćinstva koja raspolažu dvorištem ili baštom. Njime se odgovarajući kuhinjski i baštenski biootpad obrađuje na mjestu nastanka i ne ulazi u sistem sakupljanja i transporta komunalnog otpada.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lokalnoj projekciji iz poglavlja 4, potencijal biootpada u 2026. godini iznosi oko </w:t>
      </w:r>
      <w:r w:rsidRPr="00615350">
        <w:rPr>
          <w:rFonts w:ascii="Times New Roman" w:eastAsia="Times New Roman" w:hAnsi="Times New Roman" w:cs="Times New Roman"/>
          <w:b/>
          <w:bCs/>
          <w:sz w:val="24"/>
          <w:szCs w:val="24"/>
        </w:rPr>
        <w:t>3.004 t</w:t>
      </w:r>
      <w:r w:rsidRPr="00615350">
        <w:rPr>
          <w:rFonts w:ascii="Times New Roman" w:eastAsia="Times New Roman" w:hAnsi="Times New Roman" w:cs="Times New Roman"/>
          <w:sz w:val="24"/>
          <w:szCs w:val="24"/>
        </w:rPr>
        <w:t xml:space="preserve">. Primjena DPUO cilja od najmanje 4% na ovu količinu daje orijentacionu lokalnu vrijednost od približno </w:t>
      </w:r>
      <w:r w:rsidRPr="00615350">
        <w:rPr>
          <w:rFonts w:ascii="Times New Roman" w:eastAsia="Times New Roman" w:hAnsi="Times New Roman" w:cs="Times New Roman"/>
          <w:b/>
          <w:bCs/>
          <w:sz w:val="24"/>
          <w:szCs w:val="24"/>
        </w:rPr>
        <w:t>120 t/god.</w:t>
      </w:r>
      <w:r w:rsidRPr="00615350">
        <w:rPr>
          <w:rFonts w:ascii="Times New Roman" w:eastAsia="Times New Roman" w:hAnsi="Times New Roman" w:cs="Times New Roman"/>
          <w:sz w:val="24"/>
          <w:szCs w:val="24"/>
        </w:rPr>
        <w:t xml:space="preserve"> biootpada koji bi mogao biti tretiran kroz kućno kompostiranje. Ova vrijednost predstavlja planski proračun za potrebe LPUO, a ne količinu koju DPUO neposredno propisuje Opštini Berane.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Program treba uvoditi fazno, kroz izbor odgovarajućih domaćinstava i naselja, obezbjeđivanje kompostera ili drugih pogodnih rješenja, praktična uputstva i edukaciju korisnika, kao i praćenje stvarnog korišćenja opreme.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FORS analiza u ovom dijelu može se koristiti kao stručna preporuka: ukazuje da je za uspješnu primjenu, pored nabavke kompostera, potrebno kontinuirano informisanje i motivisanje stanovništva. FORS takođe procjenjuje da kućno kompostiranje nije realno očekivati u svim individualnim domaćinstvima, već prvenstveno kod onih koja imaju odgovarajuće uslove i spremnost za učešće. </w:t>
      </w:r>
    </w:p>
    <w:p w:rsidR="003651CB" w:rsidRPr="00615350" w:rsidRDefault="003651CB" w:rsidP="008B2616">
      <w:pPr>
        <w:rPr>
          <w:rFonts w:ascii="Times New Roman" w:hAnsi="Times New Roman" w:cs="Times New Roman"/>
          <w:b/>
          <w:sz w:val="24"/>
        </w:rPr>
      </w:pPr>
      <w:r w:rsidRPr="00615350">
        <w:rPr>
          <w:rFonts w:ascii="Times New Roman" w:hAnsi="Times New Roman" w:cs="Times New Roman"/>
          <w:b/>
          <w:sz w:val="24"/>
        </w:rPr>
        <w:lastRenderedPageBreak/>
        <w:t>Zeleni i parkovski otpad</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Kućno kompostiranje potrebno je povezati sa sistemom odvojenog upravljanja zelenim i parkovskim otpadom koji nastaje održavanjem javnih zelenih površina, dvorišta i bašti.</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količine koje se ne tretiraju u domaćinstvima potrebno je obezbijediti odvojeno sakupljanje, vaganje i odgovarajući biološki tretman. Postojeće lokalne evidencije pokazuju da se ovaj tok već djelimično odvaja, ali ne postoji zaokružen sistem njegovog tretmana.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FORS kao moguću lokalnu opciju preporučuje kompostiranje odvojeno sakupljenog zelenog otpada u redovima, ali ovu preporuku u LPUO ne treba pretvarati u unaprijed određeno tehničko rješenje.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Berane je posebno relevantno što </w:t>
      </w:r>
      <w:r w:rsidRPr="00615350">
        <w:rPr>
          <w:rFonts w:ascii="Times New Roman" w:eastAsia="Times New Roman" w:hAnsi="Times New Roman" w:cs="Times New Roman"/>
          <w:b/>
          <w:bCs/>
          <w:sz w:val="24"/>
          <w:szCs w:val="24"/>
        </w:rPr>
        <w:t>Lokalni plan zaštite životne sredine 2025–2029. predviđa kompostanu do 2029. godine</w:t>
      </w:r>
      <w:r w:rsidRPr="00615350">
        <w:rPr>
          <w:rFonts w:ascii="Times New Roman" w:eastAsia="Times New Roman" w:hAnsi="Times New Roman" w:cs="Times New Roman"/>
          <w:sz w:val="24"/>
          <w:szCs w:val="24"/>
        </w:rPr>
        <w:t>. Zbog toga je opravdano da LPUO zadrži mogućnost razvoja lokalnog kapaciteta za kompostiranje, ali konačnu lokaciju, kapacitet i tehnologiju treba utvrditi na osnovu stvarno izmjerenih količina, tehničko-ekonomske opravdanosti i usklađenosti sa regionalnim sistemom.</w:t>
      </w:r>
    </w:p>
    <w:p w:rsidR="003651CB" w:rsidRPr="00615350" w:rsidRDefault="003651CB" w:rsidP="008B2616">
      <w:pPr>
        <w:rPr>
          <w:rFonts w:ascii="Times New Roman" w:hAnsi="Times New Roman" w:cs="Times New Roman"/>
          <w:b/>
          <w:sz w:val="24"/>
          <w:szCs w:val="24"/>
        </w:rPr>
      </w:pPr>
      <w:r w:rsidRPr="00615350">
        <w:rPr>
          <w:rFonts w:ascii="Times New Roman" w:hAnsi="Times New Roman" w:cs="Times New Roman"/>
          <w:b/>
          <w:sz w:val="24"/>
          <w:szCs w:val="24"/>
        </w:rPr>
        <w:t>Smanjenje otpada od hrane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Sa stanovišta hijerarhije upravljanja otpadom, sprječavanje nastanka otpada od hrane ima prednost u odnosu na njegovo kompostiranje.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Mjere treba usmjeriti prema domaćinstvima, ugostiteljskim i trgovinskim objektima, školama, vrtićima, ustanovama i drugim subjektima kod kojih nastaju značajnije količine hrane.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domaćinstvima treba promovisati planiranje kupovine, pravilno čuvanje namirnica, prilagođavanje pripremljenih količina stvarnim potrebama i odgovorno korišćenje hrane.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Kod trgovine, ugostiteljstva i javnih ustanova potrebno je podsticati bolje planiranje nabavke i pripreme hrane, smanjenje kvarenja i, kada su ispunjeni propisani zdravstveni i drugi uslovi, preusmjeravanje bezbjednih viškova hrane ka doniranju umjesto odbacivanju.</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cilj smanjenja otpada od hrane za </w:t>
      </w:r>
      <w:r w:rsidRPr="00615350">
        <w:rPr>
          <w:rFonts w:ascii="Times New Roman" w:eastAsia="Times New Roman" w:hAnsi="Times New Roman" w:cs="Times New Roman"/>
          <w:b/>
          <w:bCs/>
          <w:sz w:val="24"/>
          <w:szCs w:val="24"/>
        </w:rPr>
        <w:t>15% po stanovniku do 2029. godine</w:t>
      </w:r>
      <w:r w:rsidRPr="00615350">
        <w:rPr>
          <w:rFonts w:ascii="Times New Roman" w:eastAsia="Times New Roman" w:hAnsi="Times New Roman" w:cs="Times New Roman"/>
          <w:sz w:val="24"/>
          <w:szCs w:val="24"/>
        </w:rPr>
        <w:t xml:space="preserve"> trenutno nije moguće pouzdano pretvoriti u lokalnu tonažu, jer postojeća morfološka analiza ne izdvaja posebno količinu otpada od hrane od ostalog biootpada. Zato je u planskom periodu potrebno unaprijediti početne podatke i način praćenja ovog toka. </w:t>
      </w:r>
    </w:p>
    <w:p w:rsidR="003651CB" w:rsidRPr="00615350" w:rsidRDefault="003651CB" w:rsidP="008B2616">
      <w:pPr>
        <w:rPr>
          <w:rFonts w:ascii="Times New Roman" w:hAnsi="Times New Roman" w:cs="Times New Roman"/>
          <w:b/>
          <w:sz w:val="24"/>
        </w:rPr>
      </w:pPr>
      <w:r w:rsidRPr="00615350">
        <w:rPr>
          <w:rFonts w:ascii="Times New Roman" w:hAnsi="Times New Roman" w:cs="Times New Roman"/>
          <w:b/>
          <w:sz w:val="24"/>
        </w:rPr>
        <w:t>Praćenje realizacije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praćenje mjera potrebno je najmanje evidentirati:</w:t>
      </w:r>
    </w:p>
    <w:p w:rsidR="003651CB" w:rsidRPr="00615350" w:rsidRDefault="003651CB" w:rsidP="00C1197A">
      <w:pPr>
        <w:numPr>
          <w:ilvl w:val="0"/>
          <w:numId w:val="2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domaćinstava uključenih u program kućnog kompostiranja; </w:t>
      </w:r>
    </w:p>
    <w:p w:rsidR="003651CB" w:rsidRPr="00615350" w:rsidRDefault="003651CB" w:rsidP="00C1197A">
      <w:pPr>
        <w:numPr>
          <w:ilvl w:val="0"/>
          <w:numId w:val="2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broj podijeljenih ili nabavljenih kompostera; </w:t>
      </w:r>
    </w:p>
    <w:p w:rsidR="003651CB" w:rsidRPr="00615350" w:rsidRDefault="003651CB" w:rsidP="00C1197A">
      <w:pPr>
        <w:numPr>
          <w:ilvl w:val="0"/>
          <w:numId w:val="2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procijenjenu količinu biootpada tretiranu na mjestu nastanka; </w:t>
      </w:r>
    </w:p>
    <w:p w:rsidR="003651CB" w:rsidRPr="00615350" w:rsidRDefault="003651CB" w:rsidP="00C1197A">
      <w:pPr>
        <w:numPr>
          <w:ilvl w:val="0"/>
          <w:numId w:val="2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količinu odvojeno sakupljenog zelenog i parkovskog otpada; </w:t>
      </w:r>
    </w:p>
    <w:p w:rsidR="003651CB" w:rsidRPr="00615350" w:rsidRDefault="003651CB" w:rsidP="00C1197A">
      <w:pPr>
        <w:numPr>
          <w:ilvl w:val="0"/>
          <w:numId w:val="2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količinu biootpada predatu na biološki tretman; </w:t>
      </w:r>
    </w:p>
    <w:p w:rsidR="003651CB" w:rsidRPr="00615350" w:rsidRDefault="003651CB" w:rsidP="00C1197A">
      <w:pPr>
        <w:numPr>
          <w:ilvl w:val="0"/>
          <w:numId w:val="2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količinu proizvedenog komposta, nakon uspostavljanja tretmana; </w:t>
      </w:r>
    </w:p>
    <w:p w:rsidR="003651CB" w:rsidRPr="00615350" w:rsidRDefault="003651CB" w:rsidP="00C1197A">
      <w:pPr>
        <w:numPr>
          <w:ilvl w:val="0"/>
          <w:numId w:val="2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raspoložive pokazatelje o nastanku otpada od hrane. </w:t>
      </w:r>
    </w:p>
    <w:p w:rsidR="003651CB" w:rsidRPr="00615350" w:rsidRDefault="003651CB" w:rsidP="008B2616">
      <w:pPr>
        <w:rPr>
          <w:rFonts w:ascii="Times New Roman" w:hAnsi="Times New Roman" w:cs="Times New Roman"/>
          <w:b/>
          <w:sz w:val="24"/>
        </w:rPr>
      </w:pPr>
      <w:r w:rsidRPr="00615350">
        <w:rPr>
          <w:rFonts w:ascii="Times New Roman" w:hAnsi="Times New Roman" w:cs="Times New Roman"/>
          <w:b/>
          <w:sz w:val="24"/>
        </w:rPr>
        <w:t>Plansko opredjeljenje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periodu 2026–2029. godine Opština Berane treba da razvija kombinovani sistem koji obuhvata </w:t>
      </w:r>
      <w:r w:rsidRPr="00615350">
        <w:rPr>
          <w:rFonts w:ascii="Times New Roman" w:eastAsia="Times New Roman" w:hAnsi="Times New Roman" w:cs="Times New Roman"/>
          <w:b/>
          <w:bCs/>
          <w:sz w:val="24"/>
          <w:szCs w:val="24"/>
        </w:rPr>
        <w:t>sprječavanje nastanka otpada od hrane, kućno kompostiranje u pogodnim domaćinstvima, odvojeno sakupljanje zelenog i parkovskog otpada i razvoj odgovarajućeg kapaciteta za biološki tretman</w:t>
      </w:r>
      <w:r w:rsidRPr="00615350">
        <w:rPr>
          <w:rFonts w:ascii="Times New Roman" w:eastAsia="Times New Roman" w:hAnsi="Times New Roman" w:cs="Times New Roman"/>
          <w:sz w:val="24"/>
          <w:szCs w:val="24"/>
        </w:rPr>
        <w:t>.</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Kućno kompostiranje treba uvoditi fazno, uz cilj da se najmanje </w:t>
      </w:r>
      <w:r w:rsidRPr="00615350">
        <w:rPr>
          <w:rFonts w:ascii="Times New Roman" w:eastAsia="Times New Roman" w:hAnsi="Times New Roman" w:cs="Times New Roman"/>
          <w:b/>
          <w:bCs/>
          <w:sz w:val="24"/>
          <w:szCs w:val="24"/>
        </w:rPr>
        <w:t>4% biootpada obuhvati ovim načinom tretmana do kraja 2026. godine</w:t>
      </w:r>
      <w:r w:rsidRPr="00615350">
        <w:rPr>
          <w:rFonts w:ascii="Times New Roman" w:eastAsia="Times New Roman" w:hAnsi="Times New Roman" w:cs="Times New Roman"/>
          <w:sz w:val="24"/>
          <w:szCs w:val="24"/>
        </w:rPr>
        <w:t>, dok razvoj lokalne kompostane ili drugog odgovarajućeg rješenja treba uskladiti sa Lokalnim planom zaštite životne sredine, DPUO i razvojem Regionalnog centra u Bijelom Polju.</w:t>
      </w:r>
    </w:p>
    <w:p w:rsidR="008473F2" w:rsidRPr="00615350" w:rsidRDefault="008473F2" w:rsidP="00900448">
      <w:pPr>
        <w:pStyle w:val="Heading2"/>
        <w:jc w:val="both"/>
        <w:rPr>
          <w:rFonts w:ascii="Times New Roman" w:eastAsia="Times New Roman" w:hAnsi="Times New Roman" w:cs="Times New Roman"/>
          <w:sz w:val="24"/>
          <w:szCs w:val="24"/>
        </w:rPr>
      </w:pPr>
      <w:bookmarkStart w:id="63" w:name="_Toc240282321"/>
      <w:r w:rsidRPr="00615350">
        <w:rPr>
          <w:rFonts w:ascii="Times New Roman" w:hAnsi="Times New Roman" w:cs="Times New Roman"/>
          <w:sz w:val="24"/>
          <w:szCs w:val="24"/>
        </w:rPr>
        <w:t>8.3. Druge mjere za smanjenje količina otpada</w:t>
      </w:r>
      <w:bookmarkEnd w:id="63"/>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Pored mjera sprječavanja nastanka otpada, ponovne upotrebe, kućnog kompostiranja i smanjenja otpada od hrane, u planskom periodu potrebno je razvijati i druge instrumente koji doprinose smanjenju potrošnje primarnih resursa, većem korišćenju sekundarnih sirovina i postepenom prelasku ka cirkularnom modelu upravljanja otpadom.</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i Strategija upravljanja otpadom do 2030. godine razvoj sistema usmjeravaju ka primjeni hijerarhije upravljanja otpadom, promjeni obrazaca potrošnje, ponovnoj upotrebi proizvoda i posmatranju otpada kao resursa, a ne samo materijala za odstranjivanje. </w:t>
      </w:r>
    </w:p>
    <w:p w:rsidR="003651CB" w:rsidRPr="00615350" w:rsidRDefault="003651CB" w:rsidP="007B707C">
      <w:pPr>
        <w:rPr>
          <w:rFonts w:ascii="Times New Roman" w:hAnsi="Times New Roman" w:cs="Times New Roman"/>
          <w:b/>
          <w:sz w:val="24"/>
        </w:rPr>
      </w:pPr>
      <w:r w:rsidRPr="00615350">
        <w:rPr>
          <w:rFonts w:ascii="Times New Roman" w:hAnsi="Times New Roman" w:cs="Times New Roman"/>
          <w:b/>
          <w:sz w:val="24"/>
        </w:rPr>
        <w:t>Zelene javne nabavke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Opština Berane i javne ustanove mogu doprinositi smanjenju nastanka otpada kroz postupno uvođenje kriterijuma održivosti u javne nabavke, gdje je to u skladu sa propisima i ekonomski opravdano.</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 nabavci proizvoda i usluga treba, gdje je moguće, uzimati u obzir:</w:t>
      </w:r>
    </w:p>
    <w:p w:rsidR="003651CB" w:rsidRPr="00615350" w:rsidRDefault="003651CB" w:rsidP="00C1197A">
      <w:pPr>
        <w:numPr>
          <w:ilvl w:val="0"/>
          <w:numId w:val="2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duži vijek trajanja i mogućnost popravke proizvoda; </w:t>
      </w:r>
    </w:p>
    <w:p w:rsidR="003651CB" w:rsidRPr="00615350" w:rsidRDefault="003651CB" w:rsidP="00C1197A">
      <w:pPr>
        <w:numPr>
          <w:ilvl w:val="0"/>
          <w:numId w:val="2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mogućnost ponovne upotrebe i ponovnog punjenja; </w:t>
      </w:r>
    </w:p>
    <w:p w:rsidR="003651CB" w:rsidRPr="00615350" w:rsidRDefault="003651CB" w:rsidP="00C1197A">
      <w:pPr>
        <w:numPr>
          <w:ilvl w:val="0"/>
          <w:numId w:val="2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manju količinu ambalaže; </w:t>
      </w:r>
    </w:p>
    <w:p w:rsidR="003651CB" w:rsidRPr="00615350" w:rsidRDefault="003651CB" w:rsidP="00C1197A">
      <w:pPr>
        <w:numPr>
          <w:ilvl w:val="0"/>
          <w:numId w:val="2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mogućnost recikliranja nakon završetka upotrebe; </w:t>
      </w:r>
    </w:p>
    <w:p w:rsidR="003651CB" w:rsidRPr="00615350" w:rsidRDefault="003651CB" w:rsidP="00C1197A">
      <w:pPr>
        <w:numPr>
          <w:ilvl w:val="0"/>
          <w:numId w:val="2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sadržaj recikliranih materijala.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Poseban potencijal postoji kod nabavke kancelarijskog materijala, namještaja, električne i elektronske opreme i proizvoda koji se koriste u radu javnih ustanova i prilikom organizovanja događaja.</w:t>
      </w:r>
    </w:p>
    <w:p w:rsidR="003651CB" w:rsidRPr="00615350" w:rsidRDefault="003651CB" w:rsidP="007B707C">
      <w:pPr>
        <w:rPr>
          <w:rFonts w:ascii="Times New Roman" w:hAnsi="Times New Roman" w:cs="Times New Roman"/>
          <w:b/>
          <w:sz w:val="24"/>
        </w:rPr>
      </w:pPr>
      <w:r w:rsidRPr="00615350">
        <w:rPr>
          <w:rFonts w:ascii="Times New Roman" w:hAnsi="Times New Roman" w:cs="Times New Roman"/>
          <w:b/>
          <w:sz w:val="24"/>
        </w:rPr>
        <w:t>Saradnja sa privredom i ovlašćenim operaterima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Smanjenje količina otpada i povećanje materijalnog iskorišćenja zahtijevaju saradnju lokalne samouprave sa trgovinskim i ugostiteljskim objektima, pijacama, hotelima, drugim privrednim subjektima, ovlašćenim sakupljačima i reciklerima.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Posebnu pažnju treba usmjeriti na subjekte kod kojih nastaju veće količine kartona, plastike i drugih reciklabilnih materijala, kako bi se ovi tokovi što ranije izdvojili iz miješanog komunalnog otpada i usmjerili ka odgovarajućim sistemima sakupljanja i reciklaže.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Da takav potencijal u Beranama postoji pokazuje i podatak da je privatni sakupljač tokom 2024. godine prikupio </w:t>
      </w:r>
      <w:r w:rsidRPr="00615350">
        <w:rPr>
          <w:rFonts w:ascii="Times New Roman" w:eastAsia="Times New Roman" w:hAnsi="Times New Roman" w:cs="Times New Roman"/>
          <w:b/>
          <w:bCs/>
          <w:sz w:val="24"/>
          <w:szCs w:val="24"/>
        </w:rPr>
        <w:t>630 t kartonske ambalaže i 45 t plastičnog otpada</w:t>
      </w:r>
      <w:r w:rsidRPr="00615350">
        <w:rPr>
          <w:rFonts w:ascii="Times New Roman" w:eastAsia="Times New Roman" w:hAnsi="Times New Roman" w:cs="Times New Roman"/>
          <w:sz w:val="24"/>
          <w:szCs w:val="24"/>
        </w:rPr>
        <w:t>. Ove i buduće količine potrebno je uključivati u pouzdaniju lokalnu evidenciju tokova otpada, bez obzira na to da li ih sakuplja DOO „Komunalno“ ili drugi ovlašćeni subjekt.</w:t>
      </w:r>
    </w:p>
    <w:p w:rsidR="003651CB" w:rsidRPr="00615350" w:rsidRDefault="003651CB" w:rsidP="007B707C">
      <w:pPr>
        <w:rPr>
          <w:rFonts w:ascii="Times New Roman" w:hAnsi="Times New Roman" w:cs="Times New Roman"/>
          <w:b/>
          <w:sz w:val="24"/>
        </w:rPr>
      </w:pPr>
      <w:r w:rsidRPr="00615350">
        <w:rPr>
          <w:rFonts w:ascii="Times New Roman" w:hAnsi="Times New Roman" w:cs="Times New Roman"/>
          <w:b/>
          <w:sz w:val="24"/>
        </w:rPr>
        <w:t>Podrška korišćenju sekundarnih sirovina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Razvoj odvojenog sakupljanja ima puni efekat samo ukoliko za izdvojene materijale postoji odgovarajući kanal daljeg korišćenja.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lokalnom sistemu zbog toga treba obezbijediti povezivanje DOO „Komunalno“ i budućeg reciklažnog centra sa ovlašćenim operaterima i reciklerima, kvalitetnije razvrstavanje izdvojenih materijala i pouzdano evidentiranje količina koje se predaju na reciklažu.</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Gdje je tehnički i ekonomski opravdano, u javnim nabavkama treba razmatrati i korišćenje proizvoda sa sadržajem recikliranih materijala, čime lokalna uprava može doprinositi stvaranju potražnje za sekundarnim sirovinama.</w:t>
      </w:r>
    </w:p>
    <w:p w:rsidR="003651CB" w:rsidRPr="00615350" w:rsidRDefault="003651CB" w:rsidP="007B707C">
      <w:pPr>
        <w:rPr>
          <w:rFonts w:ascii="Times New Roman" w:hAnsi="Times New Roman" w:cs="Times New Roman"/>
          <w:b/>
          <w:sz w:val="24"/>
        </w:rPr>
      </w:pPr>
      <w:r w:rsidRPr="00615350">
        <w:rPr>
          <w:rFonts w:ascii="Times New Roman" w:hAnsi="Times New Roman" w:cs="Times New Roman"/>
          <w:b/>
          <w:sz w:val="24"/>
        </w:rPr>
        <w:t>Ekonomski i motivacioni instrumenti</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razvoj cirkularnog sistema povezuje i sa motivacionim instrumentima kojima se podstiču bolji rezultati u odvojenom sakupljanju i reciklaži. </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lokalnom nivou mogu se razmatrati podsticaji za domaćinstva i druge korisnike koji učestvuju u programima prevencije, kućnog kompostiranja ili odvojenog sakupljanja, ali tek nakon uspostavljanja pouzdanih evidencija i tehničkih uslova koji omogućavaju kontrolu rezultata.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Svaki model finansijskog podsticaja ili izmjene načina obračuna usluge mora prethodno biti analiziran sa stanovišta </w:t>
      </w:r>
      <w:r w:rsidRPr="00615350">
        <w:rPr>
          <w:rFonts w:ascii="Times New Roman" w:eastAsia="Times New Roman" w:hAnsi="Times New Roman" w:cs="Times New Roman"/>
          <w:b/>
          <w:bCs/>
          <w:sz w:val="24"/>
          <w:szCs w:val="24"/>
        </w:rPr>
        <w:t>pravnog osnova, finansijske održivosti i mogućnosti pouzdanog praćenja korisnika i količina otpada</w:t>
      </w:r>
      <w:r w:rsidRPr="00615350">
        <w:rPr>
          <w:rFonts w:ascii="Times New Roman" w:eastAsia="Times New Roman" w:hAnsi="Times New Roman" w:cs="Times New Roman"/>
          <w:sz w:val="24"/>
          <w:szCs w:val="24"/>
        </w:rPr>
        <w:t>.</w:t>
      </w:r>
    </w:p>
    <w:p w:rsidR="003651CB" w:rsidRPr="00615350" w:rsidRDefault="003651CB" w:rsidP="007B707C">
      <w:pPr>
        <w:rPr>
          <w:rFonts w:ascii="Times New Roman" w:hAnsi="Times New Roman" w:cs="Times New Roman"/>
          <w:b/>
          <w:sz w:val="24"/>
        </w:rPr>
      </w:pPr>
      <w:r w:rsidRPr="00615350">
        <w:rPr>
          <w:rFonts w:ascii="Times New Roman" w:hAnsi="Times New Roman" w:cs="Times New Roman"/>
          <w:b/>
          <w:sz w:val="24"/>
        </w:rPr>
        <w:lastRenderedPageBreak/>
        <w:t>Digitalizacija i racionalno korišćenje resursa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lokalnoj upravi i javnim ustanovama treba nastaviti razvoj elektronske komunikacije, elektronskih obrazaca i digitalnog arhiviranja, gdje to dozvoljavaju propisi i tehnički uslovi, radi smanjenja nepotrebne potrošnje papira i kancelarijskog materijala.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Ove mjere treba povezati sa racionalnim korišćenjem opreme, produženjem njenog vijeka trajanja i odvojenim sakupljanjem materijala nakon što postanu otpad.</w:t>
      </w:r>
    </w:p>
    <w:p w:rsidR="003651CB" w:rsidRPr="00615350" w:rsidRDefault="003651CB" w:rsidP="007B707C">
      <w:pPr>
        <w:rPr>
          <w:rFonts w:ascii="Times New Roman" w:hAnsi="Times New Roman" w:cs="Times New Roman"/>
          <w:b/>
          <w:sz w:val="24"/>
        </w:rPr>
      </w:pPr>
      <w:r w:rsidRPr="00615350">
        <w:rPr>
          <w:rFonts w:ascii="Times New Roman" w:hAnsi="Times New Roman" w:cs="Times New Roman"/>
          <w:b/>
          <w:sz w:val="24"/>
        </w:rPr>
        <w:t>Praćenje efekata</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Efekte mjera iz ovog potpoglavlja treba pratiti kroz ograničen broj pokazatelja koji se mogu pouzdano evidentirati, naročito:</w:t>
      </w:r>
    </w:p>
    <w:p w:rsidR="003651CB" w:rsidRPr="00615350" w:rsidRDefault="003651CB" w:rsidP="00C1197A">
      <w:pPr>
        <w:numPr>
          <w:ilvl w:val="0"/>
          <w:numId w:val="2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količine reciklabilnih materijala predatih ovlašćenim operaterima; </w:t>
      </w:r>
    </w:p>
    <w:p w:rsidR="003651CB" w:rsidRPr="00615350" w:rsidRDefault="003651CB" w:rsidP="00C1197A">
      <w:pPr>
        <w:numPr>
          <w:ilvl w:val="0"/>
          <w:numId w:val="2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javnih ustanova koje primjenjuju mjere održive nabavke i racionalnog korišćenja resursa; </w:t>
      </w:r>
    </w:p>
    <w:p w:rsidR="003651CB" w:rsidRPr="00615350" w:rsidRDefault="003651CB" w:rsidP="00C1197A">
      <w:pPr>
        <w:numPr>
          <w:ilvl w:val="0"/>
          <w:numId w:val="2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broj uspostavljenih oblika saradnje sa privredom i operaterima; </w:t>
      </w:r>
    </w:p>
    <w:p w:rsidR="003651CB" w:rsidRPr="00615350" w:rsidRDefault="003651CB" w:rsidP="00C1197A">
      <w:pPr>
        <w:numPr>
          <w:ilvl w:val="0"/>
          <w:numId w:val="2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primjenu i rezultate eventualnih lokalnih podsticajnih programa; </w:t>
      </w:r>
    </w:p>
    <w:p w:rsidR="003651CB" w:rsidRPr="00615350" w:rsidRDefault="003651CB" w:rsidP="00C1197A">
      <w:pPr>
        <w:numPr>
          <w:ilvl w:val="0"/>
          <w:numId w:val="2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kretanje specifične količine generisanog komunalnog otpada po stanovniku. </w:t>
      </w:r>
    </w:p>
    <w:p w:rsidR="003651CB" w:rsidRPr="00615350" w:rsidRDefault="003651CB" w:rsidP="007B707C">
      <w:r w:rsidRPr="00615350">
        <w:t>Plansko opredjeljenje</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periodu 2026–2029. godine dodatne mjere za smanjenje količina otpada treba usmjeriti prvenstveno na </w:t>
      </w:r>
      <w:r w:rsidRPr="00615350">
        <w:rPr>
          <w:rFonts w:ascii="Times New Roman" w:eastAsia="Times New Roman" w:hAnsi="Times New Roman" w:cs="Times New Roman"/>
          <w:b/>
          <w:bCs/>
          <w:sz w:val="24"/>
          <w:szCs w:val="24"/>
        </w:rPr>
        <w:t>održivije javne nabavke, racionalno korišćenje resursa, saradnju sa privredom i ovlašćenim operaterima, razvoj tržišta za izdvojene materijale i pažljivo uvođenje motivacionih instrumenata</w:t>
      </w:r>
      <w:r w:rsidRPr="00615350">
        <w:rPr>
          <w:rFonts w:ascii="Times New Roman" w:eastAsia="Times New Roman" w:hAnsi="Times New Roman" w:cs="Times New Roman"/>
          <w:sz w:val="24"/>
          <w:szCs w:val="24"/>
        </w:rPr>
        <w:t>.</w:t>
      </w:r>
    </w:p>
    <w:p w:rsidR="003651CB" w:rsidRPr="00615350" w:rsidRDefault="003651C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Ove mjere predstavljaju dopunu programa sprječavanja nastanka otpada iz potpoglavlja 8.1. i mjera za biootpad i otpad od hrane iz potpoglavlja 8.2, a njihov zajednički cilj je da se tokom planskog perioda smanjuje količina otpada koja ulazi u rezidualni tok i povećava korišćenje materijala koji već postoje u sistemu.</w:t>
      </w:r>
    </w:p>
    <w:p w:rsidR="00EC63FB" w:rsidRPr="00615350" w:rsidRDefault="00EC63FB" w:rsidP="00C34216">
      <w:pPr>
        <w:pStyle w:val="Heading1"/>
        <w:rPr>
          <w:rFonts w:eastAsia="Times New Roman"/>
        </w:rPr>
      </w:pPr>
      <w:bookmarkStart w:id="64" w:name="_Toc240282322"/>
      <w:r w:rsidRPr="00615350">
        <w:rPr>
          <w:rFonts w:eastAsia="Times New Roman"/>
        </w:rPr>
        <w:t>9. SANACIJA NEUREĐENIH ODLAGALIŠTA I PRIVREMENOG SKLADIŠTA „RUJIŠKE LAZE“</w:t>
      </w:r>
      <w:bookmarkEnd w:id="64"/>
    </w:p>
    <w:p w:rsidR="00EC63FB" w:rsidRPr="00615350" w:rsidRDefault="00EC63FB" w:rsidP="00C34216">
      <w:pPr>
        <w:pStyle w:val="Heading2"/>
        <w:rPr>
          <w:rFonts w:eastAsia="Times New Roman"/>
        </w:rPr>
      </w:pPr>
      <w:bookmarkStart w:id="65" w:name="_Toc240282323"/>
      <w:r w:rsidRPr="00615350">
        <w:rPr>
          <w:rFonts w:eastAsia="Times New Roman"/>
        </w:rPr>
        <w:t>9.1. Prioriteti i mjere sanacije neuređenih odlagališta</w:t>
      </w:r>
      <w:bookmarkEnd w:id="65"/>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Neuređena odlagališta predstavljaju jedan od značajnijih problema sistema upravljanja otpadom na teritoriji opštine Berane. Zvanični godišnji popisi pokazuju da je u 2023. godini evidentirano </w:t>
      </w:r>
      <w:r w:rsidRPr="00615350">
        <w:rPr>
          <w:rFonts w:ascii="Times New Roman" w:eastAsia="Times New Roman" w:hAnsi="Times New Roman" w:cs="Times New Roman"/>
          <w:b/>
          <w:bCs/>
          <w:sz w:val="24"/>
          <w:szCs w:val="24"/>
        </w:rPr>
        <w:t>38 lokacija</w:t>
      </w:r>
      <w:r w:rsidRPr="00615350">
        <w:rPr>
          <w:rFonts w:ascii="Times New Roman" w:eastAsia="Times New Roman" w:hAnsi="Times New Roman" w:cs="Times New Roman"/>
          <w:sz w:val="24"/>
          <w:szCs w:val="24"/>
        </w:rPr>
        <w:t xml:space="preserve">, u 2024. godini </w:t>
      </w:r>
      <w:r w:rsidRPr="00615350">
        <w:rPr>
          <w:rFonts w:ascii="Times New Roman" w:eastAsia="Times New Roman" w:hAnsi="Times New Roman" w:cs="Times New Roman"/>
          <w:b/>
          <w:bCs/>
          <w:sz w:val="24"/>
          <w:szCs w:val="24"/>
        </w:rPr>
        <w:t>23 lokacije</w:t>
      </w:r>
      <w:r w:rsidRPr="00615350">
        <w:rPr>
          <w:rFonts w:ascii="Times New Roman" w:eastAsia="Times New Roman" w:hAnsi="Times New Roman" w:cs="Times New Roman"/>
          <w:sz w:val="24"/>
          <w:szCs w:val="24"/>
        </w:rPr>
        <w:t xml:space="preserve">, a u 2025. godini </w:t>
      </w:r>
      <w:r w:rsidRPr="00615350">
        <w:rPr>
          <w:rFonts w:ascii="Times New Roman" w:eastAsia="Times New Roman" w:hAnsi="Times New Roman" w:cs="Times New Roman"/>
          <w:b/>
          <w:bCs/>
          <w:sz w:val="24"/>
          <w:szCs w:val="24"/>
        </w:rPr>
        <w:t>32 lokacije neuređenog odlaganja otpada</w:t>
      </w:r>
      <w:r w:rsidRPr="00615350">
        <w:rPr>
          <w:rFonts w:ascii="Times New Roman" w:eastAsia="Times New Roman" w:hAnsi="Times New Roman" w:cs="Times New Roman"/>
          <w:sz w:val="24"/>
          <w:szCs w:val="24"/>
        </w:rPr>
        <w:t xml:space="preserve">. Promjene broja lokacija između pojedinih godina ne treba tumačiti kao linearan pokazatelj poboljšanja ili pogoršanja stanja, jer se pojedine lokacije saniraju, ponovo formiraju ili se tokom narednih obilazaka evidentiraju nove lokacije. </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DPUO kao poseban cilj definiše postepeno stvaranje sistema </w:t>
      </w:r>
      <w:r w:rsidRPr="00615350">
        <w:rPr>
          <w:rFonts w:ascii="Times New Roman" w:eastAsia="Times New Roman" w:hAnsi="Times New Roman" w:cs="Times New Roman"/>
          <w:b/>
          <w:bCs/>
          <w:sz w:val="24"/>
          <w:szCs w:val="24"/>
        </w:rPr>
        <w:t>„bez neuređenih odlagališta otpada“</w:t>
      </w:r>
      <w:r w:rsidRPr="00615350">
        <w:rPr>
          <w:rFonts w:ascii="Times New Roman" w:eastAsia="Times New Roman" w:hAnsi="Times New Roman" w:cs="Times New Roman"/>
          <w:sz w:val="24"/>
          <w:szCs w:val="24"/>
        </w:rPr>
        <w:t xml:space="preserve">, što podrazumijeva zabranu nastanka novih lokacija, zatvaranje postojećih i njihovu sanaciju prema prioritetima. DPUO predviđa sanaciju neuređenih odlagališta i mjesta za privremeno skladištenje komunalnog otpada u periodu 2025–2029, dok je sanacija svih neuređenih odlagališta na državnom nivou planirana do 2033. godine. </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Opštini Berane sanaciju treba sprovoditi prema prioritetima, pri čemu prednost treba dati lokacijama koje:</w:t>
      </w:r>
    </w:p>
    <w:p w:rsidR="00EC63FB" w:rsidRPr="00615350" w:rsidRDefault="00EC63FB" w:rsidP="00C1197A">
      <w:pPr>
        <w:numPr>
          <w:ilvl w:val="0"/>
          <w:numId w:val="3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se nalaze uz rijeku Lim i njene pritoke; </w:t>
      </w:r>
    </w:p>
    <w:p w:rsidR="00EC63FB" w:rsidRPr="00615350" w:rsidRDefault="00EC63FB" w:rsidP="00C1197A">
      <w:pPr>
        <w:numPr>
          <w:ilvl w:val="0"/>
          <w:numId w:val="3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ugrožavaju površinske i podzemne vode; </w:t>
      </w:r>
    </w:p>
    <w:p w:rsidR="00EC63FB" w:rsidRPr="00615350" w:rsidRDefault="00EC63FB" w:rsidP="00C1197A">
      <w:pPr>
        <w:numPr>
          <w:ilvl w:val="0"/>
          <w:numId w:val="3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se nalaze u blizini naselja, puteva i drugih frekventnih prostora; </w:t>
      </w:r>
    </w:p>
    <w:p w:rsidR="00EC63FB" w:rsidRPr="00615350" w:rsidRDefault="00EC63FB" w:rsidP="00C1197A">
      <w:pPr>
        <w:numPr>
          <w:ilvl w:val="0"/>
          <w:numId w:val="3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sadrže veće količine građevinskog, kabastog ili drugog otpada; </w:t>
      </w:r>
    </w:p>
    <w:p w:rsidR="00EC63FB" w:rsidRPr="00615350" w:rsidRDefault="00EC63FB" w:rsidP="00C1197A">
      <w:pPr>
        <w:numPr>
          <w:ilvl w:val="0"/>
          <w:numId w:val="3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se ponovo formiraju nakon prethodnog čišćenja; </w:t>
      </w:r>
    </w:p>
    <w:p w:rsidR="00EC63FB" w:rsidRPr="00615350" w:rsidRDefault="00EC63FB" w:rsidP="00C1197A">
      <w:pPr>
        <w:numPr>
          <w:ilvl w:val="0"/>
          <w:numId w:val="3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zbog vrste ili količine otpada mogu predstavljati veći rizik za životnu sredinu i zdravlje ljudi. </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svaku evidentiranu lokaciju potrebno je utvrditi najmanje položaj, procijenjenu površinu i količinu otpada, dominantne vrste otpada, stanje lokacije i potreban način sanacije. Postojeću godišnju evidenciju treba nastaviti i ažurirati kako bi se razlikovale aktivne, sanirane i ponovo formirane lokacije.</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Sanacija treba da obuhvati uklanjanje otpada, njegovo razvrstavanje gdje je to opravdano, predaju odgovarajućih frakcija na reciklažu ili drugi dozvoljeni tretman i uređenje prostora nakon uklanjanja otpada. Građevinski, kabasti, reciklabilni i drugi tokovi ne treba automatski miješati sa rezidualnim otpadom ukoliko postoji mogućnost njihovog odvojenog postupanja.</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Posebno je važno da se sanacija ne svede samo na periodično čišćenje. Na lokacijama na kojima se otpad ponovo pojavljuje potrebno je utvrditi uzroke, koji mogu biti povezani sa nedostupnošću organizovane usluge, nedostatkom odgovarajućeg sistema za kabasti ili građevinski otpad, nedovoljnim nadzorom ili neodgovornim ponašanjem korisnika.</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mjere sanacije treba povezati sa:</w:t>
      </w:r>
    </w:p>
    <w:p w:rsidR="00EC63FB" w:rsidRPr="00615350" w:rsidRDefault="00EC63FB" w:rsidP="00C1197A">
      <w:pPr>
        <w:numPr>
          <w:ilvl w:val="0"/>
          <w:numId w:val="3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proširenjem obuhvata organizovanim sakupljanjem; </w:t>
      </w:r>
    </w:p>
    <w:p w:rsidR="00EC63FB" w:rsidRPr="00615350" w:rsidRDefault="00EC63FB" w:rsidP="00C1197A">
      <w:pPr>
        <w:numPr>
          <w:ilvl w:val="0"/>
          <w:numId w:val="3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uspostavljanjem dostupnog sistema za građevinski i kabasti otpad; </w:t>
      </w:r>
    </w:p>
    <w:p w:rsidR="00EC63FB" w:rsidRPr="00615350" w:rsidRDefault="00EC63FB" w:rsidP="00C1197A">
      <w:pPr>
        <w:numPr>
          <w:ilvl w:val="0"/>
          <w:numId w:val="3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postavljanjem odgovarajućih posuda tamo gdje je opravdano; </w:t>
      </w:r>
    </w:p>
    <w:p w:rsidR="00EC63FB" w:rsidRPr="00615350" w:rsidRDefault="00EC63FB" w:rsidP="00C1197A">
      <w:pPr>
        <w:numPr>
          <w:ilvl w:val="0"/>
          <w:numId w:val="3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pojačanim komunalnim nadzorom; </w:t>
      </w:r>
    </w:p>
    <w:p w:rsidR="00EC63FB" w:rsidRPr="00615350" w:rsidRDefault="00EC63FB" w:rsidP="00C1197A">
      <w:pPr>
        <w:numPr>
          <w:ilvl w:val="0"/>
          <w:numId w:val="3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fizičkim sprečavanjem pristupa vozilima na kritičnim lokacijama, gdje je to tehnički moguće; </w:t>
      </w:r>
    </w:p>
    <w:p w:rsidR="00EC63FB" w:rsidRPr="00615350" w:rsidRDefault="00EC63FB" w:rsidP="00C1197A">
      <w:pPr>
        <w:numPr>
          <w:ilvl w:val="0"/>
          <w:numId w:val="3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informisanjem građana o pravilnom načinu predaje pojedinih tokova otpada. </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Cilj u planskom periodu je da se prioritetne lokacije saniraju, da se smanji učestalost ponovnog formiranja neuređenih odlagališta i da se uspostavi sistem njihovog kontinuiranog praćenja.</w:t>
      </w:r>
    </w:p>
    <w:p w:rsidR="00EC63FB" w:rsidRPr="00615350" w:rsidRDefault="00EC63FB" w:rsidP="00C34216">
      <w:pPr>
        <w:pStyle w:val="Heading2"/>
        <w:rPr>
          <w:rFonts w:eastAsia="Times New Roman"/>
        </w:rPr>
      </w:pPr>
      <w:bookmarkStart w:id="66" w:name="_Toc240282324"/>
      <w:r w:rsidRPr="00615350">
        <w:rPr>
          <w:rFonts w:eastAsia="Times New Roman"/>
        </w:rPr>
        <w:lastRenderedPageBreak/>
        <w:t>9.2. Prestanak korišćenja i sanacija lokacije „Rujiške laze“</w:t>
      </w:r>
      <w:bookmarkEnd w:id="66"/>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Lokacija „Rujiške laze“ predstavlja postojeće privremeno skladište komunalnog otpada i prelazni element lokalnog sistema do uspostavljanja odgovarajuće regionalne infrastrukture.</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DPUO predviđa uključivanje Berana u sjeverni regionalni sistem sa Regionalnim centrom u Bijelom Polju. Istovremeno, DPUO mjerom 4.14 predviđa sanaciju neuređenih odlagališta i mjesta za privremeno skladištenje komunalnog otpada u periodu </w:t>
      </w:r>
      <w:r w:rsidRPr="00615350">
        <w:rPr>
          <w:rFonts w:ascii="Times New Roman" w:eastAsia="Times New Roman" w:hAnsi="Times New Roman" w:cs="Times New Roman"/>
          <w:b/>
          <w:bCs/>
          <w:sz w:val="24"/>
          <w:szCs w:val="24"/>
        </w:rPr>
        <w:t>2025–2029. godine</w:t>
      </w:r>
      <w:r w:rsidRPr="00615350">
        <w:rPr>
          <w:rFonts w:ascii="Times New Roman" w:eastAsia="Times New Roman" w:hAnsi="Times New Roman" w:cs="Times New Roman"/>
          <w:sz w:val="24"/>
          <w:szCs w:val="24"/>
        </w:rPr>
        <w:t xml:space="preserve">. </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„Rujiške laze“ ne treba posmatrati kao trajni element budućeg sistema. Prestanak korišćenja lokacije, međutim, mora biti usklađen sa stvarnim uspostavljanjem uslova za prihvat i tretman otpada u regionalnom sistemu.</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Redosljed tranzicije treba da bude:</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uspostavljanje funkcionalnih uslova za prijem otpada u regionalnom sistemu → preusmjeravanje odgovarajućih tokova iz Berana → prestanak prijema miješanog komunalnog otpada na „Rujiškim lazama“ → zatvaranje → sanacija i rekultivacija lokacije.</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trenutka prestanka prijema otpada na lokaciji je potrebno obezbijediti kontrolisano upravljanje u skladu sa važećim lokalnim aktima, uključujući kontrolu ulaska, prijema i vrste otpada, vođenje evidencije, održavanje lokacije, mjere protivpožarne zaštite i sprečavanje nekontrolisanog odlaganja. Postojećom Odlukom već su propisani ograđivanje, pristupni put, čuvarska služba, prijem otpada i vođenje evidencije. </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Prije zatvaranja potrebno je izraditi odgovarajuću </w:t>
      </w:r>
      <w:r w:rsidRPr="00615350">
        <w:rPr>
          <w:rFonts w:ascii="Times New Roman" w:eastAsia="Times New Roman" w:hAnsi="Times New Roman" w:cs="Times New Roman"/>
          <w:b/>
          <w:bCs/>
          <w:sz w:val="24"/>
          <w:szCs w:val="24"/>
        </w:rPr>
        <w:t>tehničku dokumentaciju sanacije i rekultivacije</w:t>
      </w:r>
      <w:r w:rsidRPr="00615350">
        <w:rPr>
          <w:rFonts w:ascii="Times New Roman" w:eastAsia="Times New Roman" w:hAnsi="Times New Roman" w:cs="Times New Roman"/>
          <w:sz w:val="24"/>
          <w:szCs w:val="24"/>
        </w:rPr>
        <w:t>, kojom će se na osnovu stvarnog stanja lokacije utvrditi potrebne mjere. Lokalni plan zato ne treba unaprijed propisivati detaljno tehničko rješenje sanacije.</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Dokumentacijom treba naročito sagledati:</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granice i površinu prostora zahvaćenog otpadom; </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količinu i karakter otpada; </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stabilnost terena; </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stanje površinskih i podzemnih voda; </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eventualno stvaranje procjednih voda i gasova; </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potrebu za oblikovanjem i stabilizacijom tijela otpada; </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mjere površinskog zatvaranja; </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odvođenje atmosferskih voda; </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rekultivaciju i buduću namjenu lokacije; </w:t>
      </w:r>
    </w:p>
    <w:p w:rsidR="00EC63FB" w:rsidRPr="00615350" w:rsidRDefault="00EC63FB" w:rsidP="00C1197A">
      <w:pPr>
        <w:numPr>
          <w:ilvl w:val="0"/>
          <w:numId w:val="3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potreban monitoring nakon zatvaranja. </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Sanaciju treba sprovoditi tako da se spriječi dalje zagađivanje zemljišta i voda i smanje rizici od požara, erozije, nestabilnosti otpada i drugih negativnih uticaja.</w:t>
      </w:r>
    </w:p>
    <w:p w:rsidR="00EC63FB" w:rsidRPr="00615350" w:rsidRDefault="00EC63FB" w:rsidP="00C34216">
      <w:pPr>
        <w:pStyle w:val="Heading2"/>
        <w:rPr>
          <w:rFonts w:eastAsia="Times New Roman"/>
        </w:rPr>
      </w:pPr>
      <w:bookmarkStart w:id="67" w:name="_Toc240282325"/>
      <w:r w:rsidRPr="00615350">
        <w:rPr>
          <w:rFonts w:eastAsia="Times New Roman"/>
        </w:rPr>
        <w:lastRenderedPageBreak/>
        <w:t>9.3. Sprečavanje ponovnog nastanka neuređenih odlagališta</w:t>
      </w:r>
      <w:bookmarkEnd w:id="67"/>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Trajno rješavanje problema neuređenih odlagališta nije moguće samo uklanjanjem već odloženog otpada. Potrebno je istovremeno ukloniti ili smanjiti uzroke njihovog nastanka.</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planskom periodu sprečavanje ponovnog nelegalnog odlaganja treba zasnivati na kombinaciji </w:t>
      </w:r>
      <w:r w:rsidRPr="00615350">
        <w:rPr>
          <w:rFonts w:ascii="Times New Roman" w:eastAsia="Times New Roman" w:hAnsi="Times New Roman" w:cs="Times New Roman"/>
          <w:b/>
          <w:bCs/>
          <w:sz w:val="24"/>
          <w:szCs w:val="24"/>
        </w:rPr>
        <w:t>organizacijskih, tehničkih, nadzornih i edukativnih mjera</w:t>
      </w:r>
      <w:r w:rsidRPr="00615350">
        <w:rPr>
          <w:rFonts w:ascii="Times New Roman" w:eastAsia="Times New Roman" w:hAnsi="Times New Roman" w:cs="Times New Roman"/>
          <w:sz w:val="24"/>
          <w:szCs w:val="24"/>
        </w:rPr>
        <w:t>.</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Prioritetne aktivnosti obuhvataju:</w:t>
      </w:r>
    </w:p>
    <w:p w:rsidR="00EC63FB" w:rsidRPr="00615350" w:rsidRDefault="00EC63FB" w:rsidP="00C1197A">
      <w:pPr>
        <w:numPr>
          <w:ilvl w:val="0"/>
          <w:numId w:val="3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povećanje obuhvata organizovanim sakupljanjem, posebno u ruralnim područjima; </w:t>
      </w:r>
    </w:p>
    <w:p w:rsidR="00EC63FB" w:rsidRPr="00615350" w:rsidRDefault="00EC63FB" w:rsidP="00C1197A">
      <w:pPr>
        <w:numPr>
          <w:ilvl w:val="0"/>
          <w:numId w:val="3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dostupnu mogućnost predaje kabastog i neopasnog građevinskog otpada; </w:t>
      </w:r>
    </w:p>
    <w:p w:rsidR="00EC63FB" w:rsidRPr="00615350" w:rsidRDefault="00EC63FB" w:rsidP="00C1197A">
      <w:pPr>
        <w:numPr>
          <w:ilvl w:val="0"/>
          <w:numId w:val="3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redovno informisanje o terminima i načinima preuzimanja pojedinih tokova; </w:t>
      </w:r>
    </w:p>
    <w:p w:rsidR="00EC63FB" w:rsidRPr="00615350" w:rsidRDefault="00EC63FB" w:rsidP="00C1197A">
      <w:pPr>
        <w:numPr>
          <w:ilvl w:val="0"/>
          <w:numId w:val="3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pojačan nadzor na poznatim kritičnim lokacijama; </w:t>
      </w:r>
    </w:p>
    <w:p w:rsidR="00EC63FB" w:rsidRPr="00615350" w:rsidRDefault="00EC63FB" w:rsidP="00C1197A">
      <w:pPr>
        <w:numPr>
          <w:ilvl w:val="0"/>
          <w:numId w:val="3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evidentiranje ponovnog nastanka otpada na saniranim lokacijama; </w:t>
      </w:r>
    </w:p>
    <w:p w:rsidR="00EC63FB" w:rsidRPr="00615350" w:rsidRDefault="00EC63FB" w:rsidP="00C1197A">
      <w:pPr>
        <w:numPr>
          <w:ilvl w:val="0"/>
          <w:numId w:val="3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postavljanje prepreka ili drugih mjera kontrole pristupa gdje je opravdano; </w:t>
      </w:r>
    </w:p>
    <w:p w:rsidR="00EC63FB" w:rsidRPr="00615350" w:rsidRDefault="00EC63FB" w:rsidP="00C1197A">
      <w:pPr>
        <w:numPr>
          <w:ilvl w:val="0"/>
          <w:numId w:val="3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saradnju sa mjesnim zajednicama i stanovništvom; </w:t>
      </w:r>
    </w:p>
    <w:p w:rsidR="00EC63FB" w:rsidRPr="00615350" w:rsidRDefault="00EC63FB" w:rsidP="00C1197A">
      <w:pPr>
        <w:numPr>
          <w:ilvl w:val="0"/>
          <w:numId w:val="3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primjenu propisanih mjera i sankcija za nepropisno odlaganje. </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Posebno je potrebno uspostaviti vezu između godišnjeg popisa neuređenih odlagališta i Akcionog plana LPUO. Za svaku godinu treba utvrditi prioritetne lokacije za sanaciju, nosioce aktivnosti, okvirna sredstva i status nakon sprovedenih radova.</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Uspješnost mjera treba pratiti kroz najmanje sljedeće pokazatelje: broj evidentiranih lokacija, broj saniranih lokacija, broj ponovo formiranih lokacija, količinu uklonjenog otpada i broj sprovedenih nadzornih i preventivnih aktivnosti.</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Plansko opredjeljenje je da se tokom perioda 2026–2029. </w:t>
      </w:r>
      <w:r w:rsidRPr="00615350">
        <w:rPr>
          <w:rFonts w:ascii="Times New Roman" w:eastAsia="Times New Roman" w:hAnsi="Times New Roman" w:cs="Times New Roman"/>
          <w:b/>
          <w:bCs/>
          <w:sz w:val="24"/>
          <w:szCs w:val="24"/>
        </w:rPr>
        <w:t>prioritetna neuređena odlagališta saniraju, spriječi nastanak novih lokacija i uspostavi stabilan sistem praćenja</w:t>
      </w:r>
      <w:r w:rsidRPr="00615350">
        <w:rPr>
          <w:rFonts w:ascii="Times New Roman" w:eastAsia="Times New Roman" w:hAnsi="Times New Roman" w:cs="Times New Roman"/>
          <w:sz w:val="24"/>
          <w:szCs w:val="24"/>
        </w:rPr>
        <w:t>, dok se „Rujiške laze“, nakon stvaranja uslova za prelazak na regionalni sistem, zatvore i saniraju u skladu sa odgovarajućom tehničkom dokumentacijom.</w:t>
      </w:r>
    </w:p>
    <w:p w:rsidR="0043118E" w:rsidRPr="00615350" w:rsidRDefault="0043118E" w:rsidP="00C34216">
      <w:pPr>
        <w:pStyle w:val="Heading1"/>
        <w:rPr>
          <w:rFonts w:eastAsia="Times New Roman"/>
        </w:rPr>
      </w:pPr>
      <w:bookmarkStart w:id="68" w:name="_Toc240282326"/>
      <w:r w:rsidRPr="00615350">
        <w:rPr>
          <w:rFonts w:eastAsia="Times New Roman"/>
        </w:rPr>
        <w:t>10. UPRAVLJANJE KANALIZACIONIM MULJEM</w:t>
      </w:r>
      <w:bookmarkEnd w:id="68"/>
    </w:p>
    <w:p w:rsidR="002217E1" w:rsidRPr="00615350" w:rsidRDefault="002217E1" w:rsidP="002217E1">
      <w:pPr>
        <w:pStyle w:val="Heading2"/>
        <w:rPr>
          <w:rFonts w:eastAsia="Times New Roman"/>
        </w:rPr>
      </w:pPr>
      <w:bookmarkStart w:id="69" w:name="_Toc240282327"/>
      <w:r w:rsidRPr="00615350">
        <w:rPr>
          <w:rFonts w:eastAsia="Times New Roman"/>
        </w:rPr>
        <w:t>10.1. Postojeći sistem i planirani način upravljanja kanalizacionim muljem</w:t>
      </w:r>
      <w:bookmarkEnd w:id="69"/>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Kanalizacioni mulj nastaje kao rezultat biološkog prečišćavanja komunalnih otpadnih voda na Postrojenju za prečišćavanje otpadnih voda (PPOV) Berane. Postrojenje je u funkciji od 2019. godine i primjenjuje mehanički i biološki tretman otpadnih voda. Prema raspoloživim podacima, biološki tretman se odvija u SBR reaktorima, iz kojih se izdvojeni višak mulja prepumpava u rezervoar za skladištenje i starenje – bafer tank. </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bafer tanku dolazi do starenja i zgušnjavanja mulja, odnosno izdvajanja dijela vode, nakon čega se mulj upućuje na dehidrataciju. Dehidratacija se vrši pomoću filter presa, uz primjenu </w:t>
      </w:r>
      <w:r w:rsidRPr="00615350">
        <w:rPr>
          <w:rFonts w:ascii="Times New Roman" w:eastAsia="Times New Roman" w:hAnsi="Times New Roman" w:cs="Times New Roman"/>
          <w:sz w:val="24"/>
          <w:szCs w:val="24"/>
        </w:rPr>
        <w:lastRenderedPageBreak/>
        <w:t xml:space="preserve">polielektrolita kao dehidratacionog sredstva. Izdvojena voda vraća se u proces prečišćavanja, dok se dehidrirani mulj transportuje u kontejnere za dalji odvoz. </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Prema podacima PPOV Berane, proizvedeno je </w:t>
      </w:r>
      <w:r w:rsidRPr="00615350">
        <w:rPr>
          <w:rFonts w:ascii="Times New Roman" w:eastAsia="Times New Roman" w:hAnsi="Times New Roman" w:cs="Times New Roman"/>
          <w:b/>
          <w:bCs/>
          <w:sz w:val="24"/>
          <w:szCs w:val="24"/>
        </w:rPr>
        <w:t>159 m³ mulja u 2023. godini, 107,8 m³ u 2024. godini i 100 m³ u 2025. godini</w:t>
      </w:r>
      <w:r w:rsidRPr="00615350">
        <w:rPr>
          <w:rFonts w:ascii="Times New Roman" w:eastAsia="Times New Roman" w:hAnsi="Times New Roman" w:cs="Times New Roman"/>
          <w:sz w:val="24"/>
          <w:szCs w:val="24"/>
        </w:rPr>
        <w:t xml:space="preserve">. Za 2025. godinu podatak od 100 m³ potvrđen je i u Izvještaju o stanju ispuštanja otpadnih voda za teritoriju Opštine Berane. </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 tumačenju podataka o količinama potrebno je imati u vidu da mulj tokom tehnološkog procesa sadrži značajan udio vode. Prema tehnološkom opisu PPOV-a, iz SBR rezervoara se dnevno prepumpava približno 30 m³ mješavine mulja i vode, ali se na osnovu ove vrijednosti ne može pouzdano utvrditi količina proizvedenog mulja, upravo zbog visokog sadržaja vode. Zbog toga je za praćenje sistema važno jasno evidentirati na koju fazu obrade se odnose prijavljene količine mulja.</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Raspoloživa dokumentacija opisuje način nastanka, zgušnjavanja i dehidratacije mulja na PPOV-u, ali ne pruža dovoljno podataka o njegovom sastavu i karakteristikama, niti jasno dokumentuje konačnu destinaciju i postupak nakon odvoza dehidriranog mulja. Zbog toga je u planskom periodu potrebno unaprijediti evidenciju o količinama i karakteristikama mulja, kao i dokumentovanje njegovog daljeg kretanja i konačnog postupanja.</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skladu sa tim, potrebno je:</w:t>
      </w:r>
    </w:p>
    <w:p w:rsidR="002217E1" w:rsidRPr="00615350" w:rsidRDefault="002217E1" w:rsidP="002217E1">
      <w:pPr>
        <w:numPr>
          <w:ilvl w:val="0"/>
          <w:numId w:val="5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voditi evidenciju o količinama proizvedenog i obrađenog mulja, uz jasno navođenje faze obrade na koju se evidentirana količina odnosi; </w:t>
      </w:r>
    </w:p>
    <w:p w:rsidR="002217E1" w:rsidRPr="00615350" w:rsidRDefault="002217E1" w:rsidP="002217E1">
      <w:pPr>
        <w:numPr>
          <w:ilvl w:val="0"/>
          <w:numId w:val="5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obezbijediti odgovarajuću karakterizaciju mulja kao osnovu za izbor daljeg postupanja; </w:t>
      </w:r>
    </w:p>
    <w:p w:rsidR="002217E1" w:rsidRPr="00615350" w:rsidRDefault="002217E1" w:rsidP="002217E1">
      <w:pPr>
        <w:numPr>
          <w:ilvl w:val="0"/>
          <w:numId w:val="5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evidentirati način i mjesto privremenog skladištenja, predaje, transporta i konačnog postupanja; </w:t>
      </w:r>
    </w:p>
    <w:p w:rsidR="002217E1" w:rsidRPr="00615350" w:rsidRDefault="002217E1" w:rsidP="002217E1">
      <w:pPr>
        <w:numPr>
          <w:ilvl w:val="0"/>
          <w:numId w:val="5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obezbijediti predaju i transport u skladu sa propisanim uslovima; </w:t>
      </w:r>
    </w:p>
    <w:p w:rsidR="002217E1" w:rsidRPr="00615350" w:rsidRDefault="002217E1" w:rsidP="002217E1">
      <w:pPr>
        <w:numPr>
          <w:ilvl w:val="0"/>
          <w:numId w:val="5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 osnovu karakterizacije mulja i odgovarajuće tehničko-ekonomske analize definisati dugoročno rješenje za njegovu obradu i konačno postupanje. </w:t>
      </w:r>
    </w:p>
    <w:p w:rsidR="002217E1" w:rsidRPr="00615350" w:rsidRDefault="002217E1" w:rsidP="002217E1">
      <w:pPr>
        <w:pStyle w:val="Heading2"/>
        <w:rPr>
          <w:rFonts w:eastAsia="Times New Roman"/>
        </w:rPr>
      </w:pPr>
      <w:bookmarkStart w:id="70" w:name="_Toc240282328"/>
      <w:r w:rsidRPr="00615350">
        <w:rPr>
          <w:rFonts w:eastAsia="Times New Roman"/>
        </w:rPr>
        <w:t>10.2. Dalja obrada i konačno postupanje sa kanalizacionim muljem</w:t>
      </w:r>
      <w:bookmarkEnd w:id="70"/>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Izbor dugoročnog načina postupanja sa kanalizacionim muljem treba zasnivati na njegovim fizičkim, hemijskim i biološkim karakteristikama, stepenu prethodne obrade, raspoloživim kapacitetima i zahtjevima zaštite životne sredine.</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Za Berane se ovim Planom </w:t>
      </w:r>
      <w:r w:rsidRPr="00615350">
        <w:rPr>
          <w:rFonts w:ascii="Times New Roman" w:eastAsia="Times New Roman" w:hAnsi="Times New Roman" w:cs="Times New Roman"/>
          <w:b/>
          <w:bCs/>
          <w:sz w:val="24"/>
          <w:szCs w:val="24"/>
        </w:rPr>
        <w:t>ne određuje unaprijed konačna tehnologija ili način konačnog postupanja sa kanalizacionim muljem</w:t>
      </w:r>
      <w:r w:rsidRPr="00615350">
        <w:rPr>
          <w:rFonts w:ascii="Times New Roman" w:eastAsia="Times New Roman" w:hAnsi="Times New Roman" w:cs="Times New Roman"/>
          <w:sz w:val="24"/>
          <w:szCs w:val="24"/>
        </w:rPr>
        <w:t>. Postojeći PPOV već raspolaže sistemom za zgušnjavanje i dehidrataciju mulja, dok je dugoročno rješenje za dalju obradu i konačno postupanje potrebno utvrditi na osnovu karakterizacije mulja i odgovarajuće studijske i tehničke dokumentacije.</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Ovakav pristup je u skladu i sa zvaničnim Izvještajem o stanju ispuštanja otpadnih voda za 2025. godinu, u kojem je kao jedna od potreba za naredni period navedena </w:t>
      </w:r>
      <w:r w:rsidRPr="00615350">
        <w:rPr>
          <w:rFonts w:ascii="Times New Roman" w:eastAsia="Times New Roman" w:hAnsi="Times New Roman" w:cs="Times New Roman"/>
          <w:b/>
          <w:bCs/>
          <w:sz w:val="24"/>
          <w:szCs w:val="24"/>
        </w:rPr>
        <w:t>realizacija projekta postrojenja za obradu kanalizacionog mulja</w:t>
      </w:r>
      <w:r w:rsidRPr="00615350">
        <w:rPr>
          <w:rFonts w:ascii="Times New Roman" w:eastAsia="Times New Roman" w:hAnsi="Times New Roman" w:cs="Times New Roman"/>
          <w:sz w:val="24"/>
          <w:szCs w:val="24"/>
        </w:rPr>
        <w:t xml:space="preserve">. </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zavisnosti od rezultata karakterizacije i ispunjenosti propisanih uslova, potrebno je razmotriti mogućnosti dalje obrade i odgovarajućeg iskorišćenja mulja. Odstranjivanje treba primjenjivati kada druge tehnički, ekološki i ekonomski prihvatljive mogućnosti nijesu raspoložive, uz sprječavanje svakog nekontrolisanog odlaganja koje bi moglo dovesti do zagađenja zemljišta, površinskih ili podzemnih voda.</w:t>
      </w:r>
    </w:p>
    <w:p w:rsidR="002217E1" w:rsidRPr="00615350" w:rsidRDefault="002217E1" w:rsidP="002217E1">
      <w:pPr>
        <w:rPr>
          <w:rFonts w:ascii="Times New Roman" w:hAnsi="Times New Roman" w:cs="Times New Roman"/>
          <w:b/>
          <w:sz w:val="24"/>
        </w:rPr>
      </w:pPr>
      <w:r w:rsidRPr="00615350">
        <w:rPr>
          <w:rFonts w:ascii="Times New Roman" w:hAnsi="Times New Roman" w:cs="Times New Roman"/>
          <w:b/>
          <w:sz w:val="24"/>
        </w:rPr>
        <w:t>Plansko opredjeljenje</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periodu 2026–2029. godine prioritet predstavlja uspostavljanje </w:t>
      </w:r>
      <w:r w:rsidRPr="00615350">
        <w:rPr>
          <w:rFonts w:ascii="Times New Roman" w:eastAsia="Times New Roman" w:hAnsi="Times New Roman" w:cs="Times New Roman"/>
          <w:b/>
          <w:bCs/>
          <w:sz w:val="24"/>
          <w:szCs w:val="24"/>
        </w:rPr>
        <w:t>potpuno dokumentovanog sistema upravljanja kanalizacionim muljem</w:t>
      </w:r>
      <w:r w:rsidRPr="00615350">
        <w:rPr>
          <w:rFonts w:ascii="Times New Roman" w:eastAsia="Times New Roman" w:hAnsi="Times New Roman" w:cs="Times New Roman"/>
          <w:sz w:val="24"/>
          <w:szCs w:val="24"/>
        </w:rPr>
        <w:t>, od njegovog nastanka i postojeće obrade na PPOV-u do predaje i konačnog postupanja.</w:t>
      </w:r>
    </w:p>
    <w:p w:rsidR="002217E1" w:rsidRPr="00615350" w:rsidRDefault="002217E1" w:rsidP="002217E1">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Do kraja planskog perioda potrebno je obezbijediti pouzdanu evidenciju količina, karakterizaciju mulja i dokumentovanje njegovog daljeg kretanja, kao i definisati dugoročno rješenje za obradu i konačno postupanje na osnovu odgovarajuće tehničke, ekološke i ekonomske analize.</w:t>
      </w:r>
    </w:p>
    <w:p w:rsidR="0043118E" w:rsidRPr="00615350" w:rsidRDefault="0043118E" w:rsidP="00C34216">
      <w:pPr>
        <w:pStyle w:val="Heading1"/>
        <w:rPr>
          <w:rFonts w:eastAsia="Times New Roman"/>
        </w:rPr>
      </w:pPr>
      <w:bookmarkStart w:id="71" w:name="_Toc240282329"/>
      <w:r w:rsidRPr="00615350">
        <w:rPr>
          <w:rFonts w:eastAsia="Times New Roman"/>
        </w:rPr>
        <w:t>11. INFORMISANJE, EDUKACIJA I UČEŠĆE JAVNOSTI</w:t>
      </w:r>
      <w:bookmarkEnd w:id="71"/>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Uspješnost planiranog sistema upravljanja otpadom u velikoj mjeri zavisi od učešća građana, privrednih subjekata i institucija. Uvođenje odvojenog sakupljanja, kućnog kompostiranja, ponovne upotrebe i pravilnog postupanja sa posebnim tokovima otpada zahtijeva da korisnici budu pravovremeno i jasno informisani o svojim obavezama i načinu korišćenja sistema.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Informisanje i edukacija zato treba da predstavljaju kontinuiranu aktivnost tokom cijelog perioda realizacije Lokalnog plana, a ne samo povremene kampanje.</w:t>
      </w:r>
    </w:p>
    <w:p w:rsidR="0043118E" w:rsidRPr="00615350" w:rsidRDefault="0043118E" w:rsidP="00C34216">
      <w:pPr>
        <w:pStyle w:val="Heading2"/>
        <w:rPr>
          <w:rFonts w:eastAsia="Times New Roman"/>
        </w:rPr>
      </w:pPr>
      <w:bookmarkStart w:id="72" w:name="_Toc240282330"/>
      <w:r w:rsidRPr="00615350">
        <w:rPr>
          <w:rFonts w:eastAsia="Times New Roman"/>
        </w:rPr>
        <w:t>11.1. Informisanje građana o sistemu upravljanja otpadom</w:t>
      </w:r>
      <w:bookmarkEnd w:id="72"/>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Opština Berane i DOO „Komunalno“ treba da obezbijede dostupne i ažurne informacije o načinu sakupljanja i predaje pojedinih vrsta otpada.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Građanima je naročito potrebno obezbijediti informacije o:</w:t>
      </w:r>
    </w:p>
    <w:p w:rsidR="0043118E" w:rsidRPr="00615350" w:rsidRDefault="0043118E" w:rsidP="00C1197A">
      <w:pPr>
        <w:numPr>
          <w:ilvl w:val="0"/>
          <w:numId w:val="3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rasporedu i načinu redovnog sakupljanja komunalnog otpada; </w:t>
      </w:r>
    </w:p>
    <w:p w:rsidR="0043118E" w:rsidRPr="00615350" w:rsidRDefault="0043118E" w:rsidP="00C1197A">
      <w:pPr>
        <w:numPr>
          <w:ilvl w:val="0"/>
          <w:numId w:val="3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pravilnom razdvajanju suve reciklabilne i preostale frakcije; </w:t>
      </w:r>
    </w:p>
    <w:p w:rsidR="0043118E" w:rsidRPr="00615350" w:rsidRDefault="0043118E" w:rsidP="00C1197A">
      <w:pPr>
        <w:numPr>
          <w:ilvl w:val="0"/>
          <w:numId w:val="3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lokacijama namjenskih posuda za staklo i druge odvojeno sakupljene tokove; </w:t>
      </w:r>
    </w:p>
    <w:p w:rsidR="0043118E" w:rsidRPr="00615350" w:rsidRDefault="0043118E" w:rsidP="00C1197A">
      <w:pPr>
        <w:numPr>
          <w:ilvl w:val="0"/>
          <w:numId w:val="3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načinu predaje kabastog otpada; </w:t>
      </w:r>
    </w:p>
    <w:p w:rsidR="0043118E" w:rsidRPr="00615350" w:rsidRDefault="0043118E" w:rsidP="00C1197A">
      <w:pPr>
        <w:numPr>
          <w:ilvl w:val="0"/>
          <w:numId w:val="3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mogućnostima predaje električne i elektronske opreme, baterija, tekstila i drugih posebnih tokova; </w:t>
      </w:r>
    </w:p>
    <w:p w:rsidR="0043118E" w:rsidRPr="00615350" w:rsidRDefault="0043118E" w:rsidP="00C1197A">
      <w:pPr>
        <w:numPr>
          <w:ilvl w:val="0"/>
          <w:numId w:val="3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 xml:space="preserve">načinu postupanja sa neopasnim građevinskim otpadom iz domaćinstava; </w:t>
      </w:r>
    </w:p>
    <w:p w:rsidR="0043118E" w:rsidRPr="00615350" w:rsidRDefault="0043118E" w:rsidP="00C1197A">
      <w:pPr>
        <w:numPr>
          <w:ilvl w:val="0"/>
          <w:numId w:val="3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programu kućnog kompostiranja; </w:t>
      </w:r>
    </w:p>
    <w:p w:rsidR="0043118E" w:rsidRPr="00615350" w:rsidRDefault="0043118E" w:rsidP="00C1197A">
      <w:pPr>
        <w:numPr>
          <w:ilvl w:val="0"/>
          <w:numId w:val="3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mogućnostima ponovne upotrebe predmeta; </w:t>
      </w:r>
    </w:p>
    <w:p w:rsidR="0043118E" w:rsidRPr="00615350" w:rsidRDefault="0043118E" w:rsidP="00C1197A">
      <w:pPr>
        <w:numPr>
          <w:ilvl w:val="0"/>
          <w:numId w:val="39"/>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lokacijama i načinu korišćenja budućeg reciklažnog centra.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Posebno je važno da se informativne aktivnosti sprovode </w:t>
      </w:r>
      <w:r w:rsidRPr="00615350">
        <w:rPr>
          <w:rFonts w:ascii="Times New Roman" w:eastAsia="Times New Roman" w:hAnsi="Times New Roman" w:cs="Times New Roman"/>
          <w:b/>
          <w:bCs/>
          <w:sz w:val="24"/>
          <w:szCs w:val="24"/>
        </w:rPr>
        <w:t>prije uvođenja novih posuda, promjene načina sakupljanja ili proširenja sistema na nova naselja</w:t>
      </w:r>
      <w:r w:rsidRPr="00615350">
        <w:rPr>
          <w:rFonts w:ascii="Times New Roman" w:eastAsia="Times New Roman" w:hAnsi="Times New Roman" w:cs="Times New Roman"/>
          <w:sz w:val="24"/>
          <w:szCs w:val="24"/>
        </w:rPr>
        <w:t>, kako bi korisnici razumjeli način funkcionisanja sistema od samog početka.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Informacije treba objavljivati putem internet stranica Opštine i DOO „Komunalno“, društvenih mreža, lokalnih medija, štampanih materijala i obavještenja dostavljenih korisnicima komunalnih usluga.</w:t>
      </w:r>
    </w:p>
    <w:p w:rsidR="0043118E" w:rsidRPr="00615350" w:rsidRDefault="0043118E" w:rsidP="00C34216">
      <w:pPr>
        <w:pStyle w:val="Heading2"/>
        <w:rPr>
          <w:rFonts w:eastAsia="Times New Roman"/>
        </w:rPr>
      </w:pPr>
      <w:bookmarkStart w:id="73" w:name="_Toc240282331"/>
      <w:r w:rsidRPr="00615350">
        <w:rPr>
          <w:rFonts w:eastAsia="Times New Roman"/>
        </w:rPr>
        <w:t>11.2. Edukacija stanovništva</w:t>
      </w:r>
      <w:bookmarkEnd w:id="73"/>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Edukativne aktivnosti treba prvenstveno usmjeriti na praktične postupke kojima građani mogu neposredno doprinijeti ostvarivanju ciljeva Lokalnog plana.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Prioritetne teme treba da budu:</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sprječavanje nastanka otpada, ponovna upotreba, pravilno razdvajanje reciklabilnih materijala, kućno kompostiranje, smanjenje otpada od hrane, pravilna predaja kabastog i posebnih tokova otpada i posljedice nepropisnog odlaganja.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Posebnu pažnju treba posvetiti objašnjavanju sadržaja pojedinih posuda. Nepravilno razdvajanje i kontaminacija reciklabilnih frakcija mogu značajno smanjiti količinu materijala koji se nakon sakupljanja može stvarno uputiti na reciklažu.</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Sa razvojem sistema odvojenog sakupljanja potrebno je sprovoditi ciljane kampanje u naseljima u kojima se sistem uvodi, umjesto oslanjanja samo na opšte kampanje na nivou cijele opštine.</w:t>
      </w:r>
    </w:p>
    <w:p w:rsidR="0043118E" w:rsidRPr="00615350" w:rsidRDefault="0043118E" w:rsidP="00C34216">
      <w:pPr>
        <w:pStyle w:val="Heading2"/>
        <w:rPr>
          <w:rFonts w:eastAsia="Times New Roman"/>
        </w:rPr>
      </w:pPr>
      <w:bookmarkStart w:id="74" w:name="_Toc240282332"/>
      <w:r w:rsidRPr="00615350">
        <w:rPr>
          <w:rFonts w:eastAsia="Times New Roman"/>
        </w:rPr>
        <w:t>11.3. Rad sa djecom i mladima</w:t>
      </w:r>
      <w:bookmarkEnd w:id="74"/>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Obrazovne ustanove predstavljaju posebno značajnog partnera u razvoju dugoročnih navika odgovornog postupanja sa otpadom.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saradnji sa vrtićima, osnovnim i srednjim školama mogu se organizovati edukativne radionice, akcije odvojenog sakupljanja, programi smanjenja otpada od hrane, aktivnosti ponovne upotrebe i druge praktične aktivnosti prilagođene uzrastu djece i mladih.</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Poželjno je da se edukacija povezuje sa konkretnim promjenama sistema u školi, kao što su postavljanje posuda za odvojeno sakupljanje i smanjenje korišćenja jednokratnih proizvoda.</w:t>
      </w:r>
    </w:p>
    <w:p w:rsidR="0043118E" w:rsidRPr="00615350" w:rsidRDefault="0043118E" w:rsidP="00C34216">
      <w:pPr>
        <w:pStyle w:val="Heading2"/>
        <w:rPr>
          <w:rFonts w:eastAsia="Times New Roman"/>
        </w:rPr>
      </w:pPr>
      <w:bookmarkStart w:id="75" w:name="_Toc240282333"/>
      <w:r w:rsidRPr="00615350">
        <w:rPr>
          <w:rFonts w:eastAsia="Times New Roman"/>
        </w:rPr>
        <w:lastRenderedPageBreak/>
        <w:t>11.4. Saradnja sa privredom i institucijama</w:t>
      </w:r>
      <w:bookmarkEnd w:id="75"/>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Posebne informativne aktivnosti potrebno je usmjeriti prema privrednim subjektima kod kojih nastaju značajnije količine pojedinih tokova otpada, naročito trgovinskim i ugostiteljskim objektima, pijacama, ustanovama, hotelima i drugim poslovnim korisnicima.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Saradnja treba da bude usmjerena na odvojeno izdvajanje reciklabilnih materijala i biootpada, smanjenje otpada od hrane, pravilno postupanje sa posebnim tokovima i uključivanje odgovarajućih vrsta otpada u sisteme </w:t>
      </w:r>
      <w:r w:rsidRPr="00615350">
        <w:rPr>
          <w:rFonts w:ascii="Times New Roman" w:eastAsia="Times New Roman" w:hAnsi="Times New Roman" w:cs="Times New Roman"/>
          <w:b/>
          <w:bCs/>
          <w:sz w:val="24"/>
          <w:szCs w:val="24"/>
        </w:rPr>
        <w:t>proširene odgovornosti proizvođača</w:t>
      </w:r>
      <w:r w:rsidRPr="00615350">
        <w:rPr>
          <w:rFonts w:ascii="Times New Roman" w:eastAsia="Times New Roman" w:hAnsi="Times New Roman" w:cs="Times New Roman"/>
          <w:sz w:val="24"/>
          <w:szCs w:val="24"/>
        </w:rPr>
        <w:t>, u skladu sa Zakonom.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realizaciju edukativnih aktivnosti, pored Opštine i DOO „Komunalno“, mogu se uključiti obrazovne ustanove, mjesne zajednice, nevladine organizacije, privredni subjekti, ovlašćeni operateri i drugi zainteresovani akteri.</w:t>
      </w:r>
    </w:p>
    <w:p w:rsidR="0043118E" w:rsidRPr="00615350" w:rsidRDefault="0043118E" w:rsidP="00C34216">
      <w:pPr>
        <w:pStyle w:val="Heading2"/>
        <w:rPr>
          <w:rFonts w:eastAsia="Times New Roman"/>
        </w:rPr>
      </w:pPr>
      <w:bookmarkStart w:id="76" w:name="_Toc240282334"/>
      <w:r w:rsidRPr="00615350">
        <w:rPr>
          <w:rFonts w:eastAsia="Times New Roman"/>
        </w:rPr>
        <w:t>11.5. Učešće javnosti i prijavljivanje problema</w:t>
      </w:r>
      <w:bookmarkEnd w:id="76"/>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Građanima treba omogućiti jednostavan način prijavljivanja nelegalnog odlaganja otpada, prepunjenih posuda, problema u sakupljanju i drugih nepravilnosti.</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Prijavljene probleme potrebno je evidentirati, proslijediti nadležnoj službi i pratiti način njihovog rješavanja. Evidencija prijava može istovremeno služiti za identifikovanje lokacija na kojima se problemi ponavljaju i za prilagođavanje sistema sakupljanja.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Učešće javnosti posebno je značajno prilikom uvođenja novih rješenja. Povratne informacije korisnika mogu pomoći pri određivanju lokacija posuda, dinamike pražnjenja, organizaciji sistema u ruralnim naseljima i razvoju programa kućnog kompostiranja.</w:t>
      </w:r>
    </w:p>
    <w:p w:rsidR="0043118E" w:rsidRPr="00615350" w:rsidRDefault="0043118E" w:rsidP="00C34216">
      <w:pPr>
        <w:pStyle w:val="Heading2"/>
        <w:rPr>
          <w:rFonts w:eastAsia="Times New Roman"/>
        </w:rPr>
      </w:pPr>
      <w:bookmarkStart w:id="77" w:name="_Toc240282335"/>
      <w:r w:rsidRPr="00615350">
        <w:rPr>
          <w:rFonts w:eastAsia="Times New Roman"/>
        </w:rPr>
        <w:t>11.6. Praćenje realizacije</w:t>
      </w:r>
      <w:bookmarkEnd w:id="77"/>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Realizaciju aktivnosti informisanja i edukacije treba pratiti kroz jednostavne i mjerljive pokazatelje, kao što su broj sprovedenih kampanja i edukativnih aktivnosti, broj uključenih škola i drugih institucija, broj domaćinstava obuhvaćenih programima, broj prijava građana i, gdje je moguće, promjene u količinama i kvalitetu odvojeno sakupljenog otpada.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Posebno koristan pokazatelj biće </w:t>
      </w:r>
      <w:r w:rsidRPr="00615350">
        <w:rPr>
          <w:rFonts w:ascii="Times New Roman" w:eastAsia="Times New Roman" w:hAnsi="Times New Roman" w:cs="Times New Roman"/>
          <w:b/>
          <w:bCs/>
          <w:sz w:val="24"/>
          <w:szCs w:val="24"/>
        </w:rPr>
        <w:t>udio nečistoća u odvojeno sakupljenoj reciklabilnoj frakciji</w:t>
      </w:r>
      <w:r w:rsidRPr="00615350">
        <w:rPr>
          <w:rFonts w:ascii="Times New Roman" w:eastAsia="Times New Roman" w:hAnsi="Times New Roman" w:cs="Times New Roman"/>
          <w:sz w:val="24"/>
          <w:szCs w:val="24"/>
        </w:rPr>
        <w:t>, jer neposredno pokazuje koliko korisnici pravilno primjenjuju sistem.</w:t>
      </w:r>
    </w:p>
    <w:p w:rsidR="0043118E" w:rsidRPr="00615350" w:rsidRDefault="0043118E" w:rsidP="00E56FE7">
      <w:pPr>
        <w:rPr>
          <w:rFonts w:ascii="Times New Roman" w:hAnsi="Times New Roman" w:cs="Times New Roman"/>
          <w:b/>
          <w:sz w:val="24"/>
          <w:szCs w:val="24"/>
        </w:rPr>
      </w:pPr>
      <w:r w:rsidRPr="00615350">
        <w:rPr>
          <w:rFonts w:ascii="Times New Roman" w:hAnsi="Times New Roman" w:cs="Times New Roman"/>
          <w:b/>
          <w:sz w:val="24"/>
          <w:szCs w:val="24"/>
        </w:rPr>
        <w:t>Plansko opredjeljenje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periodu 2026–2029. godine Opština Berane treba da uspostavi kontinuiran sistem informisanja i edukacije koji će pratiti razvoj infrastrukture i svaku značajniju promjenu načina sakupljanja otpada.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Prioritet treba dati praktičnim i ciljanim aktivnostima povezanim sa konkretnim mjerama Lokalnog plana – uvođenjem primarne selekcije, kućnog kompostiranja, radom reciklažnog centra, upravljanjem posebnim tokovima i sprečavanjem nepropisnog odlaganja.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Time informisanje i edukacija postaju </w:t>
      </w:r>
      <w:r w:rsidRPr="00615350">
        <w:rPr>
          <w:rFonts w:ascii="Times New Roman" w:eastAsia="Times New Roman" w:hAnsi="Times New Roman" w:cs="Times New Roman"/>
          <w:b/>
          <w:bCs/>
          <w:sz w:val="24"/>
          <w:szCs w:val="24"/>
        </w:rPr>
        <w:t>instrument sprovođenja Lokalnog plana</w:t>
      </w:r>
      <w:r w:rsidRPr="00615350">
        <w:rPr>
          <w:rFonts w:ascii="Times New Roman" w:eastAsia="Times New Roman" w:hAnsi="Times New Roman" w:cs="Times New Roman"/>
          <w:sz w:val="24"/>
          <w:szCs w:val="24"/>
        </w:rPr>
        <w:t>, a ne izdvojena aktivnost, jer ostvarivanje ciljeva odvojenog sakupljanja, reciklaže, ponovne upotrebe i smanjenja odlaganja neposredno zavisi od pravilnog učešća korisnika sistema.</w:t>
      </w:r>
    </w:p>
    <w:p w:rsidR="0043118E" w:rsidRPr="00615350" w:rsidRDefault="0043118E" w:rsidP="00C34216">
      <w:pPr>
        <w:pStyle w:val="Heading1"/>
        <w:rPr>
          <w:rFonts w:eastAsia="Times New Roman"/>
        </w:rPr>
      </w:pPr>
      <w:bookmarkStart w:id="78" w:name="_Toc240282336"/>
      <w:r w:rsidRPr="00615350">
        <w:rPr>
          <w:rFonts w:eastAsia="Times New Roman"/>
        </w:rPr>
        <w:t>12. INSTITUCIONALNI OKVIR I ORGANIZACIJA SPROVOĐENJA PLANA</w:t>
      </w:r>
      <w:bookmarkEnd w:id="78"/>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Sprovođenje Lokalnog plana upravljanja komunalnim i neopasnim građevinskim otpadom Opštine Berane za period 2026–2029. godine zahtijeva jasno razgraničenje odgovornosti između Opštine Berane, DOO „Komunalno“ Berane, nadležnih državnih organa, organa nadzora, operatera otpada, sistema proširene odgovornosti proizvođača i drugih učesnika u sistemu.</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Institucionalni okvir zasniva se na Zakonu o upravljanju otpadom, propisima kojima se uređuju komunalne djelatnosti i lokalna samouprava, Državnom planu upravljanja otpadom 2025–2029. godine i odgovarajućim lokalnim aktima. Upravljanje otpadom predstavlja djelatnost od javnog interesa, dok jedinica lokalne samouprave ima ključnu ulogu u organizovanju sistema upravljanja komunalnim otpadom na svojoj teritoriji.</w:t>
      </w:r>
    </w:p>
    <w:p w:rsidR="0043118E" w:rsidRPr="00615350" w:rsidRDefault="0043118E" w:rsidP="00C34216">
      <w:pPr>
        <w:pStyle w:val="Heading2"/>
        <w:rPr>
          <w:rFonts w:eastAsia="Times New Roman"/>
        </w:rPr>
      </w:pPr>
      <w:bookmarkStart w:id="79" w:name="_Toc240282337"/>
      <w:r w:rsidRPr="00615350">
        <w:rPr>
          <w:rFonts w:eastAsia="Times New Roman"/>
        </w:rPr>
        <w:t>12.1. Opština Berane</w:t>
      </w:r>
      <w:bookmarkEnd w:id="79"/>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Opština Berane odgovorna je za planiranje, organizovanje i praćenje lokalnog sistema upravljanja komunalnim i neopasnim građevinskim otpadom, u okviru nadležnosti utvrđenih propisima.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planskom periodu Opština treba da:</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obezbijedi sprovođenje Lokalnog plana i Akcionog plana;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uređuje način pružanja komunalne usluge u okviru svojih nadležnosti;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stvara uslove za povećanje obuhvata organizovanim sakupljanjem otpada;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obezbijedi uslove za razvoj odvojenog sakupljanja komunalnog otpada;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planira i stvara uslove za razvoj lokalne infrastrukture predviđene LPUO i DPUO;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preduzima mjere za sprečavanje nastanka i sanaciju neuređenih odlagališta;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obezbijedi planske i organizacione uslove za uspostavljanje lokacije za privremeno skladištenje neopasnog građevinskog otpada;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koordinira povezivanje lokalnog sistema sa regionalnim sistemom upravljanja otpadom;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prati ostvarivanje ciljeva Lokalnog plana;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obezbijedi informisanje i učešće javnosti; </w:t>
      </w:r>
    </w:p>
    <w:p w:rsidR="0043118E" w:rsidRPr="00615350" w:rsidRDefault="0043118E" w:rsidP="00C1197A">
      <w:pPr>
        <w:numPr>
          <w:ilvl w:val="0"/>
          <w:numId w:val="40"/>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vodi odnosno obezbjeđuje potrebne podatke i izvještavanje u skladu sa propisanim obavezama.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Odgovornost Opštine za organizovanje sistema treba razlikovati od neposrednog obavljanja operativnih poslova sakupljanja, transporta i tretmana otpada, koji se obavljaju preko odgovarajućih subjekata u skladu sa zakonom.</w:t>
      </w:r>
    </w:p>
    <w:p w:rsidR="0043118E" w:rsidRPr="00615350" w:rsidRDefault="0043118E" w:rsidP="00C34216">
      <w:pPr>
        <w:pStyle w:val="Heading2"/>
        <w:rPr>
          <w:rFonts w:eastAsia="Times New Roman"/>
        </w:rPr>
      </w:pPr>
      <w:bookmarkStart w:id="80" w:name="_Toc240282338"/>
      <w:r w:rsidRPr="00615350">
        <w:rPr>
          <w:rFonts w:eastAsia="Times New Roman"/>
        </w:rPr>
        <w:t>12.2. DOO „Komunalno“ Berane</w:t>
      </w:r>
      <w:bookmarkEnd w:id="80"/>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DOO „Komunalno“ Berane predstavlja osnovnog operativnog nosioca sistema sakupljanja i transporta komunalnog otpada na teritoriji Opštine.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okviru povjerenih poslova njegova uloga obuhvata prvenstveno:</w:t>
      </w:r>
    </w:p>
    <w:p w:rsidR="0043118E" w:rsidRPr="00615350" w:rsidRDefault="0043118E" w:rsidP="00C1197A">
      <w:pPr>
        <w:numPr>
          <w:ilvl w:val="0"/>
          <w:numId w:val="4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sakupljanje i transport komunalnog otpada; </w:t>
      </w:r>
    </w:p>
    <w:p w:rsidR="0043118E" w:rsidRPr="00615350" w:rsidRDefault="0043118E" w:rsidP="00C1197A">
      <w:pPr>
        <w:numPr>
          <w:ilvl w:val="0"/>
          <w:numId w:val="4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održavanje posuda i druge opreme za sakupljanje; </w:t>
      </w:r>
    </w:p>
    <w:p w:rsidR="0043118E" w:rsidRPr="00615350" w:rsidRDefault="0043118E" w:rsidP="00C1197A">
      <w:pPr>
        <w:numPr>
          <w:ilvl w:val="0"/>
          <w:numId w:val="4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organizaciju i optimizaciju ruta; </w:t>
      </w:r>
    </w:p>
    <w:p w:rsidR="0043118E" w:rsidRPr="00615350" w:rsidRDefault="0043118E" w:rsidP="00C1197A">
      <w:pPr>
        <w:numPr>
          <w:ilvl w:val="0"/>
          <w:numId w:val="4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operativno proširenje usluge na nepokrivena područja; </w:t>
      </w:r>
    </w:p>
    <w:p w:rsidR="0043118E" w:rsidRPr="00615350" w:rsidRDefault="0043118E" w:rsidP="00C1197A">
      <w:pPr>
        <w:numPr>
          <w:ilvl w:val="0"/>
          <w:numId w:val="4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sprovođenje odvojenog sakupljanja u skladu sa razvojem sistema; </w:t>
      </w:r>
    </w:p>
    <w:p w:rsidR="0043118E" w:rsidRPr="00615350" w:rsidRDefault="0043118E" w:rsidP="00C1197A">
      <w:pPr>
        <w:numPr>
          <w:ilvl w:val="0"/>
          <w:numId w:val="4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vođenje evidencije o količinama otpada kojima upravlja; </w:t>
      </w:r>
    </w:p>
    <w:p w:rsidR="0043118E" w:rsidRPr="00615350" w:rsidRDefault="0043118E" w:rsidP="00C1197A">
      <w:pPr>
        <w:numPr>
          <w:ilvl w:val="0"/>
          <w:numId w:val="41"/>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dostavljanje potrebnih podataka Opštini i nadležnim organima.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Sa razvojem sistema primarne selekcije operativne aktivnosti DOO „Komunalno“ treba postepeno prilagođavati odvojenom sakupljanju reciklabilnih frakcija, stakla, zelenog i kabastog otpada i drugih tokova za koje mu budu povjereni odgovarajući poslovi.</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Ukoliko DOO „Komunalno“ bude određeno za upravljanje novim objektima ili lokacijama predviđenim ovim Planom, konkretne obaveze i odgovornosti treba utvrditi odgovarajućim aktima i uskladiti sa zakonskim uslovima za obavljanje konkretnih djelatnosti.</w:t>
      </w:r>
    </w:p>
    <w:p w:rsidR="0043118E" w:rsidRPr="00615350" w:rsidRDefault="0043118E" w:rsidP="00C34216">
      <w:pPr>
        <w:pStyle w:val="Heading2"/>
        <w:rPr>
          <w:rFonts w:eastAsia="Times New Roman"/>
        </w:rPr>
      </w:pPr>
      <w:bookmarkStart w:id="81" w:name="_Toc240282339"/>
      <w:r w:rsidRPr="00615350">
        <w:rPr>
          <w:rFonts w:eastAsia="Times New Roman"/>
        </w:rPr>
        <w:t>12.3. Nadležni državni organi</w:t>
      </w:r>
      <w:bookmarkEnd w:id="81"/>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Nadležni organi državne uprave imaju regulatornu, plansku i koordinacionu ulogu u razvoju sistema upravljanja otpadom na nivou Crne Gore.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Njihova uloga obuhvata donošenje i sprovođenje državne politike i propisa, praćenje realizacije DPUO, razvoj i praćenje sistema za posebne tokove otpada i proširene odgovornosti proizvođača, kao i druge poslove utvrđene Zakonom.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Berane je posebno značajna saradnja sa nadležnim državnim organima u realizaciji infrastrukturnih projekata koji prevazilaze lokalni nivo i povezivanju sa budućim regionalnim sistemom upravljanja otpadom.</w:t>
      </w:r>
    </w:p>
    <w:p w:rsidR="0043118E" w:rsidRPr="00615350" w:rsidRDefault="0043118E" w:rsidP="00C34216">
      <w:pPr>
        <w:pStyle w:val="Heading2"/>
        <w:rPr>
          <w:rFonts w:eastAsia="Times New Roman"/>
        </w:rPr>
      </w:pPr>
      <w:bookmarkStart w:id="82" w:name="_Toc240282340"/>
      <w:r w:rsidRPr="00615350">
        <w:rPr>
          <w:rFonts w:eastAsia="Times New Roman"/>
        </w:rPr>
        <w:t>12.4. Nadzor nad sprovođenjem propisa</w:t>
      </w:r>
      <w:bookmarkEnd w:id="82"/>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Kontrola postupanja sa otpadom vrši se u skladu sa zakonski utvrđenim nadležnostima pojedinih organa i službi.</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Na lokalnom nivou potrebno je obezbijediti efikasnu kontrolu nepropisnog odlaganja komunalnog otpada, korišćenja komunalne usluge i poštovanja lokalno utvrđenog načina postupanja sa otpadom.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Inspekcijski nadzor nad drugim obavezama u oblasti upravljanja otpadom vrše nadležni inspekcijski organi u granicama ovlašćenja utvrđenih propisima.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Posebno je značajna koordinacija nadležnih lokalnih i državnih organa u slučajevima nelegalnog odlaganja otpada, nepravilnog postupanja sa građevinskim i opasnim otpadom i drugih nepravilnosti koje mogu predstavljati rizik za životnu sredinu i zdravlje ljudi.</w:t>
      </w:r>
    </w:p>
    <w:p w:rsidR="0043118E" w:rsidRPr="00615350" w:rsidRDefault="0043118E" w:rsidP="00C34216">
      <w:pPr>
        <w:pStyle w:val="Heading2"/>
        <w:rPr>
          <w:rFonts w:eastAsia="Times New Roman"/>
        </w:rPr>
      </w:pPr>
      <w:bookmarkStart w:id="83" w:name="_Toc240282341"/>
      <w:r w:rsidRPr="00615350">
        <w:rPr>
          <w:rFonts w:eastAsia="Times New Roman"/>
        </w:rPr>
        <w:t>12.5. Ovlašćeni operateri i privatni sektor</w:t>
      </w:r>
      <w:bookmarkEnd w:id="83"/>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Razvoj lokalnog sistema ne podrazumijeva da Opština ili DOO „Komunalno“ samostalno obavljaju tretman svih vrsta otpada.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reciklabilne materijale, električnu i elektronsku opremu, baterije i akumulatore, otpadna ulja, pojedine frakcije građevinskog otpada i druge posebne tokove potrebno je obezbijediti saradnju sa privrednim društvima i preduzetnicima koji ispunjavaju propisane uslove za odgovarajuće postupke upravljanja otpadom.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Aktivnosti privatnih sakupljača reciklabilnih materijala treba, u skladu sa propisima, povezati sa sistemom razmjene podataka, kako bi Opština raspolagala što potpunijim podacima o količinama otpada koje se odvojeno sakupljaju i predaju na reciklažu ili drugu odgovarajuću preradu.</w:t>
      </w:r>
    </w:p>
    <w:p w:rsidR="0043118E" w:rsidRPr="00615350" w:rsidRDefault="0043118E" w:rsidP="00C34216">
      <w:pPr>
        <w:pStyle w:val="Heading2"/>
        <w:rPr>
          <w:rFonts w:eastAsia="Times New Roman"/>
        </w:rPr>
      </w:pPr>
      <w:bookmarkStart w:id="84" w:name="_Toc240282342"/>
      <w:r w:rsidRPr="00615350">
        <w:rPr>
          <w:rFonts w:eastAsia="Times New Roman"/>
        </w:rPr>
        <w:t>12.6. Proširena odgovornost proizvođača</w:t>
      </w:r>
      <w:bookmarkEnd w:id="84"/>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Sisteme proširene odgovornosti proizvođača potrebno je jasno razlikovati od redovnog lokalnog sistema upravljanja komunalnim otpadom.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proizvode obuhvaćene proširenom odgovornošću proizvođača, proizvođači, uvoznici i drugi odgovarajući subjekti imaju obaveze u pogledu organizovanja i finansiranja upravljanja otpadom koji nastaje od tih proizvoda, u skladu sa Zakonom i podzakonskim propisima.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Lokalni sistem treba da omogući saradnju sa ovim sistemima i, gdje je potrebno i opravdano, odgovarajuća mjesta za odvojeno preuzimanje pojedinih tokova.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Ovo je naročito značajno za ambalažni otpad, otpadnu električnu i elektronsku opremu, baterije i akumulatore i druge tokove za koje je uspostavljena proširena odgovornost proizvođača.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taj način dio organizacione i finansijske odgovornosti za upravljanje ovim tokovima snose subjekti koji proizvode stavljaju na tržište, u skladu sa principom „zagađivač plaća“.</w:t>
      </w:r>
    </w:p>
    <w:p w:rsidR="0043118E" w:rsidRPr="00615350" w:rsidRDefault="0043118E" w:rsidP="00C34216">
      <w:pPr>
        <w:pStyle w:val="Heading2"/>
        <w:rPr>
          <w:rFonts w:eastAsia="Times New Roman"/>
        </w:rPr>
      </w:pPr>
      <w:bookmarkStart w:id="85" w:name="_Toc240282343"/>
      <w:r w:rsidRPr="00615350">
        <w:rPr>
          <w:rFonts w:eastAsia="Times New Roman"/>
        </w:rPr>
        <w:lastRenderedPageBreak/>
        <w:t>12.7. Regionalna saradnja</w:t>
      </w:r>
      <w:bookmarkEnd w:id="85"/>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DPUO predviđa uključivanje Berana u sjeverni regionalni sistem upravljanja otpadom sa Regionalnim centrom u Bijelom Polju.</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Realizacija ovog koncepta zahtijeva saradnju Opštine Berane sa drugim jedinicama lokalne samouprave uključenim u regionalni sistem, nadležnim državnim organima i budućim upravljačem regionalne infrastrukture.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Opština Berane treba blagovremeno da uskladi organizaciju lokalnog sistema sakupljanja i transporta sa konačnim tehničkim i organizacionim rješenjem regionalnog sistema.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Do njegove pune operativnosti potrebno je obezbijediti funkcionisanje prelaznog sistema, uz istovremeni razvoj primarne selekcije, ponovne upotrebe, reciklaže, kompostiranja i drugih postupaka kojima se smanjuje količina rezidualnog otpada.</w:t>
      </w:r>
    </w:p>
    <w:p w:rsidR="0043118E" w:rsidRPr="00615350" w:rsidRDefault="0043118E" w:rsidP="00C34216">
      <w:pPr>
        <w:pStyle w:val="Heading2"/>
        <w:rPr>
          <w:rFonts w:eastAsia="Times New Roman"/>
        </w:rPr>
      </w:pPr>
      <w:bookmarkStart w:id="86" w:name="_Toc240282344"/>
      <w:r w:rsidRPr="00615350">
        <w:rPr>
          <w:rFonts w:eastAsia="Times New Roman"/>
        </w:rPr>
        <w:t>12.8. Koordinacija i praćenje sprovođenja Lokalnog plana</w:t>
      </w:r>
      <w:bookmarkEnd w:id="86"/>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sprovođenje LPUO potrebno je obezbijediti kontinuiranu koordinaciju između Opštine Berane i DOO „Komunalno“, uz uključivanje drugih nadležnih institucija i učesnika u zavisnosti od konkretne aktivnosti.</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Realizaciju Plana potrebno je pratiti najmanje jednom godišnje, na osnovu podataka o:</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obuhvatu stanovništva organizovanim sakupljanjem; </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ukupnim količinama sakupljenog komunalnog otpada; </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količinama odvojeno sakupljenih frakcija; </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količinama pripremljenim za ponovnu upotrebu i reciklažu; </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upravljanju biootpadom; </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količinama i načinu postupanja sa neopasnim građevinskim otpadom; </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stanju i sanaciji neuređenih odlagališta; </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realizaciji planirane infrastrukture; </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sprovedenim mjerama informisanja i edukacije; </w:t>
      </w:r>
    </w:p>
    <w:p w:rsidR="0043118E" w:rsidRPr="00615350" w:rsidRDefault="0043118E" w:rsidP="00C1197A">
      <w:pPr>
        <w:numPr>
          <w:ilvl w:val="0"/>
          <w:numId w:val="42"/>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realizovanim aktivnostima i utrošenim finansijskim sredstvima.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Rezultati praćenja treba da predstavljaju osnov za godišnje operativno planiranje, određivanje prioriteta, eventualno prilagođavanje dinamike realizacije pojedinih aktivnosti i izvještavanje o sprovođenju Lokalnog plana.</w:t>
      </w:r>
    </w:p>
    <w:p w:rsidR="0043118E" w:rsidRPr="00615350" w:rsidRDefault="0043118E" w:rsidP="00E81852">
      <w:pPr>
        <w:rPr>
          <w:rFonts w:ascii="Times New Roman" w:hAnsi="Times New Roman" w:cs="Times New Roman"/>
          <w:b/>
          <w:sz w:val="24"/>
        </w:rPr>
      </w:pPr>
      <w:r w:rsidRPr="00615350">
        <w:rPr>
          <w:rFonts w:ascii="Times New Roman" w:hAnsi="Times New Roman" w:cs="Times New Roman"/>
          <w:b/>
          <w:sz w:val="24"/>
        </w:rPr>
        <w:t>Plansko opredjeljenje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Institucionalni model sprovođenja LPUO zasniva se na jasnoj podjeli odgovornosti: </w:t>
      </w:r>
      <w:r w:rsidRPr="00615350">
        <w:rPr>
          <w:rFonts w:ascii="Times New Roman" w:eastAsia="Times New Roman" w:hAnsi="Times New Roman" w:cs="Times New Roman"/>
          <w:b/>
          <w:bCs/>
          <w:sz w:val="24"/>
          <w:szCs w:val="24"/>
        </w:rPr>
        <w:t xml:space="preserve">Opština Berane organizuje, planira, koordinira i prati lokalni sistem; DOO „Komunalno“ obavlja povjerene operativne poslove; nadležni državni organi obezbjeđuju regulatorni i državni planski okvir; nadležni organi i službe vrše nadzor; dok ovlašćeni operateri, </w:t>
      </w:r>
      <w:r w:rsidRPr="00615350">
        <w:rPr>
          <w:rFonts w:ascii="Times New Roman" w:eastAsia="Times New Roman" w:hAnsi="Times New Roman" w:cs="Times New Roman"/>
          <w:b/>
          <w:bCs/>
          <w:sz w:val="24"/>
          <w:szCs w:val="24"/>
        </w:rPr>
        <w:lastRenderedPageBreak/>
        <w:t>sistemi proširene odgovornosti proizvođača i drugi učesnici obavljaju poslove koji im pripadaju u skladu sa propisima.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Ovakva organizacija treba da omogući da svaka mjera i aktivnost predviđena Lokalnim planom i Akcionim planom ima jasno utvrđenog nosioca, učesnike u realizaciji, rok, indikator realizacije i odgovarajući izvor finansiranja.</w:t>
      </w:r>
    </w:p>
    <w:p w:rsidR="0043118E" w:rsidRPr="00615350" w:rsidRDefault="0043118E" w:rsidP="00C34216">
      <w:pPr>
        <w:pStyle w:val="Heading1"/>
        <w:rPr>
          <w:rFonts w:eastAsia="Times New Roman"/>
        </w:rPr>
      </w:pPr>
      <w:bookmarkStart w:id="87" w:name="_Toc240282345"/>
      <w:r w:rsidRPr="00615350">
        <w:rPr>
          <w:rFonts w:eastAsia="Times New Roman"/>
        </w:rPr>
        <w:t>13. FINANSIRANJE SISTEMA UPRAVLJANJA OTPADOM</w:t>
      </w:r>
      <w:bookmarkEnd w:id="87"/>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Realizacija Lokalnog plana upravljanja komunalnim i neopasnim građevinskim otpadom Opštine Berane za period 2026–2029. godine zahtijeva obezbjeđivanje finansijskih sredstava za redovno funkcionisanje sistema, nabavku i obnovu opreme, razvoj infrastrukture, sanaciju neuređenih odlagališta, uvođenje novih programa odvojenog sakupljanja i sprovođenje drugih mjera utvrđenih Planom.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Finansiranje treba zasnivati na principima utvrđenim Zakonom o upravljanju otpadom, uključujući princip „zagađivač plaća“ i proširenu odgovornost proizvođača, kao i na postepenom stvaranju finansijski održivog sistema u kojem se troškovi upravljanja otpadom mogu pouzdano planirati, evidentirati i pratiti.</w:t>
      </w:r>
    </w:p>
    <w:p w:rsidR="0043118E" w:rsidRPr="00615350" w:rsidRDefault="0043118E" w:rsidP="00C34216">
      <w:pPr>
        <w:pStyle w:val="Heading2"/>
        <w:rPr>
          <w:rFonts w:eastAsia="Times New Roman"/>
        </w:rPr>
      </w:pPr>
      <w:bookmarkStart w:id="88" w:name="_Toc240282346"/>
      <w:r w:rsidRPr="00615350">
        <w:rPr>
          <w:rFonts w:eastAsia="Times New Roman"/>
        </w:rPr>
        <w:t>13.1. Izvori finansiranja</w:t>
      </w:r>
      <w:bookmarkEnd w:id="88"/>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realizaciju aktivnosti predviđenih Lokalnim planom mogu se koristiti različiti izvori finansiranja, u zavisnosti od vrste aktivnosti, nadležnosti i nosioca realizacije.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Osnovni izvori mogu obuhvatiti:</w:t>
      </w:r>
    </w:p>
    <w:p w:rsidR="0043118E" w:rsidRPr="00615350" w:rsidRDefault="0043118E" w:rsidP="00C1197A">
      <w:pPr>
        <w:numPr>
          <w:ilvl w:val="0"/>
          <w:numId w:val="4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budžet Opštine Berane; </w:t>
      </w:r>
    </w:p>
    <w:p w:rsidR="0043118E" w:rsidRPr="00615350" w:rsidRDefault="0043118E" w:rsidP="00C1197A">
      <w:pPr>
        <w:numPr>
          <w:ilvl w:val="0"/>
          <w:numId w:val="4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sredstva DOO „Komunalno“ Berane; </w:t>
      </w:r>
    </w:p>
    <w:p w:rsidR="0043118E" w:rsidRPr="00615350" w:rsidRDefault="0043118E" w:rsidP="00C1197A">
      <w:pPr>
        <w:numPr>
          <w:ilvl w:val="0"/>
          <w:numId w:val="4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prihode od pružanja komunalnih usluga; </w:t>
      </w:r>
    </w:p>
    <w:p w:rsidR="0043118E" w:rsidRPr="00615350" w:rsidRDefault="0043118E" w:rsidP="00C1197A">
      <w:pPr>
        <w:numPr>
          <w:ilvl w:val="0"/>
          <w:numId w:val="4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sredstva državnog budžeta i odgovarajućih fondova i programa; </w:t>
      </w:r>
    </w:p>
    <w:p w:rsidR="0043118E" w:rsidRPr="00615350" w:rsidRDefault="0043118E" w:rsidP="00C1197A">
      <w:pPr>
        <w:numPr>
          <w:ilvl w:val="0"/>
          <w:numId w:val="4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sredstva sistema proširene odgovornosti proizvođača za tokove na koje se ti sistemi odnose; </w:t>
      </w:r>
    </w:p>
    <w:p w:rsidR="0043118E" w:rsidRPr="00615350" w:rsidRDefault="0043118E" w:rsidP="00C1197A">
      <w:pPr>
        <w:numPr>
          <w:ilvl w:val="0"/>
          <w:numId w:val="4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sredstva međunarodnih fondova, programa Evropske unije i drugih razvojnih partnera; </w:t>
      </w:r>
    </w:p>
    <w:p w:rsidR="0043118E" w:rsidRPr="00615350" w:rsidRDefault="0043118E" w:rsidP="00C1197A">
      <w:pPr>
        <w:numPr>
          <w:ilvl w:val="0"/>
          <w:numId w:val="4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kreditna i druga raspoloživa razvojna sredstva; </w:t>
      </w:r>
    </w:p>
    <w:p w:rsidR="0043118E" w:rsidRPr="00615350" w:rsidRDefault="0043118E" w:rsidP="00C1197A">
      <w:pPr>
        <w:numPr>
          <w:ilvl w:val="0"/>
          <w:numId w:val="4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prihode ostvarene predajom odnosno prodajom sekundarnih sirovina; </w:t>
      </w:r>
    </w:p>
    <w:p w:rsidR="0043118E" w:rsidRPr="00615350" w:rsidRDefault="0043118E" w:rsidP="00C1197A">
      <w:pPr>
        <w:numPr>
          <w:ilvl w:val="0"/>
          <w:numId w:val="43"/>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druge izvore dozvoljene propisima.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Izbor izvora finansiranja treba prilagoditi karakteru pojedine mjere. Redovno sakupljanje i transport otpada predstavljaju dio kontinuiranog funkcionisanja komunalnog sistema, dok razvoj nove infrastrukture, sanacija većih neuređenih odlagališta ili nabavka značajnije opreme mogu zahtijevati kombinovanje lokalnih, državnih i međunarodnih izvora.</w:t>
      </w:r>
    </w:p>
    <w:p w:rsidR="0043118E" w:rsidRPr="00615350" w:rsidRDefault="0043118E" w:rsidP="00C34216">
      <w:pPr>
        <w:pStyle w:val="Heading2"/>
        <w:rPr>
          <w:rFonts w:eastAsia="Times New Roman"/>
        </w:rPr>
      </w:pPr>
      <w:bookmarkStart w:id="89" w:name="_Toc240282347"/>
      <w:r w:rsidRPr="00615350">
        <w:rPr>
          <w:rFonts w:eastAsia="Times New Roman"/>
        </w:rPr>
        <w:lastRenderedPageBreak/>
        <w:t>13.2. Finansiranje redovnog funkcionisanja sistema</w:t>
      </w:r>
      <w:bookmarkEnd w:id="89"/>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Redovno funkcionisanje sistema obuhvata troškove sakupljanja i transporta otpada, rada zaposlenih, goriva, održavanja vozila i opreme, nabavke i zamjene posuda i druge operativne troškove.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Proširenje organizovanog sakupljanja na trenutno nepokrivena područja i uvođenje odvojenog sakupljanja dovešće do promjene strukture troškova. Posebno treba uzeti u obzir dodatne posude, prilagođavanje ruta, odvojeno preuzimanje pojedinih tokova i potrebu za preciznijim mjerenjem i evidencijom.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Istovremeno, povećanje ponovne upotrebe, reciklaže, kućnog kompostiranja i drugih oblika prerade treba dugoročno da doprinese smanjenju količina rezidualnog otpada koje zahtijevaju transport i konačno odstranjivanje.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Zbog toga je potrebno redovno pratiti stvarne troškove pojedinih elemenata sistema i koristiti ih kao osnov za godišnje planiranje.</w:t>
      </w:r>
    </w:p>
    <w:p w:rsidR="0043118E" w:rsidRPr="00615350" w:rsidRDefault="0043118E" w:rsidP="00C34216">
      <w:pPr>
        <w:pStyle w:val="Heading2"/>
        <w:rPr>
          <w:rFonts w:eastAsia="Times New Roman"/>
        </w:rPr>
      </w:pPr>
      <w:bookmarkStart w:id="90" w:name="_Toc240282348"/>
      <w:r w:rsidRPr="00615350">
        <w:rPr>
          <w:rFonts w:eastAsia="Times New Roman"/>
        </w:rPr>
        <w:t>13.3. Finansiranje planirane infrastrukture i opreme</w:t>
      </w:r>
      <w:bookmarkEnd w:id="90"/>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planskom periodu biće potrebna sredstva za postepeno unapređenje lokalne infrastrukture i opreme, naročito za:</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nabavku i zamjenu posuda za miješani i odvojeno sakupljeni otpad; </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obnovu i prilagođavanje voznog parka; </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 sistema za odvojeno sakupljanje reciklabilnih frakcija; </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nabavku opreme za kućno kompostiranje; </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 kapaciteta za upravljanje biootpadom; </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uspostavljanje reciklažnog centra sa programom ponovne upotrebe; </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 kapaciteta za razvrstavanje reciklabilnih materijala, u skladu sa konačnim tehničkim rješenjem; </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uređenje lokacije za privremeno skladištenje neopasnog građevinskog otpada; </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opremu za vaganje, evidenciju i praćenje tokova otpada; </w:t>
      </w:r>
    </w:p>
    <w:p w:rsidR="0043118E" w:rsidRPr="00615350" w:rsidRDefault="0043118E" w:rsidP="00C1197A">
      <w:pPr>
        <w:numPr>
          <w:ilvl w:val="0"/>
          <w:numId w:val="44"/>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sanaciju neuređenih odlagališta.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infrastrukturne projekte za koje još nije izrađena odgovarajuća tehnička dokumentacija nije moguće pouzdano utvrditi investicionu vrijednost. Troškove takvih projekata potrebno je odrediti kroz studijsku i projektnu dokumentaciju, predmjere i predračune odnosno odgovarajuće postupke procjene troškova.</w:t>
      </w:r>
    </w:p>
    <w:p w:rsidR="0043118E" w:rsidRPr="00615350" w:rsidRDefault="0043118E" w:rsidP="00C34216">
      <w:pPr>
        <w:pStyle w:val="Heading2"/>
        <w:rPr>
          <w:rFonts w:eastAsia="Times New Roman"/>
        </w:rPr>
      </w:pPr>
      <w:bookmarkStart w:id="91" w:name="_Toc240282349"/>
      <w:r w:rsidRPr="00615350">
        <w:rPr>
          <w:rFonts w:eastAsia="Times New Roman"/>
        </w:rPr>
        <w:lastRenderedPageBreak/>
        <w:t>13.4. Proširena odgovornost proizvođača i finansiranje posebnih tokova</w:t>
      </w:r>
      <w:bookmarkEnd w:id="91"/>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Kod tokova otpada obuhvaćenih sistemom proširene odgovornosti proizvođača potrebno je primjenjivati odgovarajuće mehanizme finansiranja utvrđene Zakonom i podzakonskim propisima.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To znači da troškovi upravljanja takvim tokovima ne treba automatski da budu preneseni na budžet Opštine ili korisnike redovne komunalne usluge ukoliko za njih postoji obaveza finansiranja kroz sistem proširene odgovornosti proizvođača.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Opština i DOO „Komunalno“ treba da sarađuju sa odgovarajućim subjektima ovih sistema u organizovanju lokalnog preuzimanja i predaje pojedinih tokova, u skladu sa utvrđenim nadležnostima i obavezama.</w:t>
      </w:r>
    </w:p>
    <w:p w:rsidR="0043118E" w:rsidRPr="00615350" w:rsidRDefault="0043118E" w:rsidP="00C34216">
      <w:pPr>
        <w:pStyle w:val="Heading2"/>
        <w:rPr>
          <w:rFonts w:eastAsia="Times New Roman"/>
        </w:rPr>
      </w:pPr>
      <w:bookmarkStart w:id="92" w:name="_Toc240282350"/>
      <w:r w:rsidRPr="00615350">
        <w:rPr>
          <w:rFonts w:eastAsia="Times New Roman"/>
        </w:rPr>
        <w:t>13.5. Regionalna infrastruktura</w:t>
      </w:r>
      <w:bookmarkEnd w:id="92"/>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Uključivanje Berana u sjeverni regionalni sistem sa Regionalnim centrom u Bijelom Polju imaće finansijske posljedice za buduću organizaciju transporta, tretmana i konačnog postupanja sa rezidualnim otpadom.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Konačne troškove nije opravdano unaprijed utvrđivati ovim Lokalnim planom dok nijesu definisani konačan model regionalnog sistema, investiciona struktura, način upravljanja, transportna organizacija i način raspodjele troškova između učesnika.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Opština Berane treba da ove troškove uključi u buduće finansijsko planiranje nakon utvrđivanja konačnog regionalnog rješenja.</w:t>
      </w:r>
    </w:p>
    <w:p w:rsidR="0043118E" w:rsidRPr="00615350" w:rsidRDefault="0043118E" w:rsidP="00C34216">
      <w:pPr>
        <w:pStyle w:val="Heading2"/>
        <w:rPr>
          <w:rFonts w:eastAsia="Times New Roman"/>
        </w:rPr>
      </w:pPr>
      <w:bookmarkStart w:id="93" w:name="_Toc240282351"/>
      <w:r w:rsidRPr="00615350">
        <w:rPr>
          <w:rFonts w:eastAsia="Times New Roman"/>
        </w:rPr>
        <w:t>13.6. Finansijska održivost sistema</w:t>
      </w:r>
      <w:bookmarkEnd w:id="93"/>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Dugoročno održiv sistem upravljanja otpadom zahtijeva pouzdano poznavanje troškova pružanja usluge i odgovarajućih izvora za njihovo pokriće.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 planskom periodu potrebno je unaprijediti evidenciju troškova i prihoda, naročito u pogledu:</w:t>
      </w:r>
    </w:p>
    <w:p w:rsidR="0043118E" w:rsidRPr="00615350" w:rsidRDefault="0043118E" w:rsidP="00C1197A">
      <w:pPr>
        <w:numPr>
          <w:ilvl w:val="0"/>
          <w:numId w:val="4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troškova sakupljanja i transporta; </w:t>
      </w:r>
    </w:p>
    <w:p w:rsidR="0043118E" w:rsidRPr="00615350" w:rsidRDefault="0043118E" w:rsidP="00C1197A">
      <w:pPr>
        <w:numPr>
          <w:ilvl w:val="0"/>
          <w:numId w:val="4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troškova odvojenog sakupljanja; </w:t>
      </w:r>
    </w:p>
    <w:p w:rsidR="0043118E" w:rsidRPr="00615350" w:rsidRDefault="0043118E" w:rsidP="00C1197A">
      <w:pPr>
        <w:numPr>
          <w:ilvl w:val="0"/>
          <w:numId w:val="4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održavanja i amortizacije vozila i opreme; </w:t>
      </w:r>
    </w:p>
    <w:p w:rsidR="0043118E" w:rsidRPr="00615350" w:rsidRDefault="0043118E" w:rsidP="00C1197A">
      <w:pPr>
        <w:numPr>
          <w:ilvl w:val="0"/>
          <w:numId w:val="4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troškova tretmana i odstranjivanja; </w:t>
      </w:r>
    </w:p>
    <w:p w:rsidR="0043118E" w:rsidRPr="00615350" w:rsidRDefault="0043118E" w:rsidP="00C1197A">
      <w:pPr>
        <w:numPr>
          <w:ilvl w:val="0"/>
          <w:numId w:val="4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troškova upravljanja pojedinim posebnim tokovima; </w:t>
      </w:r>
    </w:p>
    <w:p w:rsidR="0043118E" w:rsidRPr="00615350" w:rsidRDefault="0043118E" w:rsidP="00C1197A">
      <w:pPr>
        <w:numPr>
          <w:ilvl w:val="0"/>
          <w:numId w:val="4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prihoda od komunalnih usluga; </w:t>
      </w:r>
    </w:p>
    <w:p w:rsidR="0043118E" w:rsidRPr="00615350" w:rsidRDefault="0043118E" w:rsidP="00C1197A">
      <w:pPr>
        <w:numPr>
          <w:ilvl w:val="0"/>
          <w:numId w:val="4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prihoda od sekundarnih sirovina; </w:t>
      </w:r>
    </w:p>
    <w:p w:rsidR="0043118E" w:rsidRPr="00615350" w:rsidRDefault="0043118E" w:rsidP="00C1197A">
      <w:pPr>
        <w:numPr>
          <w:ilvl w:val="0"/>
          <w:numId w:val="45"/>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sredstava dobijenih iz drugih izvora finansiranja.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Na osnovu tih podataka moguće je realnije planirati razvoj sistema i procjenjivati finansijske efekte pojedinih mjera.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Posebnu pažnju treba posvetiti dostupnosti komunalne usluge korisnicima, uz istovremeno obezbjeđivanje dovoljnog nivoa prihoda za pouzdano i kontinuirano funkcionisanje sistema.</w:t>
      </w:r>
    </w:p>
    <w:p w:rsidR="0043118E" w:rsidRPr="00615350" w:rsidRDefault="0043118E" w:rsidP="00C34216">
      <w:pPr>
        <w:pStyle w:val="Heading2"/>
        <w:rPr>
          <w:rFonts w:eastAsia="Times New Roman"/>
        </w:rPr>
      </w:pPr>
      <w:bookmarkStart w:id="94" w:name="_Toc240282352"/>
      <w:r w:rsidRPr="00615350">
        <w:rPr>
          <w:rFonts w:eastAsia="Times New Roman"/>
        </w:rPr>
        <w:t>13.7. Planiranje sredstava kroz Akcioni plan</w:t>
      </w:r>
      <w:bookmarkEnd w:id="94"/>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Finansijska razrada pojedinačnih aktivnosti treba da bude sastavni dio Akcionog plana LPUO.</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svaku mjeru za koju je moguće procijeniti troškove potrebno je utvrditi okvirno potrebna sredstva i potencijalni izvor finansiranja. Za aktivnosti čija vrijednost zavisi od buduće studijske ili projektne dokumentacije treba navesti da će finansijska vrijednost biti određena nakon izrade odgovarajuće dokumentacije.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Na ovaj način izbjegava se unošenje nepouzdanih investicionih vrijednosti, a istovremeno se omogućava da svaka planirana aktivnost bude povezana sa realnim mehanizmom njenog finansiranja.</w:t>
      </w:r>
    </w:p>
    <w:p w:rsidR="0043118E" w:rsidRPr="00615350" w:rsidRDefault="0043118E" w:rsidP="00802B75">
      <w:pPr>
        <w:rPr>
          <w:rFonts w:ascii="Times New Roman" w:hAnsi="Times New Roman" w:cs="Times New Roman"/>
          <w:b/>
          <w:sz w:val="24"/>
        </w:rPr>
      </w:pPr>
      <w:r w:rsidRPr="00615350">
        <w:rPr>
          <w:rFonts w:ascii="Times New Roman" w:hAnsi="Times New Roman" w:cs="Times New Roman"/>
          <w:b/>
          <w:sz w:val="24"/>
        </w:rPr>
        <w:t>Plansko opredjeljenje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Finansiranje sistema upravljanja otpadom u Beranama tokom perioda 2026–2029. godine treba zasnivati na kombinovanju </w:t>
      </w:r>
      <w:r w:rsidRPr="00615350">
        <w:rPr>
          <w:rFonts w:ascii="Times New Roman" w:eastAsia="Times New Roman" w:hAnsi="Times New Roman" w:cs="Times New Roman"/>
          <w:b/>
          <w:bCs/>
          <w:sz w:val="24"/>
          <w:szCs w:val="24"/>
        </w:rPr>
        <w:t>prihoda od komunalnih usluga, sredstava Opštine i DOO „Komunalno“, državnih i međunarodnih izvora, sredstava sistema proširene odgovornosti proizvođača i drugih raspoloživih izvora</w:t>
      </w:r>
      <w:r w:rsidRPr="00615350">
        <w:rPr>
          <w:rFonts w:ascii="Times New Roman" w:eastAsia="Times New Roman" w:hAnsi="Times New Roman" w:cs="Times New Roman"/>
          <w:sz w:val="24"/>
          <w:szCs w:val="24"/>
        </w:rPr>
        <w:t>, u skladu sa vrstom aktivnosti i zakonskim nadležnostima.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Prioritet treba dati obezbjeđivanju stabilnog finansiranja redovnog funkcionisanja sistema i investicijama koje neposredno doprinose povećanju obuhvata, odvojenom sakupljanju, ponovnoj upotrebi, reciklaži, upravljanju biootpadom i građevinskim otpadom i smanjenju nepropisnog odlaganja.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Precizne investicione vrijednosti za objekte i opremu za koje još nije izrađena tehnička dokumentacija utvrđivaće se kroz odgovarajuće studije, projekte i postupke pripreme investicija, dok će njihova dinamika i izvori finansiranja biti razrađeni Akcionim planom.</w:t>
      </w:r>
    </w:p>
    <w:p w:rsidR="0043118E" w:rsidRPr="00615350" w:rsidRDefault="0043118E" w:rsidP="00C34216">
      <w:pPr>
        <w:pStyle w:val="Heading1"/>
        <w:rPr>
          <w:rFonts w:eastAsia="Times New Roman"/>
        </w:rPr>
      </w:pPr>
      <w:bookmarkStart w:id="95" w:name="_Toc240282353"/>
      <w:r w:rsidRPr="00615350">
        <w:rPr>
          <w:rFonts w:eastAsia="Times New Roman"/>
        </w:rPr>
        <w:t>14. PRAĆENJE REALIZACIJE LOKALNOG PLANA I IZVJEŠTAVANJE</w:t>
      </w:r>
      <w:bookmarkEnd w:id="95"/>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Praćenje realizacije Lokalnog plana upravljanja komunalnim i neopasnim građevinskim otpadom Opštine Berane za period 2026–2029. godine potrebno je zasnivati na redovnom prikupljanju i analizi podataka koji omogućavaju ocjenu ostvarivanja postavljenih ciljeva i realizacije planiranih mjera.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Poseban značaj ima unapređenje kvaliteta evidencija. Analiza postojećeg stanja pokazala je da za pojedine tokove otpada postoje nepotpuni ili procijenjeni podaci, zbog čega tokom planskog perioda treba postepeno uspostaviti sistem zasnovan na mjerenju stvarnih količina i njihovom evidentiranju prema vrsti i načinu postupanja.</w:t>
      </w:r>
    </w:p>
    <w:p w:rsidR="0043118E" w:rsidRPr="00615350" w:rsidRDefault="0043118E" w:rsidP="00C34216">
      <w:pPr>
        <w:pStyle w:val="Heading2"/>
        <w:rPr>
          <w:rFonts w:eastAsia="Times New Roman"/>
        </w:rPr>
      </w:pPr>
      <w:bookmarkStart w:id="96" w:name="_Toc240282354"/>
      <w:r w:rsidRPr="00615350">
        <w:rPr>
          <w:rFonts w:eastAsia="Times New Roman"/>
        </w:rPr>
        <w:t>14.1. Sistem praćenja</w:t>
      </w:r>
      <w:bookmarkEnd w:id="96"/>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Praćenje sprovođenja Plana treba da obuhvati najmanje:</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realizaciju mjera i aktivnosti utvrđenih Akcionim planom;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ostvarivanje posebnih ciljeva i ciljnih vrijednosti;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količine nastalog i sakupljenog komunalnog otpada;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obuhvat stanovništva organizovanim sakupljanjem;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količine odvojeno sakupljenih reciklabilnih frakcija;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količine pripremljene za ponovnu upotrebu i reciklažu;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količine i način postupanja sa biootpadom;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realizaciju programa kućnog kompostiranja;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količine i način postupanja sa neopasnim građevinskim otpadom;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količine posebnih tokova otpada prikupljenih kroz lokalni sistem;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stanje neuređenih odlagališta i realizaciju njihove sanacije;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razvoj planirane infrastrukture;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realizaciju aktivnosti informisanja i edukacije; </w:t>
      </w:r>
    </w:p>
    <w:p w:rsidR="0043118E" w:rsidRPr="00615350" w:rsidRDefault="0043118E" w:rsidP="00C1197A">
      <w:pPr>
        <w:numPr>
          <w:ilvl w:val="0"/>
          <w:numId w:val="46"/>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finansijsku realizaciju planiranih aktivnosti.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Podaci treba da budu međusobno uporedivi po godinama kako bi se mogao pratiti napredak tokom cijelog planskog perioda.</w:t>
      </w:r>
    </w:p>
    <w:p w:rsidR="0043118E" w:rsidRPr="00615350" w:rsidRDefault="0043118E" w:rsidP="00C34216">
      <w:pPr>
        <w:pStyle w:val="Heading2"/>
        <w:rPr>
          <w:rFonts w:eastAsia="Times New Roman"/>
        </w:rPr>
      </w:pPr>
      <w:bookmarkStart w:id="97" w:name="_Toc240282355"/>
      <w:r w:rsidRPr="00615350">
        <w:rPr>
          <w:rFonts w:eastAsia="Times New Roman"/>
        </w:rPr>
        <w:t>14.2. Ključni indikatori</w:t>
      </w:r>
      <w:bookmarkEnd w:id="97"/>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praćenje ostvarivanja LPUO potrebno je koristiti skup mjerljivih indikatora povezanih sa ciljevima Plana.</w:t>
      </w:r>
    </w:p>
    <w:p w:rsidR="00C34216" w:rsidRPr="00615350" w:rsidRDefault="00C34216" w:rsidP="00C34216">
      <w:pPr>
        <w:spacing w:before="100" w:beforeAutospacing="1" w:after="100" w:afterAutospacing="1"/>
        <w:jc w:val="center"/>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Tabela br. 24 Indikatori</w:t>
      </w:r>
    </w:p>
    <w:tbl>
      <w:tblPr>
        <w:tblStyle w:val="LightShading-Accent1"/>
        <w:tblW w:w="0" w:type="auto"/>
        <w:tblLook w:val="04A0" w:firstRow="1" w:lastRow="0" w:firstColumn="1" w:lastColumn="0" w:noHBand="0" w:noVBand="1"/>
      </w:tblPr>
      <w:tblGrid>
        <w:gridCol w:w="2582"/>
        <w:gridCol w:w="6661"/>
      </w:tblGrid>
      <w:tr w:rsidR="0043118E" w:rsidRPr="00615350" w:rsidTr="00E818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Oblast praćenja</w:t>
            </w:r>
          </w:p>
        </w:tc>
        <w:tc>
          <w:tcPr>
            <w:tcW w:w="0" w:type="auto"/>
            <w:hideMark/>
          </w:tcPr>
          <w:p w:rsidR="0043118E" w:rsidRPr="00615350" w:rsidRDefault="0043118E" w:rsidP="0090044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4"/>
              </w:rPr>
            </w:pPr>
            <w:r w:rsidRPr="00615350">
              <w:rPr>
                <w:rFonts w:ascii="Times New Roman" w:eastAsia="Times New Roman" w:hAnsi="Times New Roman" w:cs="Times New Roman"/>
                <w:b w:val="0"/>
                <w:bCs w:val="0"/>
                <w:sz w:val="20"/>
                <w:szCs w:val="24"/>
              </w:rPr>
              <w:t>Osnovni indikator</w:t>
            </w:r>
          </w:p>
        </w:tc>
      </w:tr>
      <w:tr w:rsidR="0043118E" w:rsidRPr="00615350" w:rsidTr="00E81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Organizovano sakupljanje</w:t>
            </w:r>
          </w:p>
        </w:tc>
        <w:tc>
          <w:tcPr>
            <w:tcW w:w="0" w:type="auto"/>
            <w:hideMark/>
          </w:tcPr>
          <w:p w:rsidR="0043118E" w:rsidRPr="00615350" w:rsidRDefault="0043118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 stanovništva/domaćinstava obuhvaćenih uslugom</w:t>
            </w:r>
          </w:p>
        </w:tc>
      </w:tr>
      <w:tr w:rsidR="0043118E" w:rsidRPr="00615350" w:rsidTr="00E81852">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Komunalni otpad</w:t>
            </w:r>
          </w:p>
        </w:tc>
        <w:tc>
          <w:tcPr>
            <w:tcW w:w="0" w:type="auto"/>
            <w:hideMark/>
          </w:tcPr>
          <w:p w:rsidR="0043118E" w:rsidRPr="00615350" w:rsidRDefault="0043118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t/god. ukupno sakupljenog komunalnog otpada</w:t>
            </w:r>
          </w:p>
        </w:tc>
      </w:tr>
      <w:tr w:rsidR="0043118E" w:rsidRPr="00615350" w:rsidTr="00E81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Nastanak otpada</w:t>
            </w:r>
          </w:p>
        </w:tc>
        <w:tc>
          <w:tcPr>
            <w:tcW w:w="0" w:type="auto"/>
            <w:hideMark/>
          </w:tcPr>
          <w:p w:rsidR="0043118E" w:rsidRPr="00615350" w:rsidRDefault="0043118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kg/stanovniku/god.</w:t>
            </w:r>
          </w:p>
        </w:tc>
      </w:tr>
      <w:tr w:rsidR="0043118E" w:rsidRPr="00615350" w:rsidTr="00E81852">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Odvojeno sakupljanje</w:t>
            </w:r>
          </w:p>
        </w:tc>
        <w:tc>
          <w:tcPr>
            <w:tcW w:w="0" w:type="auto"/>
            <w:hideMark/>
          </w:tcPr>
          <w:p w:rsidR="0043118E" w:rsidRPr="00615350" w:rsidRDefault="0043118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t/god. i % odvojeno sakupljenog otpada</w:t>
            </w:r>
          </w:p>
        </w:tc>
      </w:tr>
      <w:tr w:rsidR="0043118E" w:rsidRPr="00615350" w:rsidTr="00E81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Reciklaža i ponovna upotreba</w:t>
            </w:r>
          </w:p>
        </w:tc>
        <w:tc>
          <w:tcPr>
            <w:tcW w:w="0" w:type="auto"/>
            <w:hideMark/>
          </w:tcPr>
          <w:p w:rsidR="0043118E" w:rsidRPr="00615350" w:rsidRDefault="0043118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t/god. i odgovarajući udio pripremljen za ponovnu upotrebu i reciklažu</w:t>
            </w:r>
          </w:p>
        </w:tc>
      </w:tr>
      <w:tr w:rsidR="0043118E" w:rsidRPr="00615350" w:rsidTr="00E81852">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Biootpad</w:t>
            </w:r>
          </w:p>
        </w:tc>
        <w:tc>
          <w:tcPr>
            <w:tcW w:w="0" w:type="auto"/>
            <w:hideMark/>
          </w:tcPr>
          <w:p w:rsidR="0043118E" w:rsidRPr="00615350" w:rsidRDefault="0043118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t/god. odvojeno sakupljenog i biološki tretiranog biootpada</w:t>
            </w:r>
          </w:p>
        </w:tc>
      </w:tr>
      <w:tr w:rsidR="0043118E" w:rsidRPr="00615350" w:rsidTr="00E81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Kućno kompostiranje</w:t>
            </w:r>
          </w:p>
        </w:tc>
        <w:tc>
          <w:tcPr>
            <w:tcW w:w="0" w:type="auto"/>
            <w:hideMark/>
          </w:tcPr>
          <w:p w:rsidR="0043118E" w:rsidRPr="00615350" w:rsidRDefault="0043118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broj uključenih domaćinstava i procijenjena količina tretiranog biootpada</w:t>
            </w:r>
          </w:p>
        </w:tc>
      </w:tr>
      <w:tr w:rsidR="0043118E" w:rsidRPr="00615350" w:rsidTr="00E81852">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Građevinski otpad</w:t>
            </w:r>
          </w:p>
        </w:tc>
        <w:tc>
          <w:tcPr>
            <w:tcW w:w="0" w:type="auto"/>
            <w:hideMark/>
          </w:tcPr>
          <w:p w:rsidR="0043118E" w:rsidRPr="00615350" w:rsidRDefault="0043118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t/god. primljenog, razvrstanog i materijalno iskorišćenog neopasnog građevinskog otpada</w:t>
            </w:r>
          </w:p>
        </w:tc>
      </w:tr>
      <w:tr w:rsidR="0043118E" w:rsidRPr="00615350" w:rsidTr="00E81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Posebni tokovi</w:t>
            </w:r>
          </w:p>
        </w:tc>
        <w:tc>
          <w:tcPr>
            <w:tcW w:w="0" w:type="auto"/>
            <w:hideMark/>
          </w:tcPr>
          <w:p w:rsidR="0043118E" w:rsidRPr="00615350" w:rsidRDefault="0043118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t/god. po pojedinačnom toku, gdje je podatak raspoloživ</w:t>
            </w:r>
          </w:p>
        </w:tc>
      </w:tr>
      <w:tr w:rsidR="0043118E" w:rsidRPr="00615350" w:rsidTr="00E81852">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Neuređena odlagališta</w:t>
            </w:r>
          </w:p>
        </w:tc>
        <w:tc>
          <w:tcPr>
            <w:tcW w:w="0" w:type="auto"/>
            <w:hideMark/>
          </w:tcPr>
          <w:p w:rsidR="0043118E" w:rsidRPr="00615350" w:rsidRDefault="0043118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broj evidentiranih, saniranih i ponovo formiranih lokacija</w:t>
            </w:r>
          </w:p>
        </w:tc>
      </w:tr>
      <w:tr w:rsidR="0043118E" w:rsidRPr="00615350" w:rsidTr="00E81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Infrastruktura</w:t>
            </w:r>
          </w:p>
        </w:tc>
        <w:tc>
          <w:tcPr>
            <w:tcW w:w="0" w:type="auto"/>
            <w:hideMark/>
          </w:tcPr>
          <w:p w:rsidR="0043118E" w:rsidRPr="00615350" w:rsidRDefault="0043118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stepen realizacije planiranih objekata i nabavke opreme</w:t>
            </w:r>
          </w:p>
        </w:tc>
      </w:tr>
      <w:tr w:rsidR="0043118E" w:rsidRPr="00615350" w:rsidTr="00E81852">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lastRenderedPageBreak/>
              <w:t>Edukacija</w:t>
            </w:r>
          </w:p>
        </w:tc>
        <w:tc>
          <w:tcPr>
            <w:tcW w:w="0" w:type="auto"/>
            <w:hideMark/>
          </w:tcPr>
          <w:p w:rsidR="0043118E" w:rsidRPr="00615350" w:rsidRDefault="0043118E" w:rsidP="0090044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broj sprovedenih aktivnosti i obuhvaćenih korisnika</w:t>
            </w:r>
          </w:p>
        </w:tc>
      </w:tr>
      <w:tr w:rsidR="0043118E" w:rsidRPr="00615350" w:rsidTr="00E818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43118E" w:rsidRPr="00615350" w:rsidRDefault="0043118E" w:rsidP="00900448">
            <w:pPr>
              <w:jc w:val="both"/>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Finansiranje</w:t>
            </w:r>
          </w:p>
        </w:tc>
        <w:tc>
          <w:tcPr>
            <w:tcW w:w="0" w:type="auto"/>
            <w:hideMark/>
          </w:tcPr>
          <w:p w:rsidR="0043118E" w:rsidRPr="00615350" w:rsidRDefault="0043118E" w:rsidP="0090044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4"/>
              </w:rPr>
            </w:pPr>
            <w:r w:rsidRPr="00615350">
              <w:rPr>
                <w:rFonts w:ascii="Times New Roman" w:eastAsia="Times New Roman" w:hAnsi="Times New Roman" w:cs="Times New Roman"/>
                <w:sz w:val="20"/>
                <w:szCs w:val="24"/>
              </w:rPr>
              <w:t>planirana i realizovana sredstva po mjerama</w:t>
            </w:r>
          </w:p>
        </w:tc>
      </w:tr>
    </w:tbl>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Kod procentualnih pokazatelja mora se jasno definisati način obračuna i osnovica na koju se procenat odnosi. Posebno treba razlikovati </w:t>
      </w:r>
      <w:r w:rsidRPr="00615350">
        <w:rPr>
          <w:rFonts w:ascii="Times New Roman" w:eastAsia="Times New Roman" w:hAnsi="Times New Roman" w:cs="Times New Roman"/>
          <w:b/>
          <w:bCs/>
          <w:sz w:val="24"/>
          <w:szCs w:val="24"/>
        </w:rPr>
        <w:t>odvojeno sakupljanje</w:t>
      </w:r>
      <w:r w:rsidRPr="00615350">
        <w:rPr>
          <w:rFonts w:ascii="Times New Roman" w:eastAsia="Times New Roman" w:hAnsi="Times New Roman" w:cs="Times New Roman"/>
          <w:sz w:val="24"/>
          <w:szCs w:val="24"/>
        </w:rPr>
        <w:t xml:space="preserve"> od </w:t>
      </w:r>
      <w:r w:rsidRPr="00615350">
        <w:rPr>
          <w:rFonts w:ascii="Times New Roman" w:eastAsia="Times New Roman" w:hAnsi="Times New Roman" w:cs="Times New Roman"/>
          <w:b/>
          <w:bCs/>
          <w:sz w:val="24"/>
          <w:szCs w:val="24"/>
        </w:rPr>
        <w:t>pripreme za ponovnu upotrebu i reciklažu</w:t>
      </w:r>
      <w:r w:rsidRPr="00615350">
        <w:rPr>
          <w:rFonts w:ascii="Times New Roman" w:eastAsia="Times New Roman" w:hAnsi="Times New Roman" w:cs="Times New Roman"/>
          <w:sz w:val="24"/>
          <w:szCs w:val="24"/>
        </w:rPr>
        <w:t>, jer ova dva pokazatelja ne predstavljaju istu fazu upravljanja otpadom.</w:t>
      </w:r>
    </w:p>
    <w:p w:rsidR="0043118E" w:rsidRPr="00615350" w:rsidRDefault="0043118E" w:rsidP="00C34216">
      <w:pPr>
        <w:pStyle w:val="Heading2"/>
        <w:rPr>
          <w:rFonts w:eastAsia="Times New Roman"/>
        </w:rPr>
      </w:pPr>
      <w:bookmarkStart w:id="98" w:name="_Toc240282356"/>
      <w:r w:rsidRPr="00615350">
        <w:rPr>
          <w:rFonts w:eastAsia="Times New Roman"/>
        </w:rPr>
        <w:t>14.3. Unapređenje evidencije podataka</w:t>
      </w:r>
      <w:bookmarkEnd w:id="98"/>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Tokom planskog perioda potrebno je postepeno preći sa procijenjenih količina na podatke zasnovane na vaganju.</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Posebno je potrebno obezbijediti pouzdano evidentiranje:</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miješanog komunalnog otpada;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papira i kartona;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plastike;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metala;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stakla;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biootpada;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kabastog otpada;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tekstila;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električnog i elektronskog otpada i drugih posebnih tokova koji se preuzimaju kroz lokalni sistem;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neopasnog građevinskog otpada po odgovarajućim vrstama; </w:t>
      </w:r>
    </w:p>
    <w:p w:rsidR="0043118E" w:rsidRPr="00615350" w:rsidRDefault="0043118E" w:rsidP="00C1197A">
      <w:pPr>
        <w:numPr>
          <w:ilvl w:val="0"/>
          <w:numId w:val="47"/>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otpada predatog na ponovnu upotrebu, reciklažu, drugu preradu ili odstranjivanje.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svaki tok, gdje je primjenljivo, potrebno je evidentirati količinu, porijeklo, način sakupljanja, mjesto prijema i način daljeg postupanja.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Posebno je važno da podaci DOO „Komunalno“, Opštine, privatnih sakupljača i drugih učesnika budu što je moguće bolje usklađeni, kako bi se izbjeglo dvostruko evidentiranje istih količina ili izostavljanje otpada koji se sakuplja izvan redovnog komunalnog sistema.</w:t>
      </w:r>
    </w:p>
    <w:p w:rsidR="0043118E" w:rsidRPr="00615350" w:rsidRDefault="0043118E" w:rsidP="00C34216">
      <w:pPr>
        <w:pStyle w:val="Heading2"/>
        <w:rPr>
          <w:rFonts w:eastAsia="Times New Roman"/>
        </w:rPr>
      </w:pPr>
      <w:bookmarkStart w:id="99" w:name="_Toc240282357"/>
      <w:r w:rsidRPr="00615350">
        <w:rPr>
          <w:rFonts w:eastAsia="Times New Roman"/>
        </w:rPr>
        <w:t>14.4. Praćenje realizacije Akcionog plana</w:t>
      </w:r>
      <w:bookmarkEnd w:id="99"/>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Svaka aktivnost u Akcionom planu treba da bude povezana sa najmanje jednim indikatorom realizacije, rokom i odgovornim nosiocem.</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Status aktivnosti treba pratiti najmanje kroz kategorije: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b/>
          <w:bCs/>
          <w:sz w:val="24"/>
          <w:szCs w:val="24"/>
        </w:rPr>
        <w:t>nije započeta – u realizaciji – realizovana – odložena/izmijenjena.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Za aktivnosti koje nijesu realizovane u predviđenom roku potrebno je utvrditi razlog odstupanja i, kada je opravdano, odrediti novi rok ili prilagoditi način realizacije.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Posebno treba pratiti aktivnosti čije ostvarivanje zavisi od državnih ili regionalnih projekata, kako se kašnjenje infrastrukture koja nije u neposrednoj nadležnosti Opštine ne bi poistovjećivalo sa neizvršenjem lokalnih aktivnosti.</w:t>
      </w:r>
    </w:p>
    <w:p w:rsidR="0043118E" w:rsidRPr="00615350" w:rsidRDefault="0043118E" w:rsidP="00C34216">
      <w:pPr>
        <w:pStyle w:val="Heading2"/>
        <w:rPr>
          <w:rFonts w:eastAsia="Times New Roman"/>
        </w:rPr>
      </w:pPr>
      <w:bookmarkStart w:id="100" w:name="_Toc240282358"/>
      <w:r w:rsidRPr="00615350">
        <w:rPr>
          <w:rFonts w:eastAsia="Times New Roman"/>
        </w:rPr>
        <w:t>14.5. Godišnje praćenje i izvještavanje</w:t>
      </w:r>
      <w:bookmarkEnd w:id="100"/>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Realizaciju Lokalnog plana potrebno je analizirati najmanje jednom godišnje, na osnovu podataka za prethodnu godinu.</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Godišnji pregled treba da sadrži najmanje:</w:t>
      </w:r>
    </w:p>
    <w:p w:rsidR="0043118E" w:rsidRPr="00615350" w:rsidRDefault="0043118E" w:rsidP="00C1197A">
      <w:pPr>
        <w:numPr>
          <w:ilvl w:val="0"/>
          <w:numId w:val="4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ostvarene vrijednosti ključnih indikatora; </w:t>
      </w:r>
    </w:p>
    <w:p w:rsidR="0043118E" w:rsidRPr="00615350" w:rsidRDefault="0043118E" w:rsidP="00C1197A">
      <w:pPr>
        <w:numPr>
          <w:ilvl w:val="0"/>
          <w:numId w:val="4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realizovane mjere i aktivnosti; </w:t>
      </w:r>
    </w:p>
    <w:p w:rsidR="0043118E" w:rsidRPr="00615350" w:rsidRDefault="0043118E" w:rsidP="00C1197A">
      <w:pPr>
        <w:numPr>
          <w:ilvl w:val="0"/>
          <w:numId w:val="4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odstupanja od planiranih ciljnih vrijednosti; </w:t>
      </w:r>
    </w:p>
    <w:p w:rsidR="0043118E" w:rsidRPr="00615350" w:rsidRDefault="0043118E" w:rsidP="00C1197A">
      <w:pPr>
        <w:numPr>
          <w:ilvl w:val="0"/>
          <w:numId w:val="4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stanje realizacije infrastrukturnih projekata; </w:t>
      </w:r>
    </w:p>
    <w:p w:rsidR="0043118E" w:rsidRPr="00615350" w:rsidRDefault="0043118E" w:rsidP="00C1197A">
      <w:pPr>
        <w:numPr>
          <w:ilvl w:val="0"/>
          <w:numId w:val="4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pregled realizovanih finansijskih sredstava; </w:t>
      </w:r>
    </w:p>
    <w:p w:rsidR="0043118E" w:rsidRPr="00615350" w:rsidRDefault="0043118E" w:rsidP="00C1197A">
      <w:pPr>
        <w:numPr>
          <w:ilvl w:val="0"/>
          <w:numId w:val="4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uočene probleme u sprovođenju; </w:t>
      </w:r>
    </w:p>
    <w:p w:rsidR="0043118E" w:rsidRPr="00615350" w:rsidRDefault="0043118E" w:rsidP="00C1197A">
      <w:pPr>
        <w:numPr>
          <w:ilvl w:val="0"/>
          <w:numId w:val="48"/>
        </w:num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predlog korektivnih aktivnosti za naredni period. </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Izvještavanje prema nadležnim organima vrši se u rokovima, na način i sa sadržajem utvrđenim važećim propisima.</w:t>
      </w:r>
    </w:p>
    <w:p w:rsidR="0043118E" w:rsidRPr="00615350" w:rsidRDefault="0043118E" w:rsidP="00C34216">
      <w:pPr>
        <w:pStyle w:val="Heading2"/>
        <w:rPr>
          <w:rFonts w:eastAsia="Times New Roman"/>
        </w:rPr>
      </w:pPr>
      <w:bookmarkStart w:id="101" w:name="_Toc240282359"/>
      <w:r w:rsidRPr="00615350">
        <w:rPr>
          <w:rFonts w:eastAsia="Times New Roman"/>
        </w:rPr>
        <w:t>14.6. Korektivne mjere</w:t>
      </w:r>
      <w:bookmarkEnd w:id="101"/>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Ukoliko praćenje pokaže da pojedini ciljevi nijesu ostvarivani planiranom dinamikom, potrebno je utvrditi uzroke i prilagoditi odgovarajuće aktivnosti.</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Korektivne mjere mogu obuhvatiti promjenu organizacije sakupljanja, povećanje broja ili drugačiji raspored posuda, prilagođavanje ruta, dodatne aktivnosti informisanja, unapređenje saradnje sa operaterima, izmjenu dinamike investicija ili druge mjere koje proizlaze iz rezultata praćenja.</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Promjene operativnog karaktera mogu se sprovoditi kroz godišnje planiranje, dok izmjene koje utiču na osnovna planska opredjeljenja treba sprovoditi u skladu sa postupkom propisanim za Lokalni plan.</w:t>
      </w:r>
    </w:p>
    <w:p w:rsidR="0043118E" w:rsidRPr="00615350" w:rsidRDefault="0043118E" w:rsidP="00802B75">
      <w:pPr>
        <w:rPr>
          <w:rFonts w:ascii="Times New Roman" w:hAnsi="Times New Roman" w:cs="Times New Roman"/>
          <w:b/>
          <w:sz w:val="24"/>
        </w:rPr>
      </w:pPr>
      <w:r w:rsidRPr="00615350">
        <w:rPr>
          <w:rFonts w:ascii="Times New Roman" w:hAnsi="Times New Roman" w:cs="Times New Roman"/>
          <w:b/>
          <w:sz w:val="24"/>
        </w:rPr>
        <w:t>Plansko opredjeljenje</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Do kraja planskog perioda Opština Berane treba da raspolaže sistemom praćenja koji omogućava da se za ključne tokove otpada pouzdano utvrdi </w:t>
      </w:r>
      <w:r w:rsidRPr="00615350">
        <w:rPr>
          <w:rFonts w:ascii="Times New Roman" w:eastAsia="Times New Roman" w:hAnsi="Times New Roman" w:cs="Times New Roman"/>
          <w:b/>
          <w:bCs/>
          <w:sz w:val="24"/>
          <w:szCs w:val="24"/>
        </w:rPr>
        <w:t>koliko otpada nastaje i sakuplja se, koliko se odvojeno izdvaja, koliko se usmjerava na ponovnu upotrebu, reciklažu i druge oblike prerade i koliko preostaje za odstranjivanje</w:t>
      </w:r>
      <w:r w:rsidRPr="00615350">
        <w:rPr>
          <w:rFonts w:ascii="Times New Roman" w:eastAsia="Times New Roman" w:hAnsi="Times New Roman" w:cs="Times New Roman"/>
          <w:sz w:val="24"/>
          <w:szCs w:val="24"/>
        </w:rPr>
        <w:t>.</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lastRenderedPageBreak/>
        <w:t>Poseban prioritet predstavlja uspostavljanje pouzdanog vaganja i evidencije neopasnog građevinskog otpada, odvojeno sakupljenih reciklabilnih frakcija i biootpada, jer bez tih podataka nije moguće pouzdano izračunavati ostvarivanje ključnih ciljeva LPUO i DPUO.</w:t>
      </w:r>
    </w:p>
    <w:p w:rsidR="0043118E" w:rsidRPr="00615350" w:rsidRDefault="0043118E" w:rsidP="00900448">
      <w:pPr>
        <w:spacing w:before="100" w:beforeAutospacing="1" w:after="100" w:afterAutospacing="1"/>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Rezultati praćenja treba da se koriste za godišnje upravljanje sistemom i pravovremeno preduzimanje korektivnih mjera, kako bi se do kraja 2029. godine ostvario najveći mogući napredak prema ciljevima utvrđenim ovim Planom.</w:t>
      </w:r>
    </w:p>
    <w:p w:rsidR="00EC63FB" w:rsidRPr="00615350" w:rsidRDefault="00EC63FB" w:rsidP="00900448">
      <w:pPr>
        <w:spacing w:before="100" w:beforeAutospacing="1" w:after="100" w:afterAutospacing="1"/>
        <w:jc w:val="both"/>
        <w:rPr>
          <w:rFonts w:ascii="Times New Roman" w:eastAsia="Times New Roman" w:hAnsi="Times New Roman" w:cs="Times New Roman"/>
          <w:sz w:val="24"/>
          <w:szCs w:val="24"/>
        </w:rPr>
      </w:pPr>
    </w:p>
    <w:p w:rsidR="00E7675B" w:rsidRPr="00615350" w:rsidRDefault="00E7675B" w:rsidP="00900448">
      <w:pPr>
        <w:spacing w:before="100" w:beforeAutospacing="1" w:after="100" w:afterAutospacing="1"/>
        <w:jc w:val="both"/>
        <w:outlineLvl w:val="2"/>
        <w:rPr>
          <w:rFonts w:ascii="Times New Roman" w:hAnsi="Times New Roman" w:cs="Times New Roman"/>
          <w:noProof/>
          <w:sz w:val="24"/>
          <w:szCs w:val="24"/>
          <w:lang w:val="sr-Latn-RS"/>
        </w:rPr>
        <w:sectPr w:rsidR="00E7675B" w:rsidRPr="00615350" w:rsidSect="003A57AC">
          <w:footerReference w:type="default" r:id="rId11"/>
          <w:pgSz w:w="11907" w:h="16839" w:code="9"/>
          <w:pgMar w:top="1440" w:right="1440" w:bottom="1440" w:left="1440" w:header="720" w:footer="720" w:gutter="0"/>
          <w:cols w:space="720"/>
          <w:docGrid w:linePitch="360"/>
        </w:sectPr>
      </w:pPr>
    </w:p>
    <w:p w:rsidR="00E7675B" w:rsidRPr="00615350" w:rsidRDefault="00E7675B" w:rsidP="002C6842">
      <w:pPr>
        <w:pStyle w:val="Heading1"/>
        <w:rPr>
          <w:rFonts w:eastAsia="Times New Roman"/>
        </w:rPr>
      </w:pPr>
      <w:bookmarkStart w:id="102" w:name="_Toc240282360"/>
      <w:r w:rsidRPr="00615350">
        <w:rPr>
          <w:rFonts w:eastAsia="Times New Roman"/>
        </w:rPr>
        <w:lastRenderedPageBreak/>
        <w:t>15. AKCIONI PLAN ZA PERIOD 2026–2029. GODINE</w:t>
      </w:r>
      <w:bookmarkEnd w:id="102"/>
    </w:p>
    <w:p w:rsidR="00900448" w:rsidRPr="00615350" w:rsidRDefault="00900448" w:rsidP="002C6842">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Akcioni plan predstavlja operativni dio Lokalnog plana i definiše prioritetne aktivnosti za ostvarivanje utvrđenih ciljeva u periodu 2026–2029. godine. Aktivnosti su objedinjene tako da broj mjera ostane realan i upravljiv, uz jasno definisane indikatore, rokove, nosioce, procijenjena sredstva, dinamiku i moguće izvore finansiranja.</w:t>
      </w:r>
    </w:p>
    <w:p w:rsidR="00900448" w:rsidRPr="00615350" w:rsidRDefault="00900448" w:rsidP="002C6842">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Procijenjena sredstva za infrastrukturne aktivnosti za koje još nije izrađena odgovarajuća tehnička dokumentacija ne utvrđuju se unaprijed, već će biti određena nakon izrade studijske i projektne dokumentacije. Time se izbjegava unošenje finansijskih vrijednosti koje u ovoj fazi nemaju pouzdanu osnovu.</w:t>
      </w:r>
    </w:p>
    <w:tbl>
      <w:tblPr>
        <w:tblStyle w:val="LightShading-Accent1"/>
        <w:tblW w:w="0" w:type="auto"/>
        <w:tblLook w:val="04A0" w:firstRow="1" w:lastRow="0" w:firstColumn="1" w:lastColumn="0" w:noHBand="0" w:noVBand="1"/>
      </w:tblPr>
      <w:tblGrid>
        <w:gridCol w:w="466"/>
        <w:gridCol w:w="2218"/>
        <w:gridCol w:w="2752"/>
        <w:gridCol w:w="1294"/>
        <w:gridCol w:w="1669"/>
        <w:gridCol w:w="1455"/>
        <w:gridCol w:w="1734"/>
        <w:gridCol w:w="1588"/>
      </w:tblGrid>
      <w:tr w:rsidR="00900448" w:rsidRPr="00615350" w:rsidTr="004604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jc w:val="center"/>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Br.</w:t>
            </w:r>
          </w:p>
        </w:tc>
        <w:tc>
          <w:tcPr>
            <w:tcW w:w="0" w:type="auto"/>
            <w:hideMark/>
          </w:tcPr>
          <w:p w:rsidR="00900448" w:rsidRPr="00615350" w:rsidRDefault="00900448" w:rsidP="0090044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Mjera / aktivnost</w:t>
            </w:r>
          </w:p>
        </w:tc>
        <w:tc>
          <w:tcPr>
            <w:tcW w:w="0" w:type="auto"/>
            <w:hideMark/>
          </w:tcPr>
          <w:p w:rsidR="00900448" w:rsidRPr="00615350" w:rsidRDefault="00900448" w:rsidP="0090044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Indikator / ciljna vrijednost</w:t>
            </w:r>
          </w:p>
        </w:tc>
        <w:tc>
          <w:tcPr>
            <w:tcW w:w="0" w:type="auto"/>
            <w:hideMark/>
          </w:tcPr>
          <w:p w:rsidR="00900448" w:rsidRPr="00615350" w:rsidRDefault="00900448" w:rsidP="0090044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Rok</w:t>
            </w:r>
          </w:p>
        </w:tc>
        <w:tc>
          <w:tcPr>
            <w:tcW w:w="0" w:type="auto"/>
            <w:hideMark/>
          </w:tcPr>
          <w:p w:rsidR="00900448" w:rsidRPr="00615350" w:rsidRDefault="00900448" w:rsidP="0090044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Nosilac / partneri</w:t>
            </w:r>
          </w:p>
        </w:tc>
        <w:tc>
          <w:tcPr>
            <w:tcW w:w="0" w:type="auto"/>
            <w:hideMark/>
          </w:tcPr>
          <w:p w:rsidR="00900448" w:rsidRPr="00615350" w:rsidRDefault="00900448" w:rsidP="0090044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Procijenjena sredstva</w:t>
            </w:r>
          </w:p>
        </w:tc>
        <w:tc>
          <w:tcPr>
            <w:tcW w:w="0" w:type="auto"/>
            <w:hideMark/>
          </w:tcPr>
          <w:p w:rsidR="00900448" w:rsidRPr="00615350" w:rsidRDefault="00900448" w:rsidP="0090044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Dinamika finansiranja</w:t>
            </w:r>
          </w:p>
        </w:tc>
        <w:tc>
          <w:tcPr>
            <w:tcW w:w="0" w:type="auto"/>
            <w:hideMark/>
          </w:tcPr>
          <w:p w:rsidR="00900448" w:rsidRPr="00615350" w:rsidRDefault="00900448" w:rsidP="0090044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15350">
              <w:rPr>
                <w:rFonts w:ascii="Times New Roman" w:eastAsia="Times New Roman" w:hAnsi="Times New Roman" w:cs="Times New Roman"/>
                <w:b w:val="0"/>
                <w:bCs w:val="0"/>
                <w:sz w:val="20"/>
                <w:szCs w:val="20"/>
              </w:rPr>
              <w:t>Izvor finansiranja</w:t>
            </w:r>
          </w:p>
        </w:tc>
      </w:tr>
      <w:tr w:rsidR="00900448" w:rsidRPr="00615350" w:rsidTr="0046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1.</w:t>
            </w:r>
          </w:p>
        </w:tc>
        <w:tc>
          <w:tcPr>
            <w:tcW w:w="0" w:type="auto"/>
            <w:hideMark/>
          </w:tcPr>
          <w:p w:rsidR="00900448" w:rsidRPr="00615350" w:rsidRDefault="00900448" w:rsidP="002C684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Proširenje obuhvata organizovanim sakupljanjem komunalnog otpada</w:t>
            </w:r>
            <w:r w:rsidRPr="00615350">
              <w:rPr>
                <w:rFonts w:ascii="Times New Roman" w:eastAsia="Times New Roman" w:hAnsi="Times New Roman" w:cs="Times New Roman"/>
                <w:sz w:val="20"/>
                <w:szCs w:val="20"/>
              </w:rPr>
              <w:t xml:space="preserve">, sa prioritetom na </w:t>
            </w:r>
            <w:r w:rsidR="002C6842" w:rsidRPr="00615350">
              <w:rPr>
                <w:rFonts w:ascii="Times New Roman" w:eastAsia="Times New Roman" w:hAnsi="Times New Roman" w:cs="Times New Roman"/>
                <w:sz w:val="20"/>
                <w:szCs w:val="20"/>
              </w:rPr>
              <w:t>neobuhvaćena</w:t>
            </w:r>
            <w:r w:rsidRPr="00615350">
              <w:rPr>
                <w:rFonts w:ascii="Times New Roman" w:eastAsia="Times New Roman" w:hAnsi="Times New Roman" w:cs="Times New Roman"/>
                <w:sz w:val="20"/>
                <w:szCs w:val="20"/>
              </w:rPr>
              <w:t xml:space="preserve"> i nedovoljno </w:t>
            </w:r>
            <w:r w:rsidR="002C6842" w:rsidRPr="00615350">
              <w:rPr>
                <w:rFonts w:ascii="Times New Roman" w:eastAsia="Times New Roman" w:hAnsi="Times New Roman" w:cs="Times New Roman"/>
                <w:sz w:val="20"/>
                <w:szCs w:val="20"/>
              </w:rPr>
              <w:t>obuhvaćena</w:t>
            </w:r>
            <w:r w:rsidRPr="00615350">
              <w:rPr>
                <w:rFonts w:ascii="Times New Roman" w:eastAsia="Times New Roman" w:hAnsi="Times New Roman" w:cs="Times New Roman"/>
                <w:sz w:val="20"/>
                <w:szCs w:val="20"/>
              </w:rPr>
              <w:t xml:space="preserve"> ruralna naselja</w:t>
            </w:r>
          </w:p>
        </w:tc>
        <w:tc>
          <w:tcPr>
            <w:tcW w:w="0" w:type="auto"/>
            <w:hideMark/>
          </w:tcPr>
          <w:p w:rsidR="00900448" w:rsidRPr="00615350" w:rsidRDefault="008835DC"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Postepeno povećanje obuhvata sa postojećih oko 81,23%; broj novih domaćinstava i naselja uključenih u sistem; praćenje obuhvata, ruta i učestalosti sakupljanja u ruralnim područjima.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2026–2029.</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DOO „Komunalno“</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godišnjim programima rada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Godišnje, 2026–2029.</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Budžet Opštine, DOO „Komunalno“, fondovi</w:t>
            </w:r>
          </w:p>
        </w:tc>
      </w:tr>
      <w:tr w:rsidR="00900448" w:rsidRPr="00615350" w:rsidTr="00460474">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2.</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Unapređenje sistema sakupljanja i transporta kroz nabavku i zamjenu posuda, kontejnera i odgovarajućih vozila i optimizaciju ruta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Broj nabavljenih/zamijenjenih posuda i vozila; povećan broj korisnika; unaprijeđene rute sakupljanja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2026–2029.</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DOO „Komunalno“ / Opština Berane</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godišnjim planovima nabavki</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Fazno, 2026–2029.</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DOO „Komunalno“, budžet Opštine, državni i međunarodni fondovi</w:t>
            </w:r>
          </w:p>
        </w:tc>
      </w:tr>
      <w:tr w:rsidR="00900448" w:rsidRPr="00615350" w:rsidTr="0046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3.</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Fazno uspostavljanje sistema odvojenog sakupljanja reciklabilnih frakcija</w:t>
            </w:r>
            <w:r w:rsidRPr="00615350">
              <w:rPr>
                <w:rFonts w:ascii="Times New Roman" w:eastAsia="Times New Roman" w:hAnsi="Times New Roman" w:cs="Times New Roman"/>
                <w:sz w:val="20"/>
                <w:szCs w:val="20"/>
              </w:rPr>
              <w:t xml:space="preserve"> – suva frakcija, preostali otpad i zasebno sakupljanje stakla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Uspostavljen sistem; povećanje broja korisnika i količina odvojeno sakupljenog papira, kartona, plastike, metala i stakla; napredak prema ciljevima DPUO</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2026–2029.</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DOO „Komunalno“, privredni subjekti, ovlašćeni operateri</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programu razvoja sistema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Fazno, sa godišnjim proširenjem</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Budžet Opštine, DOO „Komunalno“, državni i međunarodni fondovi</w:t>
            </w:r>
          </w:p>
        </w:tc>
      </w:tr>
      <w:tr w:rsidR="00900448" w:rsidRPr="00615350" w:rsidTr="00460474">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4.</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Razvoj sistema upravljanja biootpadom</w:t>
            </w:r>
            <w:r w:rsidRPr="00615350">
              <w:rPr>
                <w:rFonts w:ascii="Times New Roman" w:eastAsia="Times New Roman" w:hAnsi="Times New Roman" w:cs="Times New Roman"/>
                <w:sz w:val="20"/>
                <w:szCs w:val="20"/>
              </w:rPr>
              <w:t xml:space="preserve">, </w:t>
            </w:r>
            <w:r w:rsidRPr="00615350">
              <w:rPr>
                <w:rFonts w:ascii="Times New Roman" w:eastAsia="Times New Roman" w:hAnsi="Times New Roman" w:cs="Times New Roman"/>
                <w:sz w:val="20"/>
                <w:szCs w:val="20"/>
              </w:rPr>
              <w:lastRenderedPageBreak/>
              <w:t>uključujući pilot-program kućnog kompostiranja, odvojeno sakupljanje zelenog otpada i postepeno izdvajanje biootpada većih proizvođača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 xml:space="preserve">Pokrenut program kućnog kompostiranja; broj uključenih domaćinstava i podijeljenih </w:t>
            </w:r>
            <w:r w:rsidRPr="00615350">
              <w:rPr>
                <w:rFonts w:ascii="Times New Roman" w:eastAsia="Times New Roman" w:hAnsi="Times New Roman" w:cs="Times New Roman"/>
                <w:sz w:val="20"/>
                <w:szCs w:val="20"/>
              </w:rPr>
              <w:lastRenderedPageBreak/>
              <w:t>kompostera; evidentirane količine zelenog i drugog odvojeno sakupljenog biootpada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2026–2029.</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 xml:space="preserve">Opština Berane / DOO „Komunalno“, </w:t>
            </w:r>
            <w:r w:rsidRPr="00615350">
              <w:rPr>
                <w:rFonts w:ascii="Times New Roman" w:eastAsia="Times New Roman" w:hAnsi="Times New Roman" w:cs="Times New Roman"/>
                <w:sz w:val="20"/>
                <w:szCs w:val="20"/>
              </w:rPr>
              <w:lastRenderedPageBreak/>
              <w:t>domaćinstva, ustanove i privreda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Prema programu i broju korisnika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Pilot 2026–2027; proširenje 2027–2029.</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 xml:space="preserve">Budžet Opštine, državni i međunarodni </w:t>
            </w:r>
            <w:r w:rsidRPr="00615350">
              <w:rPr>
                <w:rFonts w:ascii="Times New Roman" w:eastAsia="Times New Roman" w:hAnsi="Times New Roman" w:cs="Times New Roman"/>
                <w:sz w:val="20"/>
                <w:szCs w:val="20"/>
              </w:rPr>
              <w:lastRenderedPageBreak/>
              <w:t>fondovi</w:t>
            </w:r>
          </w:p>
        </w:tc>
      </w:tr>
      <w:tr w:rsidR="00900448" w:rsidRPr="00615350" w:rsidTr="0046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lastRenderedPageBreak/>
              <w:t>5.</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Uspostavljanje odvojenog sakupljanja kabastog otpada i posebnih tokova otpada iz domaćinstava</w:t>
            </w:r>
            <w:r w:rsidRPr="00615350">
              <w:rPr>
                <w:rFonts w:ascii="Times New Roman" w:eastAsia="Times New Roman" w:hAnsi="Times New Roman" w:cs="Times New Roman"/>
                <w:sz w:val="20"/>
                <w:szCs w:val="20"/>
              </w:rPr>
              <w:t>, uključujući tekstil, EE otpad, baterije i druge odgovarajuće tokove</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Uspostavljene organizovane akcije/punktovi; evidentirane količine po tokovima; obezbijeđena predaja ovlašćenim operaterima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2026–2029.</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DOO „Komunalno“, ovlašćeni operateri, sistemi proširene odgovornosti proizvođača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programu sakupljanja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Postepeno 2026–2029; zatim kontinuirano</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Budžet Opštine, DOO „Komunalno“, EPR sistemi, operateri</w:t>
            </w:r>
          </w:p>
        </w:tc>
      </w:tr>
      <w:tr w:rsidR="00900448" w:rsidRPr="00615350" w:rsidTr="00460474">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6.</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Priprema i uspostavljanje reciklažnog centra sa programom ponovne upotrebe i odgovarajućih kapaciteta za prijem i razvrstavanje odvojeno sakupljenog otpada</w:t>
            </w:r>
            <w:r w:rsidRPr="00615350">
              <w:rPr>
                <w:rFonts w:ascii="Times New Roman" w:eastAsia="Times New Roman" w:hAnsi="Times New Roman" w:cs="Times New Roman"/>
                <w:sz w:val="20"/>
                <w:szCs w:val="20"/>
              </w:rPr>
              <w:t>, u skladu sa DPUO i tehničkom dokumentacijom</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Izrađena potrebna dokumentacija; obezbijeđena lokacija i finansiranje; uspostavljeni odgovarajući kapaciteti u skladu sa realizacijom projekta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2026–2029.</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nadležni državni organi, DOO „Komunalno“</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studijskoj i projektnoj dokumentaciji</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fazama pripreme i realizacije projekta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Budžet Opštine, državni budžet, međunarodni fondovi i drugi dostupni izvori</w:t>
            </w:r>
          </w:p>
        </w:tc>
      </w:tr>
      <w:tr w:rsidR="00900448" w:rsidRPr="00615350" w:rsidTr="0046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7.</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Uspostavljanje uređene lokacije za prijem i privremeno skladištenje neopasnog građevinskog otpada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Zakonski određena i uređena lokacija; uspostavljeno vaganje, kontrolisani prijem, razvrstavanje i evidencija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2026–2028.</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DOO „Komunalno“</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tehničkoj dokumentaciji</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Projektovanje i priprema 2026–2027; uređenje i opremanje 2027–2028.</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Budžet Opštine, državni i međunarodni izvori</w:t>
            </w:r>
          </w:p>
        </w:tc>
      </w:tr>
      <w:tr w:rsidR="00900448" w:rsidRPr="00615350" w:rsidTr="00460474">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8.</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Uspostavljanje sistema ponovne upotrebe, reciklaže i druge materijalne prerade neopasnog građevinskog otpada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Evidencija po vrstama i masi; izdvojene mineralne i druge iskoristive frakcije; ugovorena predaja/prerada; utvrđena stopa materijalnog iskorišćenja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2027–2029.</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DOO „Komunalno“, ovlašćeni operateri</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izabranom modelu tretmana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Postepeno nakon uspostavljanja kontrolisanog prijema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Budžet Opštine, DOO „Komunalno“, operateri i drugi izvori</w:t>
            </w:r>
          </w:p>
        </w:tc>
      </w:tr>
      <w:tr w:rsidR="00900448" w:rsidRPr="00615350" w:rsidTr="0046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9.</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 xml:space="preserve">Evidentiranje, </w:t>
            </w:r>
            <w:r w:rsidRPr="00615350">
              <w:rPr>
                <w:rFonts w:ascii="Times New Roman" w:eastAsia="Times New Roman" w:hAnsi="Times New Roman" w:cs="Times New Roman"/>
                <w:b/>
                <w:bCs/>
                <w:sz w:val="20"/>
                <w:szCs w:val="20"/>
              </w:rPr>
              <w:lastRenderedPageBreak/>
              <w:t>uklanjanje i sanacija neuređenih odlagališta i sprečavanje njihovog ponovnog formiranja</w:t>
            </w:r>
            <w:r w:rsidRPr="00615350">
              <w:rPr>
                <w:rFonts w:ascii="Times New Roman" w:eastAsia="Times New Roman" w:hAnsi="Times New Roman" w:cs="Times New Roman"/>
                <w:sz w:val="20"/>
                <w:szCs w:val="20"/>
              </w:rPr>
              <w:t>, sa prioritetom na lokacije uz Lim i njegove pritoke</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 xml:space="preserve">Ažurirana evidencija lokacija; </w:t>
            </w:r>
            <w:r w:rsidRPr="00615350">
              <w:rPr>
                <w:rFonts w:ascii="Times New Roman" w:eastAsia="Times New Roman" w:hAnsi="Times New Roman" w:cs="Times New Roman"/>
                <w:sz w:val="20"/>
                <w:szCs w:val="20"/>
              </w:rPr>
              <w:lastRenderedPageBreak/>
              <w:t>broj saniranih lokacija; smanjen broj ponovljenih nelegalnih odlaganja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2026–2029.</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 xml:space="preserve">Opština Berane / </w:t>
            </w:r>
            <w:r w:rsidRPr="00615350">
              <w:rPr>
                <w:rFonts w:ascii="Times New Roman" w:eastAsia="Times New Roman" w:hAnsi="Times New Roman" w:cs="Times New Roman"/>
                <w:sz w:val="20"/>
                <w:szCs w:val="20"/>
              </w:rPr>
              <w:lastRenderedPageBreak/>
              <w:t>DOO „Komunalno“, inspekcijske službe</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 xml:space="preserve">Prema </w:t>
            </w:r>
            <w:r w:rsidRPr="00615350">
              <w:rPr>
                <w:rFonts w:ascii="Times New Roman" w:eastAsia="Times New Roman" w:hAnsi="Times New Roman" w:cs="Times New Roman"/>
                <w:sz w:val="20"/>
                <w:szCs w:val="20"/>
              </w:rPr>
              <w:lastRenderedPageBreak/>
              <w:t>godišnjem programu sanacije</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 xml:space="preserve">Godišnje, prema </w:t>
            </w:r>
            <w:r w:rsidRPr="00615350">
              <w:rPr>
                <w:rFonts w:ascii="Times New Roman" w:eastAsia="Times New Roman" w:hAnsi="Times New Roman" w:cs="Times New Roman"/>
                <w:sz w:val="20"/>
                <w:szCs w:val="20"/>
              </w:rPr>
              <w:lastRenderedPageBreak/>
              <w:t>utvrđenim prioritetima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 xml:space="preserve">Budžet Opštine, </w:t>
            </w:r>
            <w:r w:rsidRPr="00615350">
              <w:rPr>
                <w:rFonts w:ascii="Times New Roman" w:eastAsia="Times New Roman" w:hAnsi="Times New Roman" w:cs="Times New Roman"/>
                <w:sz w:val="20"/>
                <w:szCs w:val="20"/>
              </w:rPr>
              <w:lastRenderedPageBreak/>
              <w:t>državni i međunarodni fondovi</w:t>
            </w:r>
          </w:p>
        </w:tc>
      </w:tr>
      <w:tr w:rsidR="00900448" w:rsidRPr="00615350" w:rsidTr="00460474">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lastRenderedPageBreak/>
              <w:t>10.</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Kontrolisano korišćenje lokacije „Rujiške laze“ u prelaznom periodu i priprema njenog zatvaranja i sanacije nakon uspostavljanja odgovarajućeg regionalnog rješenja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Kontrolisano postupanje u prelaznom periodu; izrađena potrebna dokumentacija; prestanak prijema miješanog komunalnog otpada i sanacija nakon uspostavljanja odgovarajućeg rješenja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2026–2029. i prema dinamici regionalnog sistema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DOO „Komunalno“, nadležni državni organi</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tehničkoj dokumentaciji</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Kontrola kontinuirano; priprema dokumentacije tokom planskog perioda; sanacija po uspostavljanju regionalnog sistema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Budžet Opštine, državni budžet, međunarodni fondovi</w:t>
            </w:r>
          </w:p>
        </w:tc>
      </w:tr>
      <w:tr w:rsidR="00900448" w:rsidRPr="00615350" w:rsidTr="0046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11.</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Priprema lokalnog sistema za uključivanje u sjeverni regionalni sistem upravljanja otpadom sa Regionalnim centrom u Bijelom Polju</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Usklađena lokalna logistika; definisan način transporta i predaje pojedinih tokova; uspostavljena institucionalna saradnja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2026–2029.</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DOO „Komunalno“, nadležni državni organi i subjekti regionalnog sistema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konačnom regionalnom rješenju</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U skladu sa dinamikom razvoja Regionalnog centra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Lokalni i državni budžet, međunarodni fondovi</w:t>
            </w:r>
          </w:p>
        </w:tc>
      </w:tr>
      <w:tr w:rsidR="00900448" w:rsidRPr="00615350" w:rsidTr="00460474">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12.</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Sprovođenje programa sprječavanja nastanka otpada i ponovne upotrebe</w:t>
            </w:r>
            <w:r w:rsidRPr="00615350">
              <w:rPr>
                <w:rFonts w:ascii="Times New Roman" w:eastAsia="Times New Roman" w:hAnsi="Times New Roman" w:cs="Times New Roman"/>
                <w:sz w:val="20"/>
                <w:szCs w:val="20"/>
              </w:rPr>
              <w:t>, uključujući smanjenje jednokratnih proizvoda, otpada od hrane, promociju popravke, doniranja i ponovne upotrebe</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Broj sprovedenih aktivnosti; broj učesnika; evidentirani predmeti usmjereni na ponovnu upotrebu; aktivnosti na smanjenju otpada od hrane</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2026–2029.</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javne ustanove, NVO, privreda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U okviru godišnjih programa i projekata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Kontinuirano, 2026–2029.</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Budžet Opštine, projekti, donacije i drugi izvori</w:t>
            </w:r>
          </w:p>
        </w:tc>
      </w:tr>
      <w:tr w:rsidR="00900448" w:rsidRPr="00615350" w:rsidTr="0046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13.</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Kontinuirano informisanje, edukacija i uključivanje javnosti u sistem upravljanja otpadom</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Najmanje jedna organizovana kampanja/program godišnje; dostupna uputstva za selekciju, kompostiranje i posebne tokove; aktivnosti u školama i lokalnim zajednicama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2026–2029.</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Opština Berane / DOO „Komunalno“, obrazovne ustanove, NVO</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Prema godišnjim programima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Godišnje, tokom cijelog planskog perioda</w:t>
            </w:r>
          </w:p>
        </w:tc>
        <w:tc>
          <w:tcPr>
            <w:tcW w:w="0" w:type="auto"/>
            <w:hideMark/>
          </w:tcPr>
          <w:p w:rsidR="00900448" w:rsidRPr="00615350" w:rsidRDefault="00900448" w:rsidP="009004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Budžet Opštine, DOO „Komunalno“, projekti i donacije</w:t>
            </w:r>
          </w:p>
        </w:tc>
      </w:tr>
      <w:tr w:rsidR="00900448" w:rsidRPr="00615350" w:rsidTr="00460474">
        <w:tc>
          <w:tcPr>
            <w:cnfStyle w:val="001000000000" w:firstRow="0" w:lastRow="0" w:firstColumn="1" w:lastColumn="0" w:oddVBand="0" w:evenVBand="0" w:oddHBand="0" w:evenHBand="0" w:firstRowFirstColumn="0" w:firstRowLastColumn="0" w:lastRowFirstColumn="0" w:lastRowLastColumn="0"/>
            <w:tcW w:w="0" w:type="auto"/>
            <w:hideMark/>
          </w:tcPr>
          <w:p w:rsidR="00900448" w:rsidRPr="00615350" w:rsidRDefault="00900448" w:rsidP="00900448">
            <w:pPr>
              <w:rPr>
                <w:rFonts w:ascii="Times New Roman" w:eastAsia="Times New Roman" w:hAnsi="Times New Roman" w:cs="Times New Roman"/>
                <w:sz w:val="20"/>
                <w:szCs w:val="20"/>
              </w:rPr>
            </w:pPr>
            <w:r w:rsidRPr="00615350">
              <w:rPr>
                <w:rFonts w:ascii="Times New Roman" w:eastAsia="Times New Roman" w:hAnsi="Times New Roman" w:cs="Times New Roman"/>
                <w:b w:val="0"/>
                <w:bCs w:val="0"/>
                <w:sz w:val="20"/>
                <w:szCs w:val="20"/>
              </w:rPr>
              <w:t>14.</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b/>
                <w:bCs/>
                <w:sz w:val="20"/>
                <w:szCs w:val="20"/>
              </w:rPr>
              <w:t xml:space="preserve">Unapređenje evidencije, mjerenja, </w:t>
            </w:r>
            <w:r w:rsidRPr="00615350">
              <w:rPr>
                <w:rFonts w:ascii="Times New Roman" w:eastAsia="Times New Roman" w:hAnsi="Times New Roman" w:cs="Times New Roman"/>
                <w:b/>
                <w:bCs/>
                <w:sz w:val="20"/>
                <w:szCs w:val="20"/>
              </w:rPr>
              <w:lastRenderedPageBreak/>
              <w:t>monitoringa i godišnjeg izvještavanja o realizaciji LPUO</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 xml:space="preserve">Uspostavljene evidencije po tokovima; evidentirane stvarne </w:t>
            </w:r>
            <w:r w:rsidRPr="00615350">
              <w:rPr>
                <w:rFonts w:ascii="Times New Roman" w:eastAsia="Times New Roman" w:hAnsi="Times New Roman" w:cs="Times New Roman"/>
                <w:sz w:val="20"/>
                <w:szCs w:val="20"/>
              </w:rPr>
              <w:lastRenderedPageBreak/>
              <w:t>mase gdje je moguće; godišnji izvještaji o realizaciji; praćenje indikatora i ciljnih vrijednosti</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2026–2029.</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t xml:space="preserve">Opština Berane / DOO </w:t>
            </w:r>
            <w:r w:rsidRPr="00615350">
              <w:rPr>
                <w:rFonts w:ascii="Times New Roman" w:eastAsia="Times New Roman" w:hAnsi="Times New Roman" w:cs="Times New Roman"/>
                <w:sz w:val="20"/>
                <w:szCs w:val="20"/>
              </w:rPr>
              <w:lastRenderedPageBreak/>
              <w:t>„Komunalno“ i drugi subjekti koji dostavljaju podatke</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 xml:space="preserve">Pretežno u okviru </w:t>
            </w:r>
            <w:r w:rsidRPr="00615350">
              <w:rPr>
                <w:rFonts w:ascii="Times New Roman" w:eastAsia="Times New Roman" w:hAnsi="Times New Roman" w:cs="Times New Roman"/>
                <w:sz w:val="20"/>
                <w:szCs w:val="20"/>
              </w:rPr>
              <w:lastRenderedPageBreak/>
              <w:t>redovnog rada</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 xml:space="preserve">Kontinuirano evidentiranje; </w:t>
            </w:r>
            <w:r w:rsidRPr="00615350">
              <w:rPr>
                <w:rFonts w:ascii="Times New Roman" w:eastAsia="Times New Roman" w:hAnsi="Times New Roman" w:cs="Times New Roman"/>
                <w:sz w:val="20"/>
                <w:szCs w:val="20"/>
              </w:rPr>
              <w:lastRenderedPageBreak/>
              <w:t>izvještavanje jednom godišnje</w:t>
            </w:r>
          </w:p>
        </w:tc>
        <w:tc>
          <w:tcPr>
            <w:tcW w:w="0" w:type="auto"/>
            <w:hideMark/>
          </w:tcPr>
          <w:p w:rsidR="00900448" w:rsidRPr="00615350" w:rsidRDefault="00900448" w:rsidP="009004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5350">
              <w:rPr>
                <w:rFonts w:ascii="Times New Roman" w:eastAsia="Times New Roman" w:hAnsi="Times New Roman" w:cs="Times New Roman"/>
                <w:sz w:val="20"/>
                <w:szCs w:val="20"/>
              </w:rPr>
              <w:lastRenderedPageBreak/>
              <w:t xml:space="preserve">Budžet Opštine, DOO </w:t>
            </w:r>
            <w:r w:rsidRPr="00615350">
              <w:rPr>
                <w:rFonts w:ascii="Times New Roman" w:eastAsia="Times New Roman" w:hAnsi="Times New Roman" w:cs="Times New Roman"/>
                <w:sz w:val="20"/>
                <w:szCs w:val="20"/>
              </w:rPr>
              <w:lastRenderedPageBreak/>
              <w:t>„Komunalno“</w:t>
            </w:r>
          </w:p>
        </w:tc>
      </w:tr>
    </w:tbl>
    <w:p w:rsidR="00900448" w:rsidRPr="00615350" w:rsidRDefault="00900448" w:rsidP="00900448">
      <w:pPr>
        <w:spacing w:before="100" w:beforeAutospacing="1" w:after="100" w:afterAutospacing="1" w:line="240" w:lineRule="auto"/>
        <w:outlineLvl w:val="2"/>
        <w:rPr>
          <w:rFonts w:ascii="Times New Roman" w:eastAsia="Times New Roman" w:hAnsi="Times New Roman" w:cs="Times New Roman"/>
          <w:b/>
          <w:bCs/>
          <w:sz w:val="27"/>
          <w:szCs w:val="27"/>
        </w:rPr>
      </w:pPr>
      <w:bookmarkStart w:id="103" w:name="_Toc240282361"/>
      <w:r w:rsidRPr="00615350">
        <w:rPr>
          <w:rFonts w:ascii="Times New Roman" w:eastAsia="Times New Roman" w:hAnsi="Times New Roman" w:cs="Times New Roman"/>
          <w:b/>
          <w:bCs/>
          <w:sz w:val="27"/>
          <w:szCs w:val="27"/>
        </w:rPr>
        <w:lastRenderedPageBreak/>
        <w:t>Dinamika realizacije Akcionog plana</w:t>
      </w:r>
      <w:bookmarkEnd w:id="103"/>
    </w:p>
    <w:p w:rsidR="00900448" w:rsidRPr="00615350" w:rsidRDefault="00900448" w:rsidP="002C6842">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Realizacija Akcionog plana odvijaće se fazno tokom perioda 2026–2029. godine. U </w:t>
      </w:r>
      <w:r w:rsidRPr="00615350">
        <w:rPr>
          <w:rFonts w:ascii="Times New Roman" w:eastAsia="Times New Roman" w:hAnsi="Times New Roman" w:cs="Times New Roman"/>
          <w:b/>
          <w:bCs/>
          <w:sz w:val="24"/>
          <w:szCs w:val="24"/>
        </w:rPr>
        <w:t>2026. godini</w:t>
      </w:r>
      <w:r w:rsidRPr="00615350">
        <w:rPr>
          <w:rFonts w:ascii="Times New Roman" w:eastAsia="Times New Roman" w:hAnsi="Times New Roman" w:cs="Times New Roman"/>
          <w:sz w:val="24"/>
          <w:szCs w:val="24"/>
        </w:rPr>
        <w:t xml:space="preserve"> prioritet treba dati uspostavljanju pouzdanih evidencija i mjerenja, pripremi tehničke i projektne dokumentacije, početku proširenja obuhvata organizovanim sakupljanjem, razvoju primarne selekcije, pokretanju programa kućnog kompostiranja i pripremi rješenja za neopasni građevinski otpad.</w:t>
      </w:r>
    </w:p>
    <w:p w:rsidR="00900448" w:rsidRPr="00615350" w:rsidRDefault="00900448" w:rsidP="002C6842">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Tokom </w:t>
      </w:r>
      <w:r w:rsidRPr="00615350">
        <w:rPr>
          <w:rFonts w:ascii="Times New Roman" w:eastAsia="Times New Roman" w:hAnsi="Times New Roman" w:cs="Times New Roman"/>
          <w:b/>
          <w:bCs/>
          <w:sz w:val="24"/>
          <w:szCs w:val="24"/>
        </w:rPr>
        <w:t>2027. godine</w:t>
      </w:r>
      <w:r w:rsidRPr="00615350">
        <w:rPr>
          <w:rFonts w:ascii="Times New Roman" w:eastAsia="Times New Roman" w:hAnsi="Times New Roman" w:cs="Times New Roman"/>
          <w:sz w:val="24"/>
          <w:szCs w:val="24"/>
        </w:rPr>
        <w:t xml:space="preserve"> aktivnosti treba usmjeriti na dalje proširenje odvojenog sakupljanja, razvoj sistema upravljanja biootpadom i posebnim tokovima, uređenje sistema prijema građevinskog otpada i nastavak pripreme i realizacije planirane infrastrukture. Posebnu pažnju potrebno je posvetiti zakonskom zahtjevu da se komunalni biootpad odvojeno sakuplja ili reciklira na mjestu nastanka.</w:t>
      </w:r>
    </w:p>
    <w:p w:rsidR="00900448" w:rsidRPr="00615350" w:rsidRDefault="00900448" w:rsidP="002C6842">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w:t>
      </w:r>
      <w:r w:rsidRPr="00615350">
        <w:rPr>
          <w:rFonts w:ascii="Times New Roman" w:eastAsia="Times New Roman" w:hAnsi="Times New Roman" w:cs="Times New Roman"/>
          <w:b/>
          <w:bCs/>
          <w:sz w:val="24"/>
          <w:szCs w:val="24"/>
        </w:rPr>
        <w:t>2028. godini</w:t>
      </w:r>
      <w:r w:rsidRPr="00615350">
        <w:rPr>
          <w:rFonts w:ascii="Times New Roman" w:eastAsia="Times New Roman" w:hAnsi="Times New Roman" w:cs="Times New Roman"/>
          <w:sz w:val="24"/>
          <w:szCs w:val="24"/>
        </w:rPr>
        <w:t xml:space="preserve"> prioritet predstavlja dalje povećanje obuhvata odvojenim sakupljanjem i pripremom za ponovnu upotrebu i reciklažu, uz praćenje ostvarivanja ciljnih vrijednosti utvrđenih Lokalnim planom i DPUO, kao i nastavak realizacije infrastrukturnih projekata.</w:t>
      </w:r>
    </w:p>
    <w:p w:rsidR="00900448" w:rsidRPr="00615350" w:rsidRDefault="00900448" w:rsidP="002C6842">
      <w:pPr>
        <w:spacing w:before="100" w:beforeAutospacing="1" w:after="100" w:afterAutospacing="1" w:line="240" w:lineRule="auto"/>
        <w:jc w:val="both"/>
        <w:rPr>
          <w:rFonts w:ascii="Times New Roman" w:eastAsia="Times New Roman" w:hAnsi="Times New Roman" w:cs="Times New Roman"/>
          <w:sz w:val="24"/>
          <w:szCs w:val="24"/>
        </w:rPr>
      </w:pPr>
      <w:r w:rsidRPr="00615350">
        <w:rPr>
          <w:rFonts w:ascii="Times New Roman" w:eastAsia="Times New Roman" w:hAnsi="Times New Roman" w:cs="Times New Roman"/>
          <w:sz w:val="24"/>
          <w:szCs w:val="24"/>
        </w:rPr>
        <w:t xml:space="preserve">U </w:t>
      </w:r>
      <w:r w:rsidRPr="00615350">
        <w:rPr>
          <w:rFonts w:ascii="Times New Roman" w:eastAsia="Times New Roman" w:hAnsi="Times New Roman" w:cs="Times New Roman"/>
          <w:b/>
          <w:bCs/>
          <w:sz w:val="24"/>
          <w:szCs w:val="24"/>
        </w:rPr>
        <w:t>2029. godini</w:t>
      </w:r>
      <w:r w:rsidRPr="00615350">
        <w:rPr>
          <w:rFonts w:ascii="Times New Roman" w:eastAsia="Times New Roman" w:hAnsi="Times New Roman" w:cs="Times New Roman"/>
          <w:sz w:val="24"/>
          <w:szCs w:val="24"/>
        </w:rPr>
        <w:t xml:space="preserve"> potrebno je izvršiti završnu procjenu ostvarivanja ciljeva LPUO, utvrditi dostignute stope sakupljanja, odvajanja, reciklaže i materijalnog iskorišćenja, ocijeniti stanje infrastrukture i pripremljenost Opštine za naredni planski period i za ostvarivanje ciljeva koji dospijevaju nakon 2029. godine, uključujući cilj za neopasni građevinski otpad za 2030. godinu.</w:t>
      </w:r>
    </w:p>
    <w:p w:rsidR="00900448" w:rsidRPr="00615350" w:rsidRDefault="00900448" w:rsidP="002C6842">
      <w:pPr>
        <w:spacing w:before="100" w:beforeAutospacing="1" w:after="100" w:afterAutospacing="1" w:line="240" w:lineRule="auto"/>
        <w:jc w:val="both"/>
        <w:rPr>
          <w:rFonts w:ascii="Times New Roman" w:eastAsia="Times New Roman" w:hAnsi="Times New Roman" w:cs="Times New Roman"/>
          <w:b/>
          <w:sz w:val="24"/>
          <w:szCs w:val="24"/>
        </w:rPr>
      </w:pPr>
      <w:r w:rsidRPr="00615350">
        <w:rPr>
          <w:rFonts w:ascii="Times New Roman" w:eastAsia="Times New Roman" w:hAnsi="Times New Roman" w:cs="Times New Roman"/>
          <w:b/>
          <w:sz w:val="24"/>
          <w:szCs w:val="24"/>
        </w:rPr>
        <w:t>Aktivnosti povezane sa Regionalnim centrom u Bijelom Polju i konačnim prestankom korišćenja i sanacijom lokacije „Rujiške laze“ realizovaće se u skladu sa stvarnom dinamikom uspostavljanja regionalnog sistema. Zbog toga se njihova realizacija ne vezuje z</w:t>
      </w:r>
      <w:r w:rsidR="00CC4C14" w:rsidRPr="00615350">
        <w:rPr>
          <w:rFonts w:ascii="Times New Roman" w:eastAsia="Times New Roman" w:hAnsi="Times New Roman" w:cs="Times New Roman"/>
          <w:b/>
          <w:sz w:val="24"/>
          <w:szCs w:val="24"/>
        </w:rPr>
        <w:t xml:space="preserve"> </w:t>
      </w:r>
      <w:r w:rsidRPr="00615350">
        <w:rPr>
          <w:rFonts w:ascii="Times New Roman" w:eastAsia="Times New Roman" w:hAnsi="Times New Roman" w:cs="Times New Roman"/>
          <w:b/>
          <w:sz w:val="24"/>
          <w:szCs w:val="24"/>
        </w:rPr>
        <w:t>a godinu koja se u trenutku donošenja ovog Plana ne može pouzdano utvrditi.</w:t>
      </w:r>
    </w:p>
    <w:p w:rsidR="00900448" w:rsidRPr="008A45BA" w:rsidRDefault="00900448" w:rsidP="002C6842">
      <w:pPr>
        <w:spacing w:before="100" w:beforeAutospacing="1" w:after="100" w:afterAutospacing="1" w:line="240" w:lineRule="auto"/>
        <w:jc w:val="both"/>
        <w:rPr>
          <w:rFonts w:ascii="Times New Roman" w:eastAsia="Times New Roman" w:hAnsi="Times New Roman" w:cs="Times New Roman"/>
          <w:b/>
          <w:sz w:val="24"/>
          <w:szCs w:val="24"/>
        </w:rPr>
      </w:pPr>
      <w:r w:rsidRPr="00615350">
        <w:rPr>
          <w:rFonts w:ascii="Times New Roman" w:eastAsia="Times New Roman" w:hAnsi="Times New Roman" w:cs="Times New Roman"/>
          <w:b/>
          <w:sz w:val="24"/>
          <w:szCs w:val="24"/>
        </w:rPr>
        <w:t>Procjene finansijskih sredstava za mjere koje zahtijevaju izgradnju ili značajnije infrastrukturno ulaganje utvrdiće se nakon izrade odgovarajuće tehničke, studijske i projektne dokumentacije. Sredstva za realizaciju Akcionog plana obezbjeđivaće se iz budžeta Opštine Berane, sredstava DOO „Komunalno“, državnog budžeta, odgovarajućih fondova i programa, sistema proširene odgovornosti proizvođača gdje je primjenljivo, međunarodnih projekata, donacija i drugih zakonom dozvoljenih izvora.</w:t>
      </w:r>
    </w:p>
    <w:p w:rsidR="00E7675B" w:rsidRPr="00E7675B" w:rsidRDefault="00E7675B" w:rsidP="002C6842">
      <w:pPr>
        <w:spacing w:before="100" w:beforeAutospacing="1" w:after="100" w:afterAutospacing="1"/>
        <w:jc w:val="both"/>
        <w:rPr>
          <w:rFonts w:ascii="Times New Roman" w:eastAsia="Times New Roman" w:hAnsi="Times New Roman" w:cs="Times New Roman"/>
          <w:sz w:val="24"/>
          <w:szCs w:val="24"/>
        </w:rPr>
      </w:pPr>
    </w:p>
    <w:sectPr w:rsidR="00E7675B" w:rsidRPr="00E7675B" w:rsidSect="00E7675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546" w:rsidRDefault="00CF4546" w:rsidP="00A60F21">
      <w:pPr>
        <w:spacing w:after="0" w:line="240" w:lineRule="auto"/>
      </w:pPr>
      <w:r>
        <w:separator/>
      </w:r>
    </w:p>
  </w:endnote>
  <w:endnote w:type="continuationSeparator" w:id="0">
    <w:p w:rsidR="00CF4546" w:rsidRDefault="00CF4546" w:rsidP="00A60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MS Gothic"/>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2081158"/>
      <w:docPartObj>
        <w:docPartGallery w:val="Page Numbers (Bottom of Page)"/>
        <w:docPartUnique/>
      </w:docPartObj>
    </w:sdtPr>
    <w:sdtEndPr>
      <w:rPr>
        <w:noProof/>
      </w:rPr>
    </w:sdtEndPr>
    <w:sdtContent>
      <w:p w:rsidR="00AC0EB6" w:rsidRDefault="00AC0EB6">
        <w:pPr>
          <w:pStyle w:val="Footer"/>
          <w:jc w:val="right"/>
        </w:pPr>
        <w:r>
          <w:fldChar w:fldCharType="begin"/>
        </w:r>
        <w:r>
          <w:instrText xml:space="preserve"> PAGE   \* MERGEFORMAT </w:instrText>
        </w:r>
        <w:r>
          <w:fldChar w:fldCharType="separate"/>
        </w:r>
        <w:r w:rsidR="00923DA8">
          <w:rPr>
            <w:noProof/>
          </w:rPr>
          <w:t>120</w:t>
        </w:r>
        <w:r>
          <w:rPr>
            <w:noProof/>
          </w:rPr>
          <w:fldChar w:fldCharType="end"/>
        </w:r>
      </w:p>
    </w:sdtContent>
  </w:sdt>
  <w:p w:rsidR="00AC0EB6" w:rsidRDefault="00AC0E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546" w:rsidRDefault="00CF4546" w:rsidP="00A60F21">
      <w:pPr>
        <w:spacing w:after="0" w:line="240" w:lineRule="auto"/>
      </w:pPr>
      <w:r>
        <w:separator/>
      </w:r>
    </w:p>
  </w:footnote>
  <w:footnote w:type="continuationSeparator" w:id="0">
    <w:p w:rsidR="00CF4546" w:rsidRDefault="00CF4546" w:rsidP="00A60F21">
      <w:pPr>
        <w:spacing w:after="0" w:line="240" w:lineRule="auto"/>
      </w:pPr>
      <w:r>
        <w:continuationSeparator/>
      </w:r>
    </w:p>
  </w:footnote>
  <w:footnote w:id="1">
    <w:p w:rsidR="00B80580" w:rsidRPr="00B80580" w:rsidRDefault="00B80580" w:rsidP="00B80580">
      <w:pPr>
        <w:pStyle w:val="FootnoteText"/>
        <w:jc w:val="both"/>
        <w:rPr>
          <w:rFonts w:ascii="Times New Roman" w:hAnsi="Times New Roman" w:cs="Times New Roman"/>
          <w:lang w:val="sr-Latn-RS"/>
        </w:rPr>
      </w:pPr>
      <w:r w:rsidRPr="00B80580">
        <w:rPr>
          <w:rStyle w:val="FootnoteReference"/>
          <w:rFonts w:ascii="Times New Roman" w:hAnsi="Times New Roman" w:cs="Times New Roman"/>
        </w:rPr>
        <w:footnoteRef/>
      </w:r>
      <w:r w:rsidRPr="00B80580">
        <w:rPr>
          <w:rFonts w:ascii="Times New Roman" w:hAnsi="Times New Roman" w:cs="Times New Roman"/>
        </w:rPr>
        <w:t xml:space="preserve"> Centar izvrsnosti za cirkularnu ekonomiju i klimatske promene, Preporuke za unapređivanje sistema upravljanja čvrstim komunalnim otpadom u Crnoj Gori i Opštini Berane, april 2025.</w:t>
      </w:r>
    </w:p>
  </w:footnote>
  <w:footnote w:id="2">
    <w:p w:rsidR="00B80580" w:rsidRPr="00B80580" w:rsidRDefault="00B80580" w:rsidP="00B80580">
      <w:pPr>
        <w:pStyle w:val="FootnoteText"/>
        <w:jc w:val="both"/>
        <w:rPr>
          <w:lang w:val="sr-Latn-RS"/>
        </w:rPr>
      </w:pPr>
      <w:r>
        <w:rPr>
          <w:rStyle w:val="FootnoteReference"/>
        </w:rPr>
        <w:footnoteRef/>
      </w:r>
      <w:r>
        <w:t xml:space="preserve"> </w:t>
      </w:r>
      <w:r w:rsidRPr="00B80580">
        <w:rPr>
          <w:rFonts w:ascii="Times New Roman" w:hAnsi="Times New Roman" w:cs="Times New Roman"/>
        </w:rPr>
        <w:t>Aleksandar Perović, Praktični vodič za pripremu Lokalnih planova upravljanja komunalnim i neopasnim građevinskim otpadom.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713"/>
    <w:multiLevelType w:val="multilevel"/>
    <w:tmpl w:val="C6CA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5676B4"/>
    <w:multiLevelType w:val="multilevel"/>
    <w:tmpl w:val="4800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E65E4"/>
    <w:multiLevelType w:val="multilevel"/>
    <w:tmpl w:val="43D0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255CB5"/>
    <w:multiLevelType w:val="multilevel"/>
    <w:tmpl w:val="AC2A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EA3FF6"/>
    <w:multiLevelType w:val="multilevel"/>
    <w:tmpl w:val="145E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DA34BF"/>
    <w:multiLevelType w:val="multilevel"/>
    <w:tmpl w:val="670E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226F8A"/>
    <w:multiLevelType w:val="multilevel"/>
    <w:tmpl w:val="C75A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C647DC"/>
    <w:multiLevelType w:val="multilevel"/>
    <w:tmpl w:val="31CE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CB2E37"/>
    <w:multiLevelType w:val="multilevel"/>
    <w:tmpl w:val="5F0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6F587D"/>
    <w:multiLevelType w:val="multilevel"/>
    <w:tmpl w:val="E1286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F254F1"/>
    <w:multiLevelType w:val="multilevel"/>
    <w:tmpl w:val="D506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567BFE"/>
    <w:multiLevelType w:val="multilevel"/>
    <w:tmpl w:val="38F6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2976B6"/>
    <w:multiLevelType w:val="multilevel"/>
    <w:tmpl w:val="0AE2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804813"/>
    <w:multiLevelType w:val="multilevel"/>
    <w:tmpl w:val="9412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FF33CE"/>
    <w:multiLevelType w:val="multilevel"/>
    <w:tmpl w:val="2BE07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0163C0"/>
    <w:multiLevelType w:val="multilevel"/>
    <w:tmpl w:val="095A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12597C"/>
    <w:multiLevelType w:val="multilevel"/>
    <w:tmpl w:val="4368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E453625"/>
    <w:multiLevelType w:val="multilevel"/>
    <w:tmpl w:val="C8D6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DE1755"/>
    <w:multiLevelType w:val="multilevel"/>
    <w:tmpl w:val="AB98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902E20"/>
    <w:multiLevelType w:val="multilevel"/>
    <w:tmpl w:val="9B1E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1BD546B"/>
    <w:multiLevelType w:val="multilevel"/>
    <w:tmpl w:val="B498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35B56A7"/>
    <w:multiLevelType w:val="multilevel"/>
    <w:tmpl w:val="2424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4A861DC"/>
    <w:multiLevelType w:val="multilevel"/>
    <w:tmpl w:val="EE9EB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6A517BA"/>
    <w:multiLevelType w:val="multilevel"/>
    <w:tmpl w:val="FFC2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A7269BE"/>
    <w:multiLevelType w:val="multilevel"/>
    <w:tmpl w:val="CDD0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A870924"/>
    <w:multiLevelType w:val="multilevel"/>
    <w:tmpl w:val="AFD0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E976D98"/>
    <w:multiLevelType w:val="multilevel"/>
    <w:tmpl w:val="43E8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4025202"/>
    <w:multiLevelType w:val="multilevel"/>
    <w:tmpl w:val="BA248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465147D"/>
    <w:multiLevelType w:val="multilevel"/>
    <w:tmpl w:val="565E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6B9796C"/>
    <w:multiLevelType w:val="multilevel"/>
    <w:tmpl w:val="130A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6F44C14"/>
    <w:multiLevelType w:val="multilevel"/>
    <w:tmpl w:val="DD6C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8871463"/>
    <w:multiLevelType w:val="multilevel"/>
    <w:tmpl w:val="A3F4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E4618AE"/>
    <w:multiLevelType w:val="multilevel"/>
    <w:tmpl w:val="1B5E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0D002A"/>
    <w:multiLevelType w:val="multilevel"/>
    <w:tmpl w:val="D00E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98F07EB"/>
    <w:multiLevelType w:val="multilevel"/>
    <w:tmpl w:val="D2C8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BBA38FF"/>
    <w:multiLevelType w:val="multilevel"/>
    <w:tmpl w:val="954C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FB51E8"/>
    <w:multiLevelType w:val="multilevel"/>
    <w:tmpl w:val="FEE2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DDE4DC4"/>
    <w:multiLevelType w:val="multilevel"/>
    <w:tmpl w:val="2038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FA221BC"/>
    <w:multiLevelType w:val="multilevel"/>
    <w:tmpl w:val="D00A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1E14603"/>
    <w:multiLevelType w:val="multilevel"/>
    <w:tmpl w:val="32A0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29C4E52"/>
    <w:multiLevelType w:val="multilevel"/>
    <w:tmpl w:val="C19AC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395174F"/>
    <w:multiLevelType w:val="multilevel"/>
    <w:tmpl w:val="CAF6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4AB3DC9"/>
    <w:multiLevelType w:val="multilevel"/>
    <w:tmpl w:val="23B6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783523F"/>
    <w:multiLevelType w:val="multilevel"/>
    <w:tmpl w:val="0332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23776B5"/>
    <w:multiLevelType w:val="multilevel"/>
    <w:tmpl w:val="C254A00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37F1218"/>
    <w:multiLevelType w:val="multilevel"/>
    <w:tmpl w:val="8802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8CC0512"/>
    <w:multiLevelType w:val="multilevel"/>
    <w:tmpl w:val="78B6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A804F13"/>
    <w:multiLevelType w:val="multilevel"/>
    <w:tmpl w:val="8B40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B275440"/>
    <w:multiLevelType w:val="multilevel"/>
    <w:tmpl w:val="E194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DBE4737"/>
    <w:multiLevelType w:val="multilevel"/>
    <w:tmpl w:val="76F0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DE05158"/>
    <w:multiLevelType w:val="multilevel"/>
    <w:tmpl w:val="DC9C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39"/>
  </w:num>
  <w:num w:numId="3">
    <w:abstractNumId w:val="45"/>
  </w:num>
  <w:num w:numId="4">
    <w:abstractNumId w:val="35"/>
  </w:num>
  <w:num w:numId="5">
    <w:abstractNumId w:val="43"/>
  </w:num>
  <w:num w:numId="6">
    <w:abstractNumId w:val="49"/>
  </w:num>
  <w:num w:numId="7">
    <w:abstractNumId w:val="9"/>
  </w:num>
  <w:num w:numId="8">
    <w:abstractNumId w:val="16"/>
  </w:num>
  <w:num w:numId="9">
    <w:abstractNumId w:val="7"/>
  </w:num>
  <w:num w:numId="10">
    <w:abstractNumId w:val="34"/>
  </w:num>
  <w:num w:numId="11">
    <w:abstractNumId w:val="10"/>
  </w:num>
  <w:num w:numId="12">
    <w:abstractNumId w:val="38"/>
  </w:num>
  <w:num w:numId="13">
    <w:abstractNumId w:val="47"/>
  </w:num>
  <w:num w:numId="14">
    <w:abstractNumId w:val="18"/>
  </w:num>
  <w:num w:numId="15">
    <w:abstractNumId w:val="50"/>
  </w:num>
  <w:num w:numId="16">
    <w:abstractNumId w:val="5"/>
  </w:num>
  <w:num w:numId="17">
    <w:abstractNumId w:val="30"/>
  </w:num>
  <w:num w:numId="18">
    <w:abstractNumId w:val="19"/>
  </w:num>
  <w:num w:numId="19">
    <w:abstractNumId w:val="40"/>
  </w:num>
  <w:num w:numId="20">
    <w:abstractNumId w:val="31"/>
  </w:num>
  <w:num w:numId="21">
    <w:abstractNumId w:val="41"/>
  </w:num>
  <w:num w:numId="22">
    <w:abstractNumId w:val="27"/>
  </w:num>
  <w:num w:numId="23">
    <w:abstractNumId w:val="0"/>
  </w:num>
  <w:num w:numId="24">
    <w:abstractNumId w:val="26"/>
  </w:num>
  <w:num w:numId="25">
    <w:abstractNumId w:val="6"/>
  </w:num>
  <w:num w:numId="26">
    <w:abstractNumId w:val="15"/>
  </w:num>
  <w:num w:numId="27">
    <w:abstractNumId w:val="21"/>
  </w:num>
  <w:num w:numId="28">
    <w:abstractNumId w:val="3"/>
  </w:num>
  <w:num w:numId="29">
    <w:abstractNumId w:val="12"/>
  </w:num>
  <w:num w:numId="30">
    <w:abstractNumId w:val="24"/>
  </w:num>
  <w:num w:numId="31">
    <w:abstractNumId w:val="8"/>
  </w:num>
  <w:num w:numId="32">
    <w:abstractNumId w:val="13"/>
  </w:num>
  <w:num w:numId="33">
    <w:abstractNumId w:val="2"/>
  </w:num>
  <w:num w:numId="34">
    <w:abstractNumId w:val="14"/>
  </w:num>
  <w:num w:numId="35">
    <w:abstractNumId w:val="42"/>
  </w:num>
  <w:num w:numId="36">
    <w:abstractNumId w:val="1"/>
  </w:num>
  <w:num w:numId="37">
    <w:abstractNumId w:val="32"/>
  </w:num>
  <w:num w:numId="38">
    <w:abstractNumId w:val="4"/>
  </w:num>
  <w:num w:numId="39">
    <w:abstractNumId w:val="11"/>
  </w:num>
  <w:num w:numId="40">
    <w:abstractNumId w:val="25"/>
  </w:num>
  <w:num w:numId="41">
    <w:abstractNumId w:val="36"/>
  </w:num>
  <w:num w:numId="42">
    <w:abstractNumId w:val="37"/>
  </w:num>
  <w:num w:numId="43">
    <w:abstractNumId w:val="22"/>
  </w:num>
  <w:num w:numId="44">
    <w:abstractNumId w:val="29"/>
  </w:num>
  <w:num w:numId="45">
    <w:abstractNumId w:val="33"/>
  </w:num>
  <w:num w:numId="46">
    <w:abstractNumId w:val="48"/>
  </w:num>
  <w:num w:numId="47">
    <w:abstractNumId w:val="20"/>
  </w:num>
  <w:num w:numId="48">
    <w:abstractNumId w:val="23"/>
  </w:num>
  <w:num w:numId="49">
    <w:abstractNumId w:val="17"/>
  </w:num>
  <w:num w:numId="50">
    <w:abstractNumId w:val="28"/>
  </w:num>
  <w:num w:numId="51">
    <w:abstractNumId w:val="4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FE9"/>
    <w:rsid w:val="000003D5"/>
    <w:rsid w:val="000017DB"/>
    <w:rsid w:val="00015050"/>
    <w:rsid w:val="00035C19"/>
    <w:rsid w:val="00042F0D"/>
    <w:rsid w:val="00074994"/>
    <w:rsid w:val="00076FEF"/>
    <w:rsid w:val="00085CAF"/>
    <w:rsid w:val="000A4D19"/>
    <w:rsid w:val="000A6C65"/>
    <w:rsid w:val="000D49D5"/>
    <w:rsid w:val="000E5077"/>
    <w:rsid w:val="000E7D91"/>
    <w:rsid w:val="0012276A"/>
    <w:rsid w:val="001274CE"/>
    <w:rsid w:val="001320C1"/>
    <w:rsid w:val="00173C81"/>
    <w:rsid w:val="00191FB4"/>
    <w:rsid w:val="001A053B"/>
    <w:rsid w:val="001B0ADF"/>
    <w:rsid w:val="001B1AFE"/>
    <w:rsid w:val="001D653F"/>
    <w:rsid w:val="001E5D7E"/>
    <w:rsid w:val="001F0C7B"/>
    <w:rsid w:val="00216FDC"/>
    <w:rsid w:val="002217E1"/>
    <w:rsid w:val="002232F0"/>
    <w:rsid w:val="00223D45"/>
    <w:rsid w:val="00227E2E"/>
    <w:rsid w:val="00244512"/>
    <w:rsid w:val="00280916"/>
    <w:rsid w:val="002839F9"/>
    <w:rsid w:val="002875A2"/>
    <w:rsid w:val="00295959"/>
    <w:rsid w:val="002C6842"/>
    <w:rsid w:val="002D0BD8"/>
    <w:rsid w:val="0031277E"/>
    <w:rsid w:val="003223FD"/>
    <w:rsid w:val="00344085"/>
    <w:rsid w:val="003514B3"/>
    <w:rsid w:val="003610AC"/>
    <w:rsid w:val="003651CB"/>
    <w:rsid w:val="00370BC2"/>
    <w:rsid w:val="003717EA"/>
    <w:rsid w:val="00375DCC"/>
    <w:rsid w:val="00397842"/>
    <w:rsid w:val="003A57AC"/>
    <w:rsid w:val="003D2149"/>
    <w:rsid w:val="003F44B5"/>
    <w:rsid w:val="003F6AAF"/>
    <w:rsid w:val="00405F3C"/>
    <w:rsid w:val="0043118E"/>
    <w:rsid w:val="0043289B"/>
    <w:rsid w:val="00442178"/>
    <w:rsid w:val="00444FBE"/>
    <w:rsid w:val="00447AD2"/>
    <w:rsid w:val="00460474"/>
    <w:rsid w:val="00463FE9"/>
    <w:rsid w:val="00483983"/>
    <w:rsid w:val="0049184A"/>
    <w:rsid w:val="004A2131"/>
    <w:rsid w:val="004B5A39"/>
    <w:rsid w:val="004E4FA5"/>
    <w:rsid w:val="00506009"/>
    <w:rsid w:val="005066CD"/>
    <w:rsid w:val="00513DC4"/>
    <w:rsid w:val="005158DE"/>
    <w:rsid w:val="0054110C"/>
    <w:rsid w:val="0056714E"/>
    <w:rsid w:val="005A7AB1"/>
    <w:rsid w:val="005D4A49"/>
    <w:rsid w:val="005D5E07"/>
    <w:rsid w:val="005D794D"/>
    <w:rsid w:val="005F5F75"/>
    <w:rsid w:val="00615350"/>
    <w:rsid w:val="00622D0C"/>
    <w:rsid w:val="006355E8"/>
    <w:rsid w:val="00651604"/>
    <w:rsid w:val="00684882"/>
    <w:rsid w:val="006C2F53"/>
    <w:rsid w:val="006C5868"/>
    <w:rsid w:val="006D15D6"/>
    <w:rsid w:val="006D7DCD"/>
    <w:rsid w:val="006E10B4"/>
    <w:rsid w:val="006E5E61"/>
    <w:rsid w:val="00716233"/>
    <w:rsid w:val="00727D9E"/>
    <w:rsid w:val="007731EC"/>
    <w:rsid w:val="007830DA"/>
    <w:rsid w:val="0079153E"/>
    <w:rsid w:val="00795B04"/>
    <w:rsid w:val="007B4396"/>
    <w:rsid w:val="007B707C"/>
    <w:rsid w:val="007C1F22"/>
    <w:rsid w:val="007C7653"/>
    <w:rsid w:val="00802B75"/>
    <w:rsid w:val="00814557"/>
    <w:rsid w:val="00840905"/>
    <w:rsid w:val="008473F2"/>
    <w:rsid w:val="00847672"/>
    <w:rsid w:val="00854ABD"/>
    <w:rsid w:val="00857A24"/>
    <w:rsid w:val="008822BE"/>
    <w:rsid w:val="008835DC"/>
    <w:rsid w:val="00887316"/>
    <w:rsid w:val="00896DA7"/>
    <w:rsid w:val="00897624"/>
    <w:rsid w:val="008A45BA"/>
    <w:rsid w:val="008B2616"/>
    <w:rsid w:val="008C1121"/>
    <w:rsid w:val="008C64AF"/>
    <w:rsid w:val="008D29DB"/>
    <w:rsid w:val="008F053E"/>
    <w:rsid w:val="008F36D0"/>
    <w:rsid w:val="00900448"/>
    <w:rsid w:val="00904A29"/>
    <w:rsid w:val="00916543"/>
    <w:rsid w:val="00923DA8"/>
    <w:rsid w:val="009268FC"/>
    <w:rsid w:val="00952B49"/>
    <w:rsid w:val="009719A8"/>
    <w:rsid w:val="009754B4"/>
    <w:rsid w:val="009766E4"/>
    <w:rsid w:val="009927C5"/>
    <w:rsid w:val="00993612"/>
    <w:rsid w:val="009C4E48"/>
    <w:rsid w:val="009C6905"/>
    <w:rsid w:val="009D0110"/>
    <w:rsid w:val="009D4C57"/>
    <w:rsid w:val="009E3CA1"/>
    <w:rsid w:val="009F1108"/>
    <w:rsid w:val="00A10007"/>
    <w:rsid w:val="00A25394"/>
    <w:rsid w:val="00A45C49"/>
    <w:rsid w:val="00A47512"/>
    <w:rsid w:val="00A60F21"/>
    <w:rsid w:val="00A66222"/>
    <w:rsid w:val="00AA2AED"/>
    <w:rsid w:val="00AB3986"/>
    <w:rsid w:val="00AC0EB6"/>
    <w:rsid w:val="00B010E7"/>
    <w:rsid w:val="00B02ED0"/>
    <w:rsid w:val="00B1399F"/>
    <w:rsid w:val="00B3650C"/>
    <w:rsid w:val="00B4334C"/>
    <w:rsid w:val="00B64FF2"/>
    <w:rsid w:val="00B74D14"/>
    <w:rsid w:val="00B80580"/>
    <w:rsid w:val="00B85201"/>
    <w:rsid w:val="00B93FB4"/>
    <w:rsid w:val="00BA12C2"/>
    <w:rsid w:val="00BB029E"/>
    <w:rsid w:val="00BC329D"/>
    <w:rsid w:val="00BD0C57"/>
    <w:rsid w:val="00BD3565"/>
    <w:rsid w:val="00BE4E44"/>
    <w:rsid w:val="00BF1AFB"/>
    <w:rsid w:val="00BF1D6D"/>
    <w:rsid w:val="00C1197A"/>
    <w:rsid w:val="00C26278"/>
    <w:rsid w:val="00C34216"/>
    <w:rsid w:val="00C3728F"/>
    <w:rsid w:val="00C44140"/>
    <w:rsid w:val="00C51050"/>
    <w:rsid w:val="00C51ED1"/>
    <w:rsid w:val="00C85AD5"/>
    <w:rsid w:val="00C91256"/>
    <w:rsid w:val="00C966AF"/>
    <w:rsid w:val="00CA14A2"/>
    <w:rsid w:val="00CB72D9"/>
    <w:rsid w:val="00CC4C14"/>
    <w:rsid w:val="00CE03B7"/>
    <w:rsid w:val="00CE0AA5"/>
    <w:rsid w:val="00CF0EC3"/>
    <w:rsid w:val="00CF4546"/>
    <w:rsid w:val="00D02E3C"/>
    <w:rsid w:val="00D10D7C"/>
    <w:rsid w:val="00D15DE1"/>
    <w:rsid w:val="00D17EA7"/>
    <w:rsid w:val="00D17F6B"/>
    <w:rsid w:val="00D53412"/>
    <w:rsid w:val="00D773D0"/>
    <w:rsid w:val="00D915DC"/>
    <w:rsid w:val="00D94B9A"/>
    <w:rsid w:val="00DC154E"/>
    <w:rsid w:val="00DC69C0"/>
    <w:rsid w:val="00DD36E0"/>
    <w:rsid w:val="00E137BC"/>
    <w:rsid w:val="00E32B1E"/>
    <w:rsid w:val="00E35D1D"/>
    <w:rsid w:val="00E56FE7"/>
    <w:rsid w:val="00E6723A"/>
    <w:rsid w:val="00E72EDE"/>
    <w:rsid w:val="00E7675B"/>
    <w:rsid w:val="00E77ED5"/>
    <w:rsid w:val="00E81783"/>
    <w:rsid w:val="00E81852"/>
    <w:rsid w:val="00E86CB9"/>
    <w:rsid w:val="00E92BB8"/>
    <w:rsid w:val="00E939BE"/>
    <w:rsid w:val="00EB724C"/>
    <w:rsid w:val="00EC63FB"/>
    <w:rsid w:val="00EC7ADD"/>
    <w:rsid w:val="00ED0F7C"/>
    <w:rsid w:val="00ED7FE9"/>
    <w:rsid w:val="00EE2F35"/>
    <w:rsid w:val="00EE79F9"/>
    <w:rsid w:val="00F1124F"/>
    <w:rsid w:val="00F13971"/>
    <w:rsid w:val="00F22AD6"/>
    <w:rsid w:val="00F240E0"/>
    <w:rsid w:val="00F3669C"/>
    <w:rsid w:val="00F60D8A"/>
    <w:rsid w:val="00F7010E"/>
    <w:rsid w:val="00F760DF"/>
    <w:rsid w:val="00F7637B"/>
    <w:rsid w:val="00F8238B"/>
    <w:rsid w:val="00F82AEB"/>
    <w:rsid w:val="00F92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05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B5A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B5A3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D4C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B5A39"/>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4B5A3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A053B"/>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9D4C57"/>
    <w:rPr>
      <w:rFonts w:asciiTheme="majorHAnsi" w:eastAsiaTheme="majorEastAsia" w:hAnsiTheme="majorHAnsi" w:cstheme="majorBidi"/>
      <w:b/>
      <w:bCs/>
      <w:i/>
      <w:iCs/>
      <w:color w:val="4F81BD" w:themeColor="accent1"/>
    </w:rPr>
  </w:style>
  <w:style w:type="paragraph" w:customStyle="1" w:styleId="pdq2pgselectionanchorcontainer">
    <w:name w:val="pdq2pg_selectionanchorcontainer"/>
    <w:basedOn w:val="Normal"/>
    <w:rsid w:val="00CF0E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CF0E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0EC3"/>
    <w:rPr>
      <w:b/>
      <w:bCs/>
    </w:rPr>
  </w:style>
  <w:style w:type="paragraph" w:styleId="ListParagraph">
    <w:name w:val="List Paragraph"/>
    <w:basedOn w:val="Normal"/>
    <w:uiPriority w:val="34"/>
    <w:qFormat/>
    <w:rsid w:val="00993612"/>
    <w:pPr>
      <w:ind w:left="720"/>
      <w:contextualSpacing/>
    </w:pPr>
  </w:style>
  <w:style w:type="paragraph" w:customStyle="1" w:styleId="Default">
    <w:name w:val="Default"/>
    <w:rsid w:val="002D0BD8"/>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B724C"/>
    <w:rPr>
      <w:sz w:val="16"/>
      <w:szCs w:val="16"/>
    </w:rPr>
  </w:style>
  <w:style w:type="paragraph" w:styleId="CommentText">
    <w:name w:val="annotation text"/>
    <w:basedOn w:val="Normal"/>
    <w:link w:val="CommentTextChar"/>
    <w:uiPriority w:val="99"/>
    <w:semiHidden/>
    <w:unhideWhenUsed/>
    <w:rsid w:val="00EB724C"/>
    <w:pPr>
      <w:spacing w:line="240" w:lineRule="auto"/>
    </w:pPr>
    <w:rPr>
      <w:sz w:val="20"/>
      <w:szCs w:val="20"/>
    </w:rPr>
  </w:style>
  <w:style w:type="character" w:customStyle="1" w:styleId="CommentTextChar">
    <w:name w:val="Comment Text Char"/>
    <w:basedOn w:val="DefaultParagraphFont"/>
    <w:link w:val="CommentText"/>
    <w:uiPriority w:val="99"/>
    <w:semiHidden/>
    <w:rsid w:val="00EB724C"/>
    <w:rPr>
      <w:sz w:val="20"/>
      <w:szCs w:val="20"/>
    </w:rPr>
  </w:style>
  <w:style w:type="paragraph" w:styleId="CommentSubject">
    <w:name w:val="annotation subject"/>
    <w:basedOn w:val="CommentText"/>
    <w:next w:val="CommentText"/>
    <w:link w:val="CommentSubjectChar"/>
    <w:uiPriority w:val="99"/>
    <w:semiHidden/>
    <w:unhideWhenUsed/>
    <w:rsid w:val="00EB724C"/>
    <w:rPr>
      <w:b/>
      <w:bCs/>
    </w:rPr>
  </w:style>
  <w:style w:type="character" w:customStyle="1" w:styleId="CommentSubjectChar">
    <w:name w:val="Comment Subject Char"/>
    <w:basedOn w:val="CommentTextChar"/>
    <w:link w:val="CommentSubject"/>
    <w:uiPriority w:val="99"/>
    <w:semiHidden/>
    <w:rsid w:val="00EB724C"/>
    <w:rPr>
      <w:b/>
      <w:bCs/>
      <w:sz w:val="20"/>
      <w:szCs w:val="20"/>
    </w:rPr>
  </w:style>
  <w:style w:type="paragraph" w:styleId="BalloonText">
    <w:name w:val="Balloon Text"/>
    <w:basedOn w:val="Normal"/>
    <w:link w:val="BalloonTextChar"/>
    <w:uiPriority w:val="99"/>
    <w:semiHidden/>
    <w:unhideWhenUsed/>
    <w:rsid w:val="00EB7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24C"/>
    <w:rPr>
      <w:rFonts w:ascii="Tahoma" w:hAnsi="Tahoma" w:cs="Tahoma"/>
      <w:sz w:val="16"/>
      <w:szCs w:val="16"/>
    </w:rPr>
  </w:style>
  <w:style w:type="paragraph" w:styleId="Header">
    <w:name w:val="header"/>
    <w:basedOn w:val="Normal"/>
    <w:link w:val="HeaderChar"/>
    <w:uiPriority w:val="99"/>
    <w:unhideWhenUsed/>
    <w:rsid w:val="00A60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F21"/>
  </w:style>
  <w:style w:type="paragraph" w:styleId="Footer">
    <w:name w:val="footer"/>
    <w:basedOn w:val="Normal"/>
    <w:link w:val="FooterChar"/>
    <w:uiPriority w:val="99"/>
    <w:unhideWhenUsed/>
    <w:rsid w:val="00A60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F21"/>
  </w:style>
  <w:style w:type="table" w:styleId="LightShading-Accent3">
    <w:name w:val="Light Shading Accent 3"/>
    <w:basedOn w:val="TableNormal"/>
    <w:uiPriority w:val="60"/>
    <w:rsid w:val="002C684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5">
    <w:name w:val="Light Shading Accent 5"/>
    <w:basedOn w:val="TableNormal"/>
    <w:uiPriority w:val="60"/>
    <w:rsid w:val="002C684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1">
    <w:name w:val="Light Shading Accent 1"/>
    <w:basedOn w:val="TableNormal"/>
    <w:uiPriority w:val="60"/>
    <w:rsid w:val="003514B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OCHeading">
    <w:name w:val="TOC Heading"/>
    <w:basedOn w:val="Heading1"/>
    <w:next w:val="Normal"/>
    <w:uiPriority w:val="39"/>
    <w:semiHidden/>
    <w:unhideWhenUsed/>
    <w:qFormat/>
    <w:rsid w:val="00B02ED0"/>
    <w:pPr>
      <w:outlineLvl w:val="9"/>
    </w:pPr>
    <w:rPr>
      <w:lang w:eastAsia="ja-JP"/>
    </w:rPr>
  </w:style>
  <w:style w:type="paragraph" w:styleId="TOC1">
    <w:name w:val="toc 1"/>
    <w:basedOn w:val="Normal"/>
    <w:next w:val="Normal"/>
    <w:autoRedefine/>
    <w:uiPriority w:val="39"/>
    <w:unhideWhenUsed/>
    <w:rsid w:val="00B02ED0"/>
    <w:pPr>
      <w:spacing w:after="100"/>
    </w:pPr>
  </w:style>
  <w:style w:type="paragraph" w:styleId="TOC2">
    <w:name w:val="toc 2"/>
    <w:basedOn w:val="Normal"/>
    <w:next w:val="Normal"/>
    <w:autoRedefine/>
    <w:uiPriority w:val="39"/>
    <w:unhideWhenUsed/>
    <w:rsid w:val="00B02ED0"/>
    <w:pPr>
      <w:spacing w:after="100"/>
      <w:ind w:left="220"/>
    </w:pPr>
  </w:style>
  <w:style w:type="paragraph" w:styleId="TOC3">
    <w:name w:val="toc 3"/>
    <w:basedOn w:val="Normal"/>
    <w:next w:val="Normal"/>
    <w:autoRedefine/>
    <w:uiPriority w:val="39"/>
    <w:unhideWhenUsed/>
    <w:rsid w:val="00B02ED0"/>
    <w:pPr>
      <w:spacing w:after="100"/>
      <w:ind w:left="440"/>
    </w:pPr>
  </w:style>
  <w:style w:type="paragraph" w:styleId="TOC4">
    <w:name w:val="toc 4"/>
    <w:basedOn w:val="Normal"/>
    <w:next w:val="Normal"/>
    <w:autoRedefine/>
    <w:uiPriority w:val="39"/>
    <w:unhideWhenUsed/>
    <w:rsid w:val="00B02ED0"/>
    <w:pPr>
      <w:spacing w:after="100"/>
      <w:ind w:left="660"/>
    </w:pPr>
    <w:rPr>
      <w:rFonts w:eastAsiaTheme="minorEastAsia"/>
    </w:rPr>
  </w:style>
  <w:style w:type="paragraph" w:styleId="TOC5">
    <w:name w:val="toc 5"/>
    <w:basedOn w:val="Normal"/>
    <w:next w:val="Normal"/>
    <w:autoRedefine/>
    <w:uiPriority w:val="39"/>
    <w:unhideWhenUsed/>
    <w:rsid w:val="00B02ED0"/>
    <w:pPr>
      <w:spacing w:after="100"/>
      <w:ind w:left="880"/>
    </w:pPr>
    <w:rPr>
      <w:rFonts w:eastAsiaTheme="minorEastAsia"/>
    </w:rPr>
  </w:style>
  <w:style w:type="paragraph" w:styleId="TOC6">
    <w:name w:val="toc 6"/>
    <w:basedOn w:val="Normal"/>
    <w:next w:val="Normal"/>
    <w:autoRedefine/>
    <w:uiPriority w:val="39"/>
    <w:unhideWhenUsed/>
    <w:rsid w:val="00B02ED0"/>
    <w:pPr>
      <w:spacing w:after="100"/>
      <w:ind w:left="1100"/>
    </w:pPr>
    <w:rPr>
      <w:rFonts w:eastAsiaTheme="minorEastAsia"/>
    </w:rPr>
  </w:style>
  <w:style w:type="paragraph" w:styleId="TOC7">
    <w:name w:val="toc 7"/>
    <w:basedOn w:val="Normal"/>
    <w:next w:val="Normal"/>
    <w:autoRedefine/>
    <w:uiPriority w:val="39"/>
    <w:unhideWhenUsed/>
    <w:rsid w:val="00B02ED0"/>
    <w:pPr>
      <w:spacing w:after="100"/>
      <w:ind w:left="1320"/>
    </w:pPr>
    <w:rPr>
      <w:rFonts w:eastAsiaTheme="minorEastAsia"/>
    </w:rPr>
  </w:style>
  <w:style w:type="paragraph" w:styleId="TOC8">
    <w:name w:val="toc 8"/>
    <w:basedOn w:val="Normal"/>
    <w:next w:val="Normal"/>
    <w:autoRedefine/>
    <w:uiPriority w:val="39"/>
    <w:unhideWhenUsed/>
    <w:rsid w:val="00B02ED0"/>
    <w:pPr>
      <w:spacing w:after="100"/>
      <w:ind w:left="1540"/>
    </w:pPr>
    <w:rPr>
      <w:rFonts w:eastAsiaTheme="minorEastAsia"/>
    </w:rPr>
  </w:style>
  <w:style w:type="paragraph" w:styleId="TOC9">
    <w:name w:val="toc 9"/>
    <w:basedOn w:val="Normal"/>
    <w:next w:val="Normal"/>
    <w:autoRedefine/>
    <w:uiPriority w:val="39"/>
    <w:unhideWhenUsed/>
    <w:rsid w:val="00B02ED0"/>
    <w:pPr>
      <w:spacing w:after="100"/>
      <w:ind w:left="1760"/>
    </w:pPr>
    <w:rPr>
      <w:rFonts w:eastAsiaTheme="minorEastAsia"/>
    </w:rPr>
  </w:style>
  <w:style w:type="character" w:styleId="Hyperlink">
    <w:name w:val="Hyperlink"/>
    <w:basedOn w:val="DefaultParagraphFont"/>
    <w:uiPriority w:val="99"/>
    <w:unhideWhenUsed/>
    <w:rsid w:val="00B02ED0"/>
    <w:rPr>
      <w:color w:val="0000FF" w:themeColor="hyperlink"/>
      <w:u w:val="single"/>
    </w:rPr>
  </w:style>
  <w:style w:type="paragraph" w:styleId="FootnoteText">
    <w:name w:val="footnote text"/>
    <w:basedOn w:val="Normal"/>
    <w:link w:val="FootnoteTextChar"/>
    <w:uiPriority w:val="99"/>
    <w:semiHidden/>
    <w:unhideWhenUsed/>
    <w:rsid w:val="00B805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0580"/>
    <w:rPr>
      <w:sz w:val="20"/>
      <w:szCs w:val="20"/>
    </w:rPr>
  </w:style>
  <w:style w:type="character" w:styleId="FootnoteReference">
    <w:name w:val="footnote reference"/>
    <w:basedOn w:val="DefaultParagraphFont"/>
    <w:uiPriority w:val="99"/>
    <w:semiHidden/>
    <w:unhideWhenUsed/>
    <w:rsid w:val="00B8058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05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B5A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B5A3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D4C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B5A39"/>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4B5A3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1A053B"/>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9D4C57"/>
    <w:rPr>
      <w:rFonts w:asciiTheme="majorHAnsi" w:eastAsiaTheme="majorEastAsia" w:hAnsiTheme="majorHAnsi" w:cstheme="majorBidi"/>
      <w:b/>
      <w:bCs/>
      <w:i/>
      <w:iCs/>
      <w:color w:val="4F81BD" w:themeColor="accent1"/>
    </w:rPr>
  </w:style>
  <w:style w:type="paragraph" w:customStyle="1" w:styleId="pdq2pgselectionanchorcontainer">
    <w:name w:val="pdq2pg_selectionanchorcontainer"/>
    <w:basedOn w:val="Normal"/>
    <w:rsid w:val="00CF0E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CF0E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0EC3"/>
    <w:rPr>
      <w:b/>
      <w:bCs/>
    </w:rPr>
  </w:style>
  <w:style w:type="paragraph" w:styleId="ListParagraph">
    <w:name w:val="List Paragraph"/>
    <w:basedOn w:val="Normal"/>
    <w:uiPriority w:val="34"/>
    <w:qFormat/>
    <w:rsid w:val="00993612"/>
    <w:pPr>
      <w:ind w:left="720"/>
      <w:contextualSpacing/>
    </w:pPr>
  </w:style>
  <w:style w:type="paragraph" w:customStyle="1" w:styleId="Default">
    <w:name w:val="Default"/>
    <w:rsid w:val="002D0BD8"/>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B724C"/>
    <w:rPr>
      <w:sz w:val="16"/>
      <w:szCs w:val="16"/>
    </w:rPr>
  </w:style>
  <w:style w:type="paragraph" w:styleId="CommentText">
    <w:name w:val="annotation text"/>
    <w:basedOn w:val="Normal"/>
    <w:link w:val="CommentTextChar"/>
    <w:uiPriority w:val="99"/>
    <w:semiHidden/>
    <w:unhideWhenUsed/>
    <w:rsid w:val="00EB724C"/>
    <w:pPr>
      <w:spacing w:line="240" w:lineRule="auto"/>
    </w:pPr>
    <w:rPr>
      <w:sz w:val="20"/>
      <w:szCs w:val="20"/>
    </w:rPr>
  </w:style>
  <w:style w:type="character" w:customStyle="1" w:styleId="CommentTextChar">
    <w:name w:val="Comment Text Char"/>
    <w:basedOn w:val="DefaultParagraphFont"/>
    <w:link w:val="CommentText"/>
    <w:uiPriority w:val="99"/>
    <w:semiHidden/>
    <w:rsid w:val="00EB724C"/>
    <w:rPr>
      <w:sz w:val="20"/>
      <w:szCs w:val="20"/>
    </w:rPr>
  </w:style>
  <w:style w:type="paragraph" w:styleId="CommentSubject">
    <w:name w:val="annotation subject"/>
    <w:basedOn w:val="CommentText"/>
    <w:next w:val="CommentText"/>
    <w:link w:val="CommentSubjectChar"/>
    <w:uiPriority w:val="99"/>
    <w:semiHidden/>
    <w:unhideWhenUsed/>
    <w:rsid w:val="00EB724C"/>
    <w:rPr>
      <w:b/>
      <w:bCs/>
    </w:rPr>
  </w:style>
  <w:style w:type="character" w:customStyle="1" w:styleId="CommentSubjectChar">
    <w:name w:val="Comment Subject Char"/>
    <w:basedOn w:val="CommentTextChar"/>
    <w:link w:val="CommentSubject"/>
    <w:uiPriority w:val="99"/>
    <w:semiHidden/>
    <w:rsid w:val="00EB724C"/>
    <w:rPr>
      <w:b/>
      <w:bCs/>
      <w:sz w:val="20"/>
      <w:szCs w:val="20"/>
    </w:rPr>
  </w:style>
  <w:style w:type="paragraph" w:styleId="BalloonText">
    <w:name w:val="Balloon Text"/>
    <w:basedOn w:val="Normal"/>
    <w:link w:val="BalloonTextChar"/>
    <w:uiPriority w:val="99"/>
    <w:semiHidden/>
    <w:unhideWhenUsed/>
    <w:rsid w:val="00EB7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24C"/>
    <w:rPr>
      <w:rFonts w:ascii="Tahoma" w:hAnsi="Tahoma" w:cs="Tahoma"/>
      <w:sz w:val="16"/>
      <w:szCs w:val="16"/>
    </w:rPr>
  </w:style>
  <w:style w:type="paragraph" w:styleId="Header">
    <w:name w:val="header"/>
    <w:basedOn w:val="Normal"/>
    <w:link w:val="HeaderChar"/>
    <w:uiPriority w:val="99"/>
    <w:unhideWhenUsed/>
    <w:rsid w:val="00A60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F21"/>
  </w:style>
  <w:style w:type="paragraph" w:styleId="Footer">
    <w:name w:val="footer"/>
    <w:basedOn w:val="Normal"/>
    <w:link w:val="FooterChar"/>
    <w:uiPriority w:val="99"/>
    <w:unhideWhenUsed/>
    <w:rsid w:val="00A60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F21"/>
  </w:style>
  <w:style w:type="table" w:styleId="LightShading-Accent3">
    <w:name w:val="Light Shading Accent 3"/>
    <w:basedOn w:val="TableNormal"/>
    <w:uiPriority w:val="60"/>
    <w:rsid w:val="002C684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5">
    <w:name w:val="Light Shading Accent 5"/>
    <w:basedOn w:val="TableNormal"/>
    <w:uiPriority w:val="60"/>
    <w:rsid w:val="002C684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1">
    <w:name w:val="Light Shading Accent 1"/>
    <w:basedOn w:val="TableNormal"/>
    <w:uiPriority w:val="60"/>
    <w:rsid w:val="003514B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OCHeading">
    <w:name w:val="TOC Heading"/>
    <w:basedOn w:val="Heading1"/>
    <w:next w:val="Normal"/>
    <w:uiPriority w:val="39"/>
    <w:semiHidden/>
    <w:unhideWhenUsed/>
    <w:qFormat/>
    <w:rsid w:val="00B02ED0"/>
    <w:pPr>
      <w:outlineLvl w:val="9"/>
    </w:pPr>
    <w:rPr>
      <w:lang w:eastAsia="ja-JP"/>
    </w:rPr>
  </w:style>
  <w:style w:type="paragraph" w:styleId="TOC1">
    <w:name w:val="toc 1"/>
    <w:basedOn w:val="Normal"/>
    <w:next w:val="Normal"/>
    <w:autoRedefine/>
    <w:uiPriority w:val="39"/>
    <w:unhideWhenUsed/>
    <w:rsid w:val="00B02ED0"/>
    <w:pPr>
      <w:spacing w:after="100"/>
    </w:pPr>
  </w:style>
  <w:style w:type="paragraph" w:styleId="TOC2">
    <w:name w:val="toc 2"/>
    <w:basedOn w:val="Normal"/>
    <w:next w:val="Normal"/>
    <w:autoRedefine/>
    <w:uiPriority w:val="39"/>
    <w:unhideWhenUsed/>
    <w:rsid w:val="00B02ED0"/>
    <w:pPr>
      <w:spacing w:after="100"/>
      <w:ind w:left="220"/>
    </w:pPr>
  </w:style>
  <w:style w:type="paragraph" w:styleId="TOC3">
    <w:name w:val="toc 3"/>
    <w:basedOn w:val="Normal"/>
    <w:next w:val="Normal"/>
    <w:autoRedefine/>
    <w:uiPriority w:val="39"/>
    <w:unhideWhenUsed/>
    <w:rsid w:val="00B02ED0"/>
    <w:pPr>
      <w:spacing w:after="100"/>
      <w:ind w:left="440"/>
    </w:pPr>
  </w:style>
  <w:style w:type="paragraph" w:styleId="TOC4">
    <w:name w:val="toc 4"/>
    <w:basedOn w:val="Normal"/>
    <w:next w:val="Normal"/>
    <w:autoRedefine/>
    <w:uiPriority w:val="39"/>
    <w:unhideWhenUsed/>
    <w:rsid w:val="00B02ED0"/>
    <w:pPr>
      <w:spacing w:after="100"/>
      <w:ind w:left="660"/>
    </w:pPr>
    <w:rPr>
      <w:rFonts w:eastAsiaTheme="minorEastAsia"/>
    </w:rPr>
  </w:style>
  <w:style w:type="paragraph" w:styleId="TOC5">
    <w:name w:val="toc 5"/>
    <w:basedOn w:val="Normal"/>
    <w:next w:val="Normal"/>
    <w:autoRedefine/>
    <w:uiPriority w:val="39"/>
    <w:unhideWhenUsed/>
    <w:rsid w:val="00B02ED0"/>
    <w:pPr>
      <w:spacing w:after="100"/>
      <w:ind w:left="880"/>
    </w:pPr>
    <w:rPr>
      <w:rFonts w:eastAsiaTheme="minorEastAsia"/>
    </w:rPr>
  </w:style>
  <w:style w:type="paragraph" w:styleId="TOC6">
    <w:name w:val="toc 6"/>
    <w:basedOn w:val="Normal"/>
    <w:next w:val="Normal"/>
    <w:autoRedefine/>
    <w:uiPriority w:val="39"/>
    <w:unhideWhenUsed/>
    <w:rsid w:val="00B02ED0"/>
    <w:pPr>
      <w:spacing w:after="100"/>
      <w:ind w:left="1100"/>
    </w:pPr>
    <w:rPr>
      <w:rFonts w:eastAsiaTheme="minorEastAsia"/>
    </w:rPr>
  </w:style>
  <w:style w:type="paragraph" w:styleId="TOC7">
    <w:name w:val="toc 7"/>
    <w:basedOn w:val="Normal"/>
    <w:next w:val="Normal"/>
    <w:autoRedefine/>
    <w:uiPriority w:val="39"/>
    <w:unhideWhenUsed/>
    <w:rsid w:val="00B02ED0"/>
    <w:pPr>
      <w:spacing w:after="100"/>
      <w:ind w:left="1320"/>
    </w:pPr>
    <w:rPr>
      <w:rFonts w:eastAsiaTheme="minorEastAsia"/>
    </w:rPr>
  </w:style>
  <w:style w:type="paragraph" w:styleId="TOC8">
    <w:name w:val="toc 8"/>
    <w:basedOn w:val="Normal"/>
    <w:next w:val="Normal"/>
    <w:autoRedefine/>
    <w:uiPriority w:val="39"/>
    <w:unhideWhenUsed/>
    <w:rsid w:val="00B02ED0"/>
    <w:pPr>
      <w:spacing w:after="100"/>
      <w:ind w:left="1540"/>
    </w:pPr>
    <w:rPr>
      <w:rFonts w:eastAsiaTheme="minorEastAsia"/>
    </w:rPr>
  </w:style>
  <w:style w:type="paragraph" w:styleId="TOC9">
    <w:name w:val="toc 9"/>
    <w:basedOn w:val="Normal"/>
    <w:next w:val="Normal"/>
    <w:autoRedefine/>
    <w:uiPriority w:val="39"/>
    <w:unhideWhenUsed/>
    <w:rsid w:val="00B02ED0"/>
    <w:pPr>
      <w:spacing w:after="100"/>
      <w:ind w:left="1760"/>
    </w:pPr>
    <w:rPr>
      <w:rFonts w:eastAsiaTheme="minorEastAsia"/>
    </w:rPr>
  </w:style>
  <w:style w:type="character" w:styleId="Hyperlink">
    <w:name w:val="Hyperlink"/>
    <w:basedOn w:val="DefaultParagraphFont"/>
    <w:uiPriority w:val="99"/>
    <w:unhideWhenUsed/>
    <w:rsid w:val="00B02ED0"/>
    <w:rPr>
      <w:color w:val="0000FF" w:themeColor="hyperlink"/>
      <w:u w:val="single"/>
    </w:rPr>
  </w:style>
  <w:style w:type="paragraph" w:styleId="FootnoteText">
    <w:name w:val="footnote text"/>
    <w:basedOn w:val="Normal"/>
    <w:link w:val="FootnoteTextChar"/>
    <w:uiPriority w:val="99"/>
    <w:semiHidden/>
    <w:unhideWhenUsed/>
    <w:rsid w:val="00B805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0580"/>
    <w:rPr>
      <w:sz w:val="20"/>
      <w:szCs w:val="20"/>
    </w:rPr>
  </w:style>
  <w:style w:type="character" w:styleId="FootnoteReference">
    <w:name w:val="footnote reference"/>
    <w:basedOn w:val="DefaultParagraphFont"/>
    <w:uiPriority w:val="99"/>
    <w:semiHidden/>
    <w:unhideWhenUsed/>
    <w:rsid w:val="00B805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2814">
      <w:bodyDiv w:val="1"/>
      <w:marLeft w:val="0"/>
      <w:marRight w:val="0"/>
      <w:marTop w:val="0"/>
      <w:marBottom w:val="0"/>
      <w:divBdr>
        <w:top w:val="none" w:sz="0" w:space="0" w:color="auto"/>
        <w:left w:val="none" w:sz="0" w:space="0" w:color="auto"/>
        <w:bottom w:val="none" w:sz="0" w:space="0" w:color="auto"/>
        <w:right w:val="none" w:sz="0" w:space="0" w:color="auto"/>
      </w:divBdr>
    </w:div>
    <w:div w:id="37046507">
      <w:bodyDiv w:val="1"/>
      <w:marLeft w:val="0"/>
      <w:marRight w:val="0"/>
      <w:marTop w:val="0"/>
      <w:marBottom w:val="0"/>
      <w:divBdr>
        <w:top w:val="none" w:sz="0" w:space="0" w:color="auto"/>
        <w:left w:val="none" w:sz="0" w:space="0" w:color="auto"/>
        <w:bottom w:val="none" w:sz="0" w:space="0" w:color="auto"/>
        <w:right w:val="none" w:sz="0" w:space="0" w:color="auto"/>
      </w:divBdr>
      <w:divsChild>
        <w:div w:id="132067119">
          <w:marLeft w:val="0"/>
          <w:marRight w:val="0"/>
          <w:marTop w:val="0"/>
          <w:marBottom w:val="0"/>
          <w:divBdr>
            <w:top w:val="none" w:sz="0" w:space="0" w:color="auto"/>
            <w:left w:val="none" w:sz="0" w:space="0" w:color="auto"/>
            <w:bottom w:val="none" w:sz="0" w:space="0" w:color="auto"/>
            <w:right w:val="none" w:sz="0" w:space="0" w:color="auto"/>
          </w:divBdr>
          <w:divsChild>
            <w:div w:id="118536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4372">
      <w:bodyDiv w:val="1"/>
      <w:marLeft w:val="0"/>
      <w:marRight w:val="0"/>
      <w:marTop w:val="0"/>
      <w:marBottom w:val="0"/>
      <w:divBdr>
        <w:top w:val="none" w:sz="0" w:space="0" w:color="auto"/>
        <w:left w:val="none" w:sz="0" w:space="0" w:color="auto"/>
        <w:bottom w:val="none" w:sz="0" w:space="0" w:color="auto"/>
        <w:right w:val="none" w:sz="0" w:space="0" w:color="auto"/>
      </w:divBdr>
    </w:div>
    <w:div w:id="65929871">
      <w:bodyDiv w:val="1"/>
      <w:marLeft w:val="0"/>
      <w:marRight w:val="0"/>
      <w:marTop w:val="0"/>
      <w:marBottom w:val="0"/>
      <w:divBdr>
        <w:top w:val="none" w:sz="0" w:space="0" w:color="auto"/>
        <w:left w:val="none" w:sz="0" w:space="0" w:color="auto"/>
        <w:bottom w:val="none" w:sz="0" w:space="0" w:color="auto"/>
        <w:right w:val="none" w:sz="0" w:space="0" w:color="auto"/>
      </w:divBdr>
      <w:divsChild>
        <w:div w:id="1464886243">
          <w:marLeft w:val="0"/>
          <w:marRight w:val="0"/>
          <w:marTop w:val="0"/>
          <w:marBottom w:val="0"/>
          <w:divBdr>
            <w:top w:val="none" w:sz="0" w:space="0" w:color="auto"/>
            <w:left w:val="none" w:sz="0" w:space="0" w:color="auto"/>
            <w:bottom w:val="none" w:sz="0" w:space="0" w:color="auto"/>
            <w:right w:val="none" w:sz="0" w:space="0" w:color="auto"/>
          </w:divBdr>
          <w:divsChild>
            <w:div w:id="182939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50632">
      <w:bodyDiv w:val="1"/>
      <w:marLeft w:val="0"/>
      <w:marRight w:val="0"/>
      <w:marTop w:val="0"/>
      <w:marBottom w:val="0"/>
      <w:divBdr>
        <w:top w:val="none" w:sz="0" w:space="0" w:color="auto"/>
        <w:left w:val="none" w:sz="0" w:space="0" w:color="auto"/>
        <w:bottom w:val="none" w:sz="0" w:space="0" w:color="auto"/>
        <w:right w:val="none" w:sz="0" w:space="0" w:color="auto"/>
      </w:divBdr>
      <w:divsChild>
        <w:div w:id="328288544">
          <w:marLeft w:val="0"/>
          <w:marRight w:val="0"/>
          <w:marTop w:val="0"/>
          <w:marBottom w:val="0"/>
          <w:divBdr>
            <w:top w:val="none" w:sz="0" w:space="0" w:color="auto"/>
            <w:left w:val="none" w:sz="0" w:space="0" w:color="auto"/>
            <w:bottom w:val="none" w:sz="0" w:space="0" w:color="auto"/>
            <w:right w:val="none" w:sz="0" w:space="0" w:color="auto"/>
          </w:divBdr>
          <w:divsChild>
            <w:div w:id="1467896538">
              <w:marLeft w:val="0"/>
              <w:marRight w:val="0"/>
              <w:marTop w:val="0"/>
              <w:marBottom w:val="0"/>
              <w:divBdr>
                <w:top w:val="none" w:sz="0" w:space="0" w:color="auto"/>
                <w:left w:val="none" w:sz="0" w:space="0" w:color="auto"/>
                <w:bottom w:val="none" w:sz="0" w:space="0" w:color="auto"/>
                <w:right w:val="none" w:sz="0" w:space="0" w:color="auto"/>
              </w:divBdr>
            </w:div>
          </w:divsChild>
        </w:div>
        <w:div w:id="116677742">
          <w:marLeft w:val="0"/>
          <w:marRight w:val="0"/>
          <w:marTop w:val="0"/>
          <w:marBottom w:val="0"/>
          <w:divBdr>
            <w:top w:val="none" w:sz="0" w:space="0" w:color="auto"/>
            <w:left w:val="none" w:sz="0" w:space="0" w:color="auto"/>
            <w:bottom w:val="none" w:sz="0" w:space="0" w:color="auto"/>
            <w:right w:val="none" w:sz="0" w:space="0" w:color="auto"/>
          </w:divBdr>
          <w:divsChild>
            <w:div w:id="29453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7329">
      <w:bodyDiv w:val="1"/>
      <w:marLeft w:val="0"/>
      <w:marRight w:val="0"/>
      <w:marTop w:val="0"/>
      <w:marBottom w:val="0"/>
      <w:divBdr>
        <w:top w:val="none" w:sz="0" w:space="0" w:color="auto"/>
        <w:left w:val="none" w:sz="0" w:space="0" w:color="auto"/>
        <w:bottom w:val="none" w:sz="0" w:space="0" w:color="auto"/>
        <w:right w:val="none" w:sz="0" w:space="0" w:color="auto"/>
      </w:divBdr>
      <w:divsChild>
        <w:div w:id="1182401943">
          <w:marLeft w:val="0"/>
          <w:marRight w:val="0"/>
          <w:marTop w:val="0"/>
          <w:marBottom w:val="0"/>
          <w:divBdr>
            <w:top w:val="none" w:sz="0" w:space="0" w:color="auto"/>
            <w:left w:val="none" w:sz="0" w:space="0" w:color="auto"/>
            <w:bottom w:val="none" w:sz="0" w:space="0" w:color="auto"/>
            <w:right w:val="none" w:sz="0" w:space="0" w:color="auto"/>
          </w:divBdr>
          <w:divsChild>
            <w:div w:id="2095587335">
              <w:marLeft w:val="0"/>
              <w:marRight w:val="0"/>
              <w:marTop w:val="0"/>
              <w:marBottom w:val="0"/>
              <w:divBdr>
                <w:top w:val="none" w:sz="0" w:space="0" w:color="auto"/>
                <w:left w:val="none" w:sz="0" w:space="0" w:color="auto"/>
                <w:bottom w:val="none" w:sz="0" w:space="0" w:color="auto"/>
                <w:right w:val="none" w:sz="0" w:space="0" w:color="auto"/>
              </w:divBdr>
            </w:div>
          </w:divsChild>
        </w:div>
        <w:div w:id="1459760305">
          <w:marLeft w:val="0"/>
          <w:marRight w:val="0"/>
          <w:marTop w:val="0"/>
          <w:marBottom w:val="0"/>
          <w:divBdr>
            <w:top w:val="none" w:sz="0" w:space="0" w:color="auto"/>
            <w:left w:val="none" w:sz="0" w:space="0" w:color="auto"/>
            <w:bottom w:val="none" w:sz="0" w:space="0" w:color="auto"/>
            <w:right w:val="none" w:sz="0" w:space="0" w:color="auto"/>
          </w:divBdr>
          <w:divsChild>
            <w:div w:id="548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8198">
      <w:bodyDiv w:val="1"/>
      <w:marLeft w:val="0"/>
      <w:marRight w:val="0"/>
      <w:marTop w:val="0"/>
      <w:marBottom w:val="0"/>
      <w:divBdr>
        <w:top w:val="none" w:sz="0" w:space="0" w:color="auto"/>
        <w:left w:val="none" w:sz="0" w:space="0" w:color="auto"/>
        <w:bottom w:val="none" w:sz="0" w:space="0" w:color="auto"/>
        <w:right w:val="none" w:sz="0" w:space="0" w:color="auto"/>
      </w:divBdr>
    </w:div>
    <w:div w:id="147325126">
      <w:bodyDiv w:val="1"/>
      <w:marLeft w:val="0"/>
      <w:marRight w:val="0"/>
      <w:marTop w:val="0"/>
      <w:marBottom w:val="0"/>
      <w:divBdr>
        <w:top w:val="none" w:sz="0" w:space="0" w:color="auto"/>
        <w:left w:val="none" w:sz="0" w:space="0" w:color="auto"/>
        <w:bottom w:val="none" w:sz="0" w:space="0" w:color="auto"/>
        <w:right w:val="none" w:sz="0" w:space="0" w:color="auto"/>
      </w:divBdr>
    </w:div>
    <w:div w:id="147676907">
      <w:bodyDiv w:val="1"/>
      <w:marLeft w:val="0"/>
      <w:marRight w:val="0"/>
      <w:marTop w:val="0"/>
      <w:marBottom w:val="0"/>
      <w:divBdr>
        <w:top w:val="none" w:sz="0" w:space="0" w:color="auto"/>
        <w:left w:val="none" w:sz="0" w:space="0" w:color="auto"/>
        <w:bottom w:val="none" w:sz="0" w:space="0" w:color="auto"/>
        <w:right w:val="none" w:sz="0" w:space="0" w:color="auto"/>
      </w:divBdr>
    </w:div>
    <w:div w:id="174466259">
      <w:bodyDiv w:val="1"/>
      <w:marLeft w:val="0"/>
      <w:marRight w:val="0"/>
      <w:marTop w:val="0"/>
      <w:marBottom w:val="0"/>
      <w:divBdr>
        <w:top w:val="none" w:sz="0" w:space="0" w:color="auto"/>
        <w:left w:val="none" w:sz="0" w:space="0" w:color="auto"/>
        <w:bottom w:val="none" w:sz="0" w:space="0" w:color="auto"/>
        <w:right w:val="none" w:sz="0" w:space="0" w:color="auto"/>
      </w:divBdr>
      <w:divsChild>
        <w:div w:id="1532526481">
          <w:marLeft w:val="0"/>
          <w:marRight w:val="0"/>
          <w:marTop w:val="0"/>
          <w:marBottom w:val="0"/>
          <w:divBdr>
            <w:top w:val="none" w:sz="0" w:space="0" w:color="auto"/>
            <w:left w:val="none" w:sz="0" w:space="0" w:color="auto"/>
            <w:bottom w:val="none" w:sz="0" w:space="0" w:color="auto"/>
            <w:right w:val="none" w:sz="0" w:space="0" w:color="auto"/>
          </w:divBdr>
          <w:divsChild>
            <w:div w:id="134336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5971">
      <w:bodyDiv w:val="1"/>
      <w:marLeft w:val="0"/>
      <w:marRight w:val="0"/>
      <w:marTop w:val="0"/>
      <w:marBottom w:val="0"/>
      <w:divBdr>
        <w:top w:val="none" w:sz="0" w:space="0" w:color="auto"/>
        <w:left w:val="none" w:sz="0" w:space="0" w:color="auto"/>
        <w:bottom w:val="none" w:sz="0" w:space="0" w:color="auto"/>
        <w:right w:val="none" w:sz="0" w:space="0" w:color="auto"/>
      </w:divBdr>
      <w:divsChild>
        <w:div w:id="1214925289">
          <w:marLeft w:val="0"/>
          <w:marRight w:val="0"/>
          <w:marTop w:val="0"/>
          <w:marBottom w:val="0"/>
          <w:divBdr>
            <w:top w:val="none" w:sz="0" w:space="0" w:color="auto"/>
            <w:left w:val="none" w:sz="0" w:space="0" w:color="auto"/>
            <w:bottom w:val="none" w:sz="0" w:space="0" w:color="auto"/>
            <w:right w:val="none" w:sz="0" w:space="0" w:color="auto"/>
          </w:divBdr>
          <w:divsChild>
            <w:div w:id="103469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225124">
      <w:bodyDiv w:val="1"/>
      <w:marLeft w:val="0"/>
      <w:marRight w:val="0"/>
      <w:marTop w:val="0"/>
      <w:marBottom w:val="0"/>
      <w:divBdr>
        <w:top w:val="none" w:sz="0" w:space="0" w:color="auto"/>
        <w:left w:val="none" w:sz="0" w:space="0" w:color="auto"/>
        <w:bottom w:val="none" w:sz="0" w:space="0" w:color="auto"/>
        <w:right w:val="none" w:sz="0" w:space="0" w:color="auto"/>
      </w:divBdr>
      <w:divsChild>
        <w:div w:id="34918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48754513">
          <w:blockQuote w:val="1"/>
          <w:marLeft w:val="720"/>
          <w:marRight w:val="720"/>
          <w:marTop w:val="100"/>
          <w:marBottom w:val="100"/>
          <w:divBdr>
            <w:top w:val="none" w:sz="0" w:space="0" w:color="auto"/>
            <w:left w:val="none" w:sz="0" w:space="0" w:color="auto"/>
            <w:bottom w:val="none" w:sz="0" w:space="0" w:color="auto"/>
            <w:right w:val="none" w:sz="0" w:space="0" w:color="auto"/>
          </w:divBdr>
        </w:div>
        <w:div w:id="551501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926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8656339">
      <w:bodyDiv w:val="1"/>
      <w:marLeft w:val="0"/>
      <w:marRight w:val="0"/>
      <w:marTop w:val="0"/>
      <w:marBottom w:val="0"/>
      <w:divBdr>
        <w:top w:val="none" w:sz="0" w:space="0" w:color="auto"/>
        <w:left w:val="none" w:sz="0" w:space="0" w:color="auto"/>
        <w:bottom w:val="none" w:sz="0" w:space="0" w:color="auto"/>
        <w:right w:val="none" w:sz="0" w:space="0" w:color="auto"/>
      </w:divBdr>
    </w:div>
    <w:div w:id="256207328">
      <w:bodyDiv w:val="1"/>
      <w:marLeft w:val="0"/>
      <w:marRight w:val="0"/>
      <w:marTop w:val="0"/>
      <w:marBottom w:val="0"/>
      <w:divBdr>
        <w:top w:val="none" w:sz="0" w:space="0" w:color="auto"/>
        <w:left w:val="none" w:sz="0" w:space="0" w:color="auto"/>
        <w:bottom w:val="none" w:sz="0" w:space="0" w:color="auto"/>
        <w:right w:val="none" w:sz="0" w:space="0" w:color="auto"/>
      </w:divBdr>
    </w:div>
    <w:div w:id="349334473">
      <w:bodyDiv w:val="1"/>
      <w:marLeft w:val="0"/>
      <w:marRight w:val="0"/>
      <w:marTop w:val="0"/>
      <w:marBottom w:val="0"/>
      <w:divBdr>
        <w:top w:val="none" w:sz="0" w:space="0" w:color="auto"/>
        <w:left w:val="none" w:sz="0" w:space="0" w:color="auto"/>
        <w:bottom w:val="none" w:sz="0" w:space="0" w:color="auto"/>
        <w:right w:val="none" w:sz="0" w:space="0" w:color="auto"/>
      </w:divBdr>
      <w:divsChild>
        <w:div w:id="938484409">
          <w:marLeft w:val="0"/>
          <w:marRight w:val="0"/>
          <w:marTop w:val="0"/>
          <w:marBottom w:val="0"/>
          <w:divBdr>
            <w:top w:val="none" w:sz="0" w:space="0" w:color="auto"/>
            <w:left w:val="none" w:sz="0" w:space="0" w:color="auto"/>
            <w:bottom w:val="none" w:sz="0" w:space="0" w:color="auto"/>
            <w:right w:val="none" w:sz="0" w:space="0" w:color="auto"/>
          </w:divBdr>
          <w:divsChild>
            <w:div w:id="104510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30439">
      <w:bodyDiv w:val="1"/>
      <w:marLeft w:val="0"/>
      <w:marRight w:val="0"/>
      <w:marTop w:val="0"/>
      <w:marBottom w:val="0"/>
      <w:divBdr>
        <w:top w:val="none" w:sz="0" w:space="0" w:color="auto"/>
        <w:left w:val="none" w:sz="0" w:space="0" w:color="auto"/>
        <w:bottom w:val="none" w:sz="0" w:space="0" w:color="auto"/>
        <w:right w:val="none" w:sz="0" w:space="0" w:color="auto"/>
      </w:divBdr>
    </w:div>
    <w:div w:id="375592423">
      <w:bodyDiv w:val="1"/>
      <w:marLeft w:val="0"/>
      <w:marRight w:val="0"/>
      <w:marTop w:val="0"/>
      <w:marBottom w:val="0"/>
      <w:divBdr>
        <w:top w:val="none" w:sz="0" w:space="0" w:color="auto"/>
        <w:left w:val="none" w:sz="0" w:space="0" w:color="auto"/>
        <w:bottom w:val="none" w:sz="0" w:space="0" w:color="auto"/>
        <w:right w:val="none" w:sz="0" w:space="0" w:color="auto"/>
      </w:divBdr>
    </w:div>
    <w:div w:id="376702751">
      <w:bodyDiv w:val="1"/>
      <w:marLeft w:val="0"/>
      <w:marRight w:val="0"/>
      <w:marTop w:val="0"/>
      <w:marBottom w:val="0"/>
      <w:divBdr>
        <w:top w:val="none" w:sz="0" w:space="0" w:color="auto"/>
        <w:left w:val="none" w:sz="0" w:space="0" w:color="auto"/>
        <w:bottom w:val="none" w:sz="0" w:space="0" w:color="auto"/>
        <w:right w:val="none" w:sz="0" w:space="0" w:color="auto"/>
      </w:divBdr>
    </w:div>
    <w:div w:id="382486313">
      <w:bodyDiv w:val="1"/>
      <w:marLeft w:val="0"/>
      <w:marRight w:val="0"/>
      <w:marTop w:val="0"/>
      <w:marBottom w:val="0"/>
      <w:divBdr>
        <w:top w:val="none" w:sz="0" w:space="0" w:color="auto"/>
        <w:left w:val="none" w:sz="0" w:space="0" w:color="auto"/>
        <w:bottom w:val="none" w:sz="0" w:space="0" w:color="auto"/>
        <w:right w:val="none" w:sz="0" w:space="0" w:color="auto"/>
      </w:divBdr>
    </w:div>
    <w:div w:id="445270451">
      <w:bodyDiv w:val="1"/>
      <w:marLeft w:val="0"/>
      <w:marRight w:val="0"/>
      <w:marTop w:val="0"/>
      <w:marBottom w:val="0"/>
      <w:divBdr>
        <w:top w:val="none" w:sz="0" w:space="0" w:color="auto"/>
        <w:left w:val="none" w:sz="0" w:space="0" w:color="auto"/>
        <w:bottom w:val="none" w:sz="0" w:space="0" w:color="auto"/>
        <w:right w:val="none" w:sz="0" w:space="0" w:color="auto"/>
      </w:divBdr>
    </w:div>
    <w:div w:id="470680265">
      <w:bodyDiv w:val="1"/>
      <w:marLeft w:val="0"/>
      <w:marRight w:val="0"/>
      <w:marTop w:val="0"/>
      <w:marBottom w:val="0"/>
      <w:divBdr>
        <w:top w:val="none" w:sz="0" w:space="0" w:color="auto"/>
        <w:left w:val="none" w:sz="0" w:space="0" w:color="auto"/>
        <w:bottom w:val="none" w:sz="0" w:space="0" w:color="auto"/>
        <w:right w:val="none" w:sz="0" w:space="0" w:color="auto"/>
      </w:divBdr>
    </w:div>
    <w:div w:id="480733178">
      <w:bodyDiv w:val="1"/>
      <w:marLeft w:val="0"/>
      <w:marRight w:val="0"/>
      <w:marTop w:val="0"/>
      <w:marBottom w:val="0"/>
      <w:divBdr>
        <w:top w:val="none" w:sz="0" w:space="0" w:color="auto"/>
        <w:left w:val="none" w:sz="0" w:space="0" w:color="auto"/>
        <w:bottom w:val="none" w:sz="0" w:space="0" w:color="auto"/>
        <w:right w:val="none" w:sz="0" w:space="0" w:color="auto"/>
      </w:divBdr>
      <w:divsChild>
        <w:div w:id="1134249279">
          <w:marLeft w:val="0"/>
          <w:marRight w:val="0"/>
          <w:marTop w:val="0"/>
          <w:marBottom w:val="0"/>
          <w:divBdr>
            <w:top w:val="none" w:sz="0" w:space="0" w:color="auto"/>
            <w:left w:val="none" w:sz="0" w:space="0" w:color="auto"/>
            <w:bottom w:val="none" w:sz="0" w:space="0" w:color="auto"/>
            <w:right w:val="none" w:sz="0" w:space="0" w:color="auto"/>
          </w:divBdr>
          <w:divsChild>
            <w:div w:id="184570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619310">
      <w:bodyDiv w:val="1"/>
      <w:marLeft w:val="0"/>
      <w:marRight w:val="0"/>
      <w:marTop w:val="0"/>
      <w:marBottom w:val="0"/>
      <w:divBdr>
        <w:top w:val="none" w:sz="0" w:space="0" w:color="auto"/>
        <w:left w:val="none" w:sz="0" w:space="0" w:color="auto"/>
        <w:bottom w:val="none" w:sz="0" w:space="0" w:color="auto"/>
        <w:right w:val="none" w:sz="0" w:space="0" w:color="auto"/>
      </w:divBdr>
    </w:div>
    <w:div w:id="532353425">
      <w:bodyDiv w:val="1"/>
      <w:marLeft w:val="0"/>
      <w:marRight w:val="0"/>
      <w:marTop w:val="0"/>
      <w:marBottom w:val="0"/>
      <w:divBdr>
        <w:top w:val="none" w:sz="0" w:space="0" w:color="auto"/>
        <w:left w:val="none" w:sz="0" w:space="0" w:color="auto"/>
        <w:bottom w:val="none" w:sz="0" w:space="0" w:color="auto"/>
        <w:right w:val="none" w:sz="0" w:space="0" w:color="auto"/>
      </w:divBdr>
    </w:div>
    <w:div w:id="571164880">
      <w:bodyDiv w:val="1"/>
      <w:marLeft w:val="0"/>
      <w:marRight w:val="0"/>
      <w:marTop w:val="0"/>
      <w:marBottom w:val="0"/>
      <w:divBdr>
        <w:top w:val="none" w:sz="0" w:space="0" w:color="auto"/>
        <w:left w:val="none" w:sz="0" w:space="0" w:color="auto"/>
        <w:bottom w:val="none" w:sz="0" w:space="0" w:color="auto"/>
        <w:right w:val="none" w:sz="0" w:space="0" w:color="auto"/>
      </w:divBdr>
      <w:divsChild>
        <w:div w:id="55320419">
          <w:marLeft w:val="0"/>
          <w:marRight w:val="0"/>
          <w:marTop w:val="0"/>
          <w:marBottom w:val="0"/>
          <w:divBdr>
            <w:top w:val="none" w:sz="0" w:space="0" w:color="auto"/>
            <w:left w:val="none" w:sz="0" w:space="0" w:color="auto"/>
            <w:bottom w:val="none" w:sz="0" w:space="0" w:color="auto"/>
            <w:right w:val="none" w:sz="0" w:space="0" w:color="auto"/>
          </w:divBdr>
          <w:divsChild>
            <w:div w:id="10435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3450">
      <w:bodyDiv w:val="1"/>
      <w:marLeft w:val="0"/>
      <w:marRight w:val="0"/>
      <w:marTop w:val="0"/>
      <w:marBottom w:val="0"/>
      <w:divBdr>
        <w:top w:val="none" w:sz="0" w:space="0" w:color="auto"/>
        <w:left w:val="none" w:sz="0" w:space="0" w:color="auto"/>
        <w:bottom w:val="none" w:sz="0" w:space="0" w:color="auto"/>
        <w:right w:val="none" w:sz="0" w:space="0" w:color="auto"/>
      </w:divBdr>
    </w:div>
    <w:div w:id="581913784">
      <w:bodyDiv w:val="1"/>
      <w:marLeft w:val="0"/>
      <w:marRight w:val="0"/>
      <w:marTop w:val="0"/>
      <w:marBottom w:val="0"/>
      <w:divBdr>
        <w:top w:val="none" w:sz="0" w:space="0" w:color="auto"/>
        <w:left w:val="none" w:sz="0" w:space="0" w:color="auto"/>
        <w:bottom w:val="none" w:sz="0" w:space="0" w:color="auto"/>
        <w:right w:val="none" w:sz="0" w:space="0" w:color="auto"/>
      </w:divBdr>
      <w:divsChild>
        <w:div w:id="1729188337">
          <w:marLeft w:val="0"/>
          <w:marRight w:val="0"/>
          <w:marTop w:val="0"/>
          <w:marBottom w:val="0"/>
          <w:divBdr>
            <w:top w:val="none" w:sz="0" w:space="0" w:color="auto"/>
            <w:left w:val="none" w:sz="0" w:space="0" w:color="auto"/>
            <w:bottom w:val="none" w:sz="0" w:space="0" w:color="auto"/>
            <w:right w:val="none" w:sz="0" w:space="0" w:color="auto"/>
          </w:divBdr>
          <w:divsChild>
            <w:div w:id="109401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759693">
      <w:bodyDiv w:val="1"/>
      <w:marLeft w:val="0"/>
      <w:marRight w:val="0"/>
      <w:marTop w:val="0"/>
      <w:marBottom w:val="0"/>
      <w:divBdr>
        <w:top w:val="none" w:sz="0" w:space="0" w:color="auto"/>
        <w:left w:val="none" w:sz="0" w:space="0" w:color="auto"/>
        <w:bottom w:val="none" w:sz="0" w:space="0" w:color="auto"/>
        <w:right w:val="none" w:sz="0" w:space="0" w:color="auto"/>
      </w:divBdr>
    </w:div>
    <w:div w:id="611280328">
      <w:bodyDiv w:val="1"/>
      <w:marLeft w:val="0"/>
      <w:marRight w:val="0"/>
      <w:marTop w:val="0"/>
      <w:marBottom w:val="0"/>
      <w:divBdr>
        <w:top w:val="none" w:sz="0" w:space="0" w:color="auto"/>
        <w:left w:val="none" w:sz="0" w:space="0" w:color="auto"/>
        <w:bottom w:val="none" w:sz="0" w:space="0" w:color="auto"/>
        <w:right w:val="none" w:sz="0" w:space="0" w:color="auto"/>
      </w:divBdr>
    </w:div>
    <w:div w:id="635111673">
      <w:bodyDiv w:val="1"/>
      <w:marLeft w:val="0"/>
      <w:marRight w:val="0"/>
      <w:marTop w:val="0"/>
      <w:marBottom w:val="0"/>
      <w:divBdr>
        <w:top w:val="none" w:sz="0" w:space="0" w:color="auto"/>
        <w:left w:val="none" w:sz="0" w:space="0" w:color="auto"/>
        <w:bottom w:val="none" w:sz="0" w:space="0" w:color="auto"/>
        <w:right w:val="none" w:sz="0" w:space="0" w:color="auto"/>
      </w:divBdr>
    </w:div>
    <w:div w:id="637228640">
      <w:bodyDiv w:val="1"/>
      <w:marLeft w:val="0"/>
      <w:marRight w:val="0"/>
      <w:marTop w:val="0"/>
      <w:marBottom w:val="0"/>
      <w:divBdr>
        <w:top w:val="none" w:sz="0" w:space="0" w:color="auto"/>
        <w:left w:val="none" w:sz="0" w:space="0" w:color="auto"/>
        <w:bottom w:val="none" w:sz="0" w:space="0" w:color="auto"/>
        <w:right w:val="none" w:sz="0" w:space="0" w:color="auto"/>
      </w:divBdr>
    </w:div>
    <w:div w:id="644821582">
      <w:bodyDiv w:val="1"/>
      <w:marLeft w:val="0"/>
      <w:marRight w:val="0"/>
      <w:marTop w:val="0"/>
      <w:marBottom w:val="0"/>
      <w:divBdr>
        <w:top w:val="none" w:sz="0" w:space="0" w:color="auto"/>
        <w:left w:val="none" w:sz="0" w:space="0" w:color="auto"/>
        <w:bottom w:val="none" w:sz="0" w:space="0" w:color="auto"/>
        <w:right w:val="none" w:sz="0" w:space="0" w:color="auto"/>
      </w:divBdr>
    </w:div>
    <w:div w:id="646007476">
      <w:bodyDiv w:val="1"/>
      <w:marLeft w:val="0"/>
      <w:marRight w:val="0"/>
      <w:marTop w:val="0"/>
      <w:marBottom w:val="0"/>
      <w:divBdr>
        <w:top w:val="none" w:sz="0" w:space="0" w:color="auto"/>
        <w:left w:val="none" w:sz="0" w:space="0" w:color="auto"/>
        <w:bottom w:val="none" w:sz="0" w:space="0" w:color="auto"/>
        <w:right w:val="none" w:sz="0" w:space="0" w:color="auto"/>
      </w:divBdr>
    </w:div>
    <w:div w:id="647054106">
      <w:bodyDiv w:val="1"/>
      <w:marLeft w:val="0"/>
      <w:marRight w:val="0"/>
      <w:marTop w:val="0"/>
      <w:marBottom w:val="0"/>
      <w:divBdr>
        <w:top w:val="none" w:sz="0" w:space="0" w:color="auto"/>
        <w:left w:val="none" w:sz="0" w:space="0" w:color="auto"/>
        <w:bottom w:val="none" w:sz="0" w:space="0" w:color="auto"/>
        <w:right w:val="none" w:sz="0" w:space="0" w:color="auto"/>
      </w:divBdr>
      <w:divsChild>
        <w:div w:id="1922248421">
          <w:marLeft w:val="0"/>
          <w:marRight w:val="0"/>
          <w:marTop w:val="0"/>
          <w:marBottom w:val="0"/>
          <w:divBdr>
            <w:top w:val="none" w:sz="0" w:space="0" w:color="auto"/>
            <w:left w:val="none" w:sz="0" w:space="0" w:color="auto"/>
            <w:bottom w:val="none" w:sz="0" w:space="0" w:color="auto"/>
            <w:right w:val="none" w:sz="0" w:space="0" w:color="auto"/>
          </w:divBdr>
          <w:divsChild>
            <w:div w:id="1403983676">
              <w:marLeft w:val="0"/>
              <w:marRight w:val="0"/>
              <w:marTop w:val="0"/>
              <w:marBottom w:val="0"/>
              <w:divBdr>
                <w:top w:val="none" w:sz="0" w:space="0" w:color="auto"/>
                <w:left w:val="none" w:sz="0" w:space="0" w:color="auto"/>
                <w:bottom w:val="none" w:sz="0" w:space="0" w:color="auto"/>
                <w:right w:val="none" w:sz="0" w:space="0" w:color="auto"/>
              </w:divBdr>
              <w:divsChild>
                <w:div w:id="27144841">
                  <w:marLeft w:val="0"/>
                  <w:marRight w:val="0"/>
                  <w:marTop w:val="0"/>
                  <w:marBottom w:val="0"/>
                  <w:divBdr>
                    <w:top w:val="none" w:sz="0" w:space="0" w:color="auto"/>
                    <w:left w:val="none" w:sz="0" w:space="0" w:color="auto"/>
                    <w:bottom w:val="none" w:sz="0" w:space="0" w:color="auto"/>
                    <w:right w:val="none" w:sz="0" w:space="0" w:color="auto"/>
                  </w:divBdr>
                  <w:divsChild>
                    <w:div w:id="200555688">
                      <w:marLeft w:val="0"/>
                      <w:marRight w:val="0"/>
                      <w:marTop w:val="0"/>
                      <w:marBottom w:val="0"/>
                      <w:divBdr>
                        <w:top w:val="none" w:sz="0" w:space="0" w:color="auto"/>
                        <w:left w:val="none" w:sz="0" w:space="0" w:color="auto"/>
                        <w:bottom w:val="none" w:sz="0" w:space="0" w:color="auto"/>
                        <w:right w:val="none" w:sz="0" w:space="0" w:color="auto"/>
                      </w:divBdr>
                      <w:divsChild>
                        <w:div w:id="646907851">
                          <w:marLeft w:val="0"/>
                          <w:marRight w:val="0"/>
                          <w:marTop w:val="0"/>
                          <w:marBottom w:val="0"/>
                          <w:divBdr>
                            <w:top w:val="none" w:sz="0" w:space="0" w:color="auto"/>
                            <w:left w:val="none" w:sz="0" w:space="0" w:color="auto"/>
                            <w:bottom w:val="none" w:sz="0" w:space="0" w:color="auto"/>
                            <w:right w:val="none" w:sz="0" w:space="0" w:color="auto"/>
                          </w:divBdr>
                          <w:divsChild>
                            <w:div w:id="1345398394">
                              <w:marLeft w:val="0"/>
                              <w:marRight w:val="0"/>
                              <w:marTop w:val="0"/>
                              <w:marBottom w:val="0"/>
                              <w:divBdr>
                                <w:top w:val="none" w:sz="0" w:space="0" w:color="auto"/>
                                <w:left w:val="none" w:sz="0" w:space="0" w:color="auto"/>
                                <w:bottom w:val="none" w:sz="0" w:space="0" w:color="auto"/>
                                <w:right w:val="none" w:sz="0" w:space="0" w:color="auto"/>
                              </w:divBdr>
                              <w:divsChild>
                                <w:div w:id="1110199046">
                                  <w:marLeft w:val="0"/>
                                  <w:marRight w:val="0"/>
                                  <w:marTop w:val="0"/>
                                  <w:marBottom w:val="0"/>
                                  <w:divBdr>
                                    <w:top w:val="none" w:sz="0" w:space="0" w:color="auto"/>
                                    <w:left w:val="none" w:sz="0" w:space="0" w:color="auto"/>
                                    <w:bottom w:val="none" w:sz="0" w:space="0" w:color="auto"/>
                                    <w:right w:val="none" w:sz="0" w:space="0" w:color="auto"/>
                                  </w:divBdr>
                                  <w:divsChild>
                                    <w:div w:id="201023450">
                                      <w:marLeft w:val="0"/>
                                      <w:marRight w:val="0"/>
                                      <w:marTop w:val="0"/>
                                      <w:marBottom w:val="0"/>
                                      <w:divBdr>
                                        <w:top w:val="none" w:sz="0" w:space="0" w:color="auto"/>
                                        <w:left w:val="none" w:sz="0" w:space="0" w:color="auto"/>
                                        <w:bottom w:val="none" w:sz="0" w:space="0" w:color="auto"/>
                                        <w:right w:val="none" w:sz="0" w:space="0" w:color="auto"/>
                                      </w:divBdr>
                                      <w:divsChild>
                                        <w:div w:id="7677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380988">
      <w:bodyDiv w:val="1"/>
      <w:marLeft w:val="0"/>
      <w:marRight w:val="0"/>
      <w:marTop w:val="0"/>
      <w:marBottom w:val="0"/>
      <w:divBdr>
        <w:top w:val="none" w:sz="0" w:space="0" w:color="auto"/>
        <w:left w:val="none" w:sz="0" w:space="0" w:color="auto"/>
        <w:bottom w:val="none" w:sz="0" w:space="0" w:color="auto"/>
        <w:right w:val="none" w:sz="0" w:space="0" w:color="auto"/>
      </w:divBdr>
    </w:div>
    <w:div w:id="689990197">
      <w:bodyDiv w:val="1"/>
      <w:marLeft w:val="0"/>
      <w:marRight w:val="0"/>
      <w:marTop w:val="0"/>
      <w:marBottom w:val="0"/>
      <w:divBdr>
        <w:top w:val="none" w:sz="0" w:space="0" w:color="auto"/>
        <w:left w:val="none" w:sz="0" w:space="0" w:color="auto"/>
        <w:bottom w:val="none" w:sz="0" w:space="0" w:color="auto"/>
        <w:right w:val="none" w:sz="0" w:space="0" w:color="auto"/>
      </w:divBdr>
    </w:div>
    <w:div w:id="693967285">
      <w:bodyDiv w:val="1"/>
      <w:marLeft w:val="0"/>
      <w:marRight w:val="0"/>
      <w:marTop w:val="0"/>
      <w:marBottom w:val="0"/>
      <w:divBdr>
        <w:top w:val="none" w:sz="0" w:space="0" w:color="auto"/>
        <w:left w:val="none" w:sz="0" w:space="0" w:color="auto"/>
        <w:bottom w:val="none" w:sz="0" w:space="0" w:color="auto"/>
        <w:right w:val="none" w:sz="0" w:space="0" w:color="auto"/>
      </w:divBdr>
    </w:div>
    <w:div w:id="717045844">
      <w:bodyDiv w:val="1"/>
      <w:marLeft w:val="0"/>
      <w:marRight w:val="0"/>
      <w:marTop w:val="0"/>
      <w:marBottom w:val="0"/>
      <w:divBdr>
        <w:top w:val="none" w:sz="0" w:space="0" w:color="auto"/>
        <w:left w:val="none" w:sz="0" w:space="0" w:color="auto"/>
        <w:bottom w:val="none" w:sz="0" w:space="0" w:color="auto"/>
        <w:right w:val="none" w:sz="0" w:space="0" w:color="auto"/>
      </w:divBdr>
      <w:divsChild>
        <w:div w:id="1823424788">
          <w:marLeft w:val="0"/>
          <w:marRight w:val="0"/>
          <w:marTop w:val="0"/>
          <w:marBottom w:val="0"/>
          <w:divBdr>
            <w:top w:val="none" w:sz="0" w:space="0" w:color="auto"/>
            <w:left w:val="none" w:sz="0" w:space="0" w:color="auto"/>
            <w:bottom w:val="none" w:sz="0" w:space="0" w:color="auto"/>
            <w:right w:val="none" w:sz="0" w:space="0" w:color="auto"/>
          </w:divBdr>
          <w:divsChild>
            <w:div w:id="61324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299862">
      <w:bodyDiv w:val="1"/>
      <w:marLeft w:val="0"/>
      <w:marRight w:val="0"/>
      <w:marTop w:val="0"/>
      <w:marBottom w:val="0"/>
      <w:divBdr>
        <w:top w:val="none" w:sz="0" w:space="0" w:color="auto"/>
        <w:left w:val="none" w:sz="0" w:space="0" w:color="auto"/>
        <w:bottom w:val="none" w:sz="0" w:space="0" w:color="auto"/>
        <w:right w:val="none" w:sz="0" w:space="0" w:color="auto"/>
      </w:divBdr>
    </w:div>
    <w:div w:id="761414408">
      <w:bodyDiv w:val="1"/>
      <w:marLeft w:val="0"/>
      <w:marRight w:val="0"/>
      <w:marTop w:val="0"/>
      <w:marBottom w:val="0"/>
      <w:divBdr>
        <w:top w:val="none" w:sz="0" w:space="0" w:color="auto"/>
        <w:left w:val="none" w:sz="0" w:space="0" w:color="auto"/>
        <w:bottom w:val="none" w:sz="0" w:space="0" w:color="auto"/>
        <w:right w:val="none" w:sz="0" w:space="0" w:color="auto"/>
      </w:divBdr>
    </w:div>
    <w:div w:id="820467442">
      <w:bodyDiv w:val="1"/>
      <w:marLeft w:val="0"/>
      <w:marRight w:val="0"/>
      <w:marTop w:val="0"/>
      <w:marBottom w:val="0"/>
      <w:divBdr>
        <w:top w:val="none" w:sz="0" w:space="0" w:color="auto"/>
        <w:left w:val="none" w:sz="0" w:space="0" w:color="auto"/>
        <w:bottom w:val="none" w:sz="0" w:space="0" w:color="auto"/>
        <w:right w:val="none" w:sz="0" w:space="0" w:color="auto"/>
      </w:divBdr>
    </w:div>
    <w:div w:id="850223066">
      <w:bodyDiv w:val="1"/>
      <w:marLeft w:val="0"/>
      <w:marRight w:val="0"/>
      <w:marTop w:val="0"/>
      <w:marBottom w:val="0"/>
      <w:divBdr>
        <w:top w:val="none" w:sz="0" w:space="0" w:color="auto"/>
        <w:left w:val="none" w:sz="0" w:space="0" w:color="auto"/>
        <w:bottom w:val="none" w:sz="0" w:space="0" w:color="auto"/>
        <w:right w:val="none" w:sz="0" w:space="0" w:color="auto"/>
      </w:divBdr>
    </w:div>
    <w:div w:id="853879349">
      <w:bodyDiv w:val="1"/>
      <w:marLeft w:val="0"/>
      <w:marRight w:val="0"/>
      <w:marTop w:val="0"/>
      <w:marBottom w:val="0"/>
      <w:divBdr>
        <w:top w:val="none" w:sz="0" w:space="0" w:color="auto"/>
        <w:left w:val="none" w:sz="0" w:space="0" w:color="auto"/>
        <w:bottom w:val="none" w:sz="0" w:space="0" w:color="auto"/>
        <w:right w:val="none" w:sz="0" w:space="0" w:color="auto"/>
      </w:divBdr>
    </w:div>
    <w:div w:id="883252109">
      <w:bodyDiv w:val="1"/>
      <w:marLeft w:val="0"/>
      <w:marRight w:val="0"/>
      <w:marTop w:val="0"/>
      <w:marBottom w:val="0"/>
      <w:divBdr>
        <w:top w:val="none" w:sz="0" w:space="0" w:color="auto"/>
        <w:left w:val="none" w:sz="0" w:space="0" w:color="auto"/>
        <w:bottom w:val="none" w:sz="0" w:space="0" w:color="auto"/>
        <w:right w:val="none" w:sz="0" w:space="0" w:color="auto"/>
      </w:divBdr>
    </w:div>
    <w:div w:id="885683522">
      <w:bodyDiv w:val="1"/>
      <w:marLeft w:val="0"/>
      <w:marRight w:val="0"/>
      <w:marTop w:val="0"/>
      <w:marBottom w:val="0"/>
      <w:divBdr>
        <w:top w:val="none" w:sz="0" w:space="0" w:color="auto"/>
        <w:left w:val="none" w:sz="0" w:space="0" w:color="auto"/>
        <w:bottom w:val="none" w:sz="0" w:space="0" w:color="auto"/>
        <w:right w:val="none" w:sz="0" w:space="0" w:color="auto"/>
      </w:divBdr>
      <w:divsChild>
        <w:div w:id="1826435343">
          <w:marLeft w:val="0"/>
          <w:marRight w:val="0"/>
          <w:marTop w:val="0"/>
          <w:marBottom w:val="0"/>
          <w:divBdr>
            <w:top w:val="none" w:sz="0" w:space="0" w:color="auto"/>
            <w:left w:val="none" w:sz="0" w:space="0" w:color="auto"/>
            <w:bottom w:val="none" w:sz="0" w:space="0" w:color="auto"/>
            <w:right w:val="none" w:sz="0" w:space="0" w:color="auto"/>
          </w:divBdr>
          <w:divsChild>
            <w:div w:id="167237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62623">
      <w:bodyDiv w:val="1"/>
      <w:marLeft w:val="0"/>
      <w:marRight w:val="0"/>
      <w:marTop w:val="0"/>
      <w:marBottom w:val="0"/>
      <w:divBdr>
        <w:top w:val="none" w:sz="0" w:space="0" w:color="auto"/>
        <w:left w:val="none" w:sz="0" w:space="0" w:color="auto"/>
        <w:bottom w:val="none" w:sz="0" w:space="0" w:color="auto"/>
        <w:right w:val="none" w:sz="0" w:space="0" w:color="auto"/>
      </w:divBdr>
    </w:div>
    <w:div w:id="907836609">
      <w:bodyDiv w:val="1"/>
      <w:marLeft w:val="0"/>
      <w:marRight w:val="0"/>
      <w:marTop w:val="0"/>
      <w:marBottom w:val="0"/>
      <w:divBdr>
        <w:top w:val="none" w:sz="0" w:space="0" w:color="auto"/>
        <w:left w:val="none" w:sz="0" w:space="0" w:color="auto"/>
        <w:bottom w:val="none" w:sz="0" w:space="0" w:color="auto"/>
        <w:right w:val="none" w:sz="0" w:space="0" w:color="auto"/>
      </w:divBdr>
    </w:div>
    <w:div w:id="931935952">
      <w:bodyDiv w:val="1"/>
      <w:marLeft w:val="0"/>
      <w:marRight w:val="0"/>
      <w:marTop w:val="0"/>
      <w:marBottom w:val="0"/>
      <w:divBdr>
        <w:top w:val="none" w:sz="0" w:space="0" w:color="auto"/>
        <w:left w:val="none" w:sz="0" w:space="0" w:color="auto"/>
        <w:bottom w:val="none" w:sz="0" w:space="0" w:color="auto"/>
        <w:right w:val="none" w:sz="0" w:space="0" w:color="auto"/>
      </w:divBdr>
    </w:div>
    <w:div w:id="935943876">
      <w:bodyDiv w:val="1"/>
      <w:marLeft w:val="0"/>
      <w:marRight w:val="0"/>
      <w:marTop w:val="0"/>
      <w:marBottom w:val="0"/>
      <w:divBdr>
        <w:top w:val="none" w:sz="0" w:space="0" w:color="auto"/>
        <w:left w:val="none" w:sz="0" w:space="0" w:color="auto"/>
        <w:bottom w:val="none" w:sz="0" w:space="0" w:color="auto"/>
        <w:right w:val="none" w:sz="0" w:space="0" w:color="auto"/>
      </w:divBdr>
    </w:div>
    <w:div w:id="952831259">
      <w:bodyDiv w:val="1"/>
      <w:marLeft w:val="0"/>
      <w:marRight w:val="0"/>
      <w:marTop w:val="0"/>
      <w:marBottom w:val="0"/>
      <w:divBdr>
        <w:top w:val="none" w:sz="0" w:space="0" w:color="auto"/>
        <w:left w:val="none" w:sz="0" w:space="0" w:color="auto"/>
        <w:bottom w:val="none" w:sz="0" w:space="0" w:color="auto"/>
        <w:right w:val="none" w:sz="0" w:space="0" w:color="auto"/>
      </w:divBdr>
      <w:divsChild>
        <w:div w:id="800729809">
          <w:marLeft w:val="0"/>
          <w:marRight w:val="0"/>
          <w:marTop w:val="0"/>
          <w:marBottom w:val="0"/>
          <w:divBdr>
            <w:top w:val="none" w:sz="0" w:space="0" w:color="auto"/>
            <w:left w:val="none" w:sz="0" w:space="0" w:color="auto"/>
            <w:bottom w:val="none" w:sz="0" w:space="0" w:color="auto"/>
            <w:right w:val="none" w:sz="0" w:space="0" w:color="auto"/>
          </w:divBdr>
          <w:divsChild>
            <w:div w:id="1573079233">
              <w:marLeft w:val="0"/>
              <w:marRight w:val="0"/>
              <w:marTop w:val="0"/>
              <w:marBottom w:val="0"/>
              <w:divBdr>
                <w:top w:val="none" w:sz="0" w:space="0" w:color="auto"/>
                <w:left w:val="none" w:sz="0" w:space="0" w:color="auto"/>
                <w:bottom w:val="none" w:sz="0" w:space="0" w:color="auto"/>
                <w:right w:val="none" w:sz="0" w:space="0" w:color="auto"/>
              </w:divBdr>
              <w:divsChild>
                <w:div w:id="1747801743">
                  <w:marLeft w:val="0"/>
                  <w:marRight w:val="0"/>
                  <w:marTop w:val="0"/>
                  <w:marBottom w:val="0"/>
                  <w:divBdr>
                    <w:top w:val="none" w:sz="0" w:space="0" w:color="auto"/>
                    <w:left w:val="none" w:sz="0" w:space="0" w:color="auto"/>
                    <w:bottom w:val="none" w:sz="0" w:space="0" w:color="auto"/>
                    <w:right w:val="none" w:sz="0" w:space="0" w:color="auto"/>
                  </w:divBdr>
                  <w:divsChild>
                    <w:div w:id="205458482">
                      <w:marLeft w:val="0"/>
                      <w:marRight w:val="0"/>
                      <w:marTop w:val="0"/>
                      <w:marBottom w:val="0"/>
                      <w:divBdr>
                        <w:top w:val="none" w:sz="0" w:space="0" w:color="auto"/>
                        <w:left w:val="none" w:sz="0" w:space="0" w:color="auto"/>
                        <w:bottom w:val="none" w:sz="0" w:space="0" w:color="auto"/>
                        <w:right w:val="none" w:sz="0" w:space="0" w:color="auto"/>
                      </w:divBdr>
                      <w:divsChild>
                        <w:div w:id="253244039">
                          <w:marLeft w:val="0"/>
                          <w:marRight w:val="0"/>
                          <w:marTop w:val="0"/>
                          <w:marBottom w:val="0"/>
                          <w:divBdr>
                            <w:top w:val="none" w:sz="0" w:space="0" w:color="auto"/>
                            <w:left w:val="none" w:sz="0" w:space="0" w:color="auto"/>
                            <w:bottom w:val="none" w:sz="0" w:space="0" w:color="auto"/>
                            <w:right w:val="none" w:sz="0" w:space="0" w:color="auto"/>
                          </w:divBdr>
                          <w:divsChild>
                            <w:div w:id="147863403">
                              <w:marLeft w:val="0"/>
                              <w:marRight w:val="0"/>
                              <w:marTop w:val="0"/>
                              <w:marBottom w:val="0"/>
                              <w:divBdr>
                                <w:top w:val="none" w:sz="0" w:space="0" w:color="auto"/>
                                <w:left w:val="none" w:sz="0" w:space="0" w:color="auto"/>
                                <w:bottom w:val="none" w:sz="0" w:space="0" w:color="auto"/>
                                <w:right w:val="none" w:sz="0" w:space="0" w:color="auto"/>
                              </w:divBdr>
                              <w:divsChild>
                                <w:div w:id="191162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761490">
      <w:bodyDiv w:val="1"/>
      <w:marLeft w:val="0"/>
      <w:marRight w:val="0"/>
      <w:marTop w:val="0"/>
      <w:marBottom w:val="0"/>
      <w:divBdr>
        <w:top w:val="none" w:sz="0" w:space="0" w:color="auto"/>
        <w:left w:val="none" w:sz="0" w:space="0" w:color="auto"/>
        <w:bottom w:val="none" w:sz="0" w:space="0" w:color="auto"/>
        <w:right w:val="none" w:sz="0" w:space="0" w:color="auto"/>
      </w:divBdr>
      <w:divsChild>
        <w:div w:id="2119716463">
          <w:marLeft w:val="0"/>
          <w:marRight w:val="0"/>
          <w:marTop w:val="0"/>
          <w:marBottom w:val="0"/>
          <w:divBdr>
            <w:top w:val="none" w:sz="0" w:space="0" w:color="auto"/>
            <w:left w:val="none" w:sz="0" w:space="0" w:color="auto"/>
            <w:bottom w:val="none" w:sz="0" w:space="0" w:color="auto"/>
            <w:right w:val="none" w:sz="0" w:space="0" w:color="auto"/>
          </w:divBdr>
          <w:divsChild>
            <w:div w:id="181563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23346">
      <w:bodyDiv w:val="1"/>
      <w:marLeft w:val="0"/>
      <w:marRight w:val="0"/>
      <w:marTop w:val="0"/>
      <w:marBottom w:val="0"/>
      <w:divBdr>
        <w:top w:val="none" w:sz="0" w:space="0" w:color="auto"/>
        <w:left w:val="none" w:sz="0" w:space="0" w:color="auto"/>
        <w:bottom w:val="none" w:sz="0" w:space="0" w:color="auto"/>
        <w:right w:val="none" w:sz="0" w:space="0" w:color="auto"/>
      </w:divBdr>
    </w:div>
    <w:div w:id="1023627726">
      <w:bodyDiv w:val="1"/>
      <w:marLeft w:val="0"/>
      <w:marRight w:val="0"/>
      <w:marTop w:val="0"/>
      <w:marBottom w:val="0"/>
      <w:divBdr>
        <w:top w:val="none" w:sz="0" w:space="0" w:color="auto"/>
        <w:left w:val="none" w:sz="0" w:space="0" w:color="auto"/>
        <w:bottom w:val="none" w:sz="0" w:space="0" w:color="auto"/>
        <w:right w:val="none" w:sz="0" w:space="0" w:color="auto"/>
      </w:divBdr>
    </w:div>
    <w:div w:id="1042435228">
      <w:bodyDiv w:val="1"/>
      <w:marLeft w:val="0"/>
      <w:marRight w:val="0"/>
      <w:marTop w:val="0"/>
      <w:marBottom w:val="0"/>
      <w:divBdr>
        <w:top w:val="none" w:sz="0" w:space="0" w:color="auto"/>
        <w:left w:val="none" w:sz="0" w:space="0" w:color="auto"/>
        <w:bottom w:val="none" w:sz="0" w:space="0" w:color="auto"/>
        <w:right w:val="none" w:sz="0" w:space="0" w:color="auto"/>
      </w:divBdr>
    </w:div>
    <w:div w:id="1046684798">
      <w:bodyDiv w:val="1"/>
      <w:marLeft w:val="0"/>
      <w:marRight w:val="0"/>
      <w:marTop w:val="0"/>
      <w:marBottom w:val="0"/>
      <w:divBdr>
        <w:top w:val="none" w:sz="0" w:space="0" w:color="auto"/>
        <w:left w:val="none" w:sz="0" w:space="0" w:color="auto"/>
        <w:bottom w:val="none" w:sz="0" w:space="0" w:color="auto"/>
        <w:right w:val="none" w:sz="0" w:space="0" w:color="auto"/>
      </w:divBdr>
    </w:div>
    <w:div w:id="1066533825">
      <w:bodyDiv w:val="1"/>
      <w:marLeft w:val="0"/>
      <w:marRight w:val="0"/>
      <w:marTop w:val="0"/>
      <w:marBottom w:val="0"/>
      <w:divBdr>
        <w:top w:val="none" w:sz="0" w:space="0" w:color="auto"/>
        <w:left w:val="none" w:sz="0" w:space="0" w:color="auto"/>
        <w:bottom w:val="none" w:sz="0" w:space="0" w:color="auto"/>
        <w:right w:val="none" w:sz="0" w:space="0" w:color="auto"/>
      </w:divBdr>
    </w:div>
    <w:div w:id="1093404278">
      <w:bodyDiv w:val="1"/>
      <w:marLeft w:val="0"/>
      <w:marRight w:val="0"/>
      <w:marTop w:val="0"/>
      <w:marBottom w:val="0"/>
      <w:divBdr>
        <w:top w:val="none" w:sz="0" w:space="0" w:color="auto"/>
        <w:left w:val="none" w:sz="0" w:space="0" w:color="auto"/>
        <w:bottom w:val="none" w:sz="0" w:space="0" w:color="auto"/>
        <w:right w:val="none" w:sz="0" w:space="0" w:color="auto"/>
      </w:divBdr>
      <w:divsChild>
        <w:div w:id="59452495">
          <w:marLeft w:val="0"/>
          <w:marRight w:val="0"/>
          <w:marTop w:val="0"/>
          <w:marBottom w:val="0"/>
          <w:divBdr>
            <w:top w:val="none" w:sz="0" w:space="0" w:color="auto"/>
            <w:left w:val="none" w:sz="0" w:space="0" w:color="auto"/>
            <w:bottom w:val="none" w:sz="0" w:space="0" w:color="auto"/>
            <w:right w:val="none" w:sz="0" w:space="0" w:color="auto"/>
          </w:divBdr>
          <w:divsChild>
            <w:div w:id="1625964071">
              <w:marLeft w:val="0"/>
              <w:marRight w:val="0"/>
              <w:marTop w:val="0"/>
              <w:marBottom w:val="0"/>
              <w:divBdr>
                <w:top w:val="none" w:sz="0" w:space="0" w:color="auto"/>
                <w:left w:val="none" w:sz="0" w:space="0" w:color="auto"/>
                <w:bottom w:val="none" w:sz="0" w:space="0" w:color="auto"/>
                <w:right w:val="none" w:sz="0" w:space="0" w:color="auto"/>
              </w:divBdr>
              <w:divsChild>
                <w:div w:id="217936152">
                  <w:marLeft w:val="0"/>
                  <w:marRight w:val="0"/>
                  <w:marTop w:val="0"/>
                  <w:marBottom w:val="0"/>
                  <w:divBdr>
                    <w:top w:val="none" w:sz="0" w:space="0" w:color="auto"/>
                    <w:left w:val="none" w:sz="0" w:space="0" w:color="auto"/>
                    <w:bottom w:val="none" w:sz="0" w:space="0" w:color="auto"/>
                    <w:right w:val="none" w:sz="0" w:space="0" w:color="auto"/>
                  </w:divBdr>
                  <w:divsChild>
                    <w:div w:id="492457956">
                      <w:marLeft w:val="0"/>
                      <w:marRight w:val="0"/>
                      <w:marTop w:val="0"/>
                      <w:marBottom w:val="0"/>
                      <w:divBdr>
                        <w:top w:val="none" w:sz="0" w:space="0" w:color="auto"/>
                        <w:left w:val="none" w:sz="0" w:space="0" w:color="auto"/>
                        <w:bottom w:val="none" w:sz="0" w:space="0" w:color="auto"/>
                        <w:right w:val="none" w:sz="0" w:space="0" w:color="auto"/>
                      </w:divBdr>
                      <w:divsChild>
                        <w:div w:id="1604192180">
                          <w:marLeft w:val="0"/>
                          <w:marRight w:val="0"/>
                          <w:marTop w:val="0"/>
                          <w:marBottom w:val="0"/>
                          <w:divBdr>
                            <w:top w:val="none" w:sz="0" w:space="0" w:color="auto"/>
                            <w:left w:val="none" w:sz="0" w:space="0" w:color="auto"/>
                            <w:bottom w:val="none" w:sz="0" w:space="0" w:color="auto"/>
                            <w:right w:val="none" w:sz="0" w:space="0" w:color="auto"/>
                          </w:divBdr>
                          <w:divsChild>
                            <w:div w:id="253128627">
                              <w:marLeft w:val="0"/>
                              <w:marRight w:val="0"/>
                              <w:marTop w:val="0"/>
                              <w:marBottom w:val="0"/>
                              <w:divBdr>
                                <w:top w:val="none" w:sz="0" w:space="0" w:color="auto"/>
                                <w:left w:val="none" w:sz="0" w:space="0" w:color="auto"/>
                                <w:bottom w:val="none" w:sz="0" w:space="0" w:color="auto"/>
                                <w:right w:val="none" w:sz="0" w:space="0" w:color="auto"/>
                              </w:divBdr>
                              <w:divsChild>
                                <w:div w:id="1176454312">
                                  <w:marLeft w:val="0"/>
                                  <w:marRight w:val="0"/>
                                  <w:marTop w:val="0"/>
                                  <w:marBottom w:val="0"/>
                                  <w:divBdr>
                                    <w:top w:val="none" w:sz="0" w:space="0" w:color="auto"/>
                                    <w:left w:val="none" w:sz="0" w:space="0" w:color="auto"/>
                                    <w:bottom w:val="none" w:sz="0" w:space="0" w:color="auto"/>
                                    <w:right w:val="none" w:sz="0" w:space="0" w:color="auto"/>
                                  </w:divBdr>
                                  <w:divsChild>
                                    <w:div w:id="10199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404126">
          <w:marLeft w:val="0"/>
          <w:marRight w:val="0"/>
          <w:marTop w:val="0"/>
          <w:marBottom w:val="0"/>
          <w:divBdr>
            <w:top w:val="none" w:sz="0" w:space="0" w:color="auto"/>
            <w:left w:val="none" w:sz="0" w:space="0" w:color="auto"/>
            <w:bottom w:val="none" w:sz="0" w:space="0" w:color="auto"/>
            <w:right w:val="none" w:sz="0" w:space="0" w:color="auto"/>
          </w:divBdr>
          <w:divsChild>
            <w:div w:id="587159652">
              <w:marLeft w:val="0"/>
              <w:marRight w:val="0"/>
              <w:marTop w:val="0"/>
              <w:marBottom w:val="0"/>
              <w:divBdr>
                <w:top w:val="none" w:sz="0" w:space="0" w:color="auto"/>
                <w:left w:val="none" w:sz="0" w:space="0" w:color="auto"/>
                <w:bottom w:val="none" w:sz="0" w:space="0" w:color="auto"/>
                <w:right w:val="none" w:sz="0" w:space="0" w:color="auto"/>
              </w:divBdr>
              <w:divsChild>
                <w:div w:id="585579718">
                  <w:marLeft w:val="0"/>
                  <w:marRight w:val="0"/>
                  <w:marTop w:val="0"/>
                  <w:marBottom w:val="0"/>
                  <w:divBdr>
                    <w:top w:val="none" w:sz="0" w:space="0" w:color="auto"/>
                    <w:left w:val="none" w:sz="0" w:space="0" w:color="auto"/>
                    <w:bottom w:val="none" w:sz="0" w:space="0" w:color="auto"/>
                    <w:right w:val="none" w:sz="0" w:space="0" w:color="auto"/>
                  </w:divBdr>
                  <w:divsChild>
                    <w:div w:id="1561403131">
                      <w:marLeft w:val="0"/>
                      <w:marRight w:val="0"/>
                      <w:marTop w:val="0"/>
                      <w:marBottom w:val="0"/>
                      <w:divBdr>
                        <w:top w:val="none" w:sz="0" w:space="0" w:color="auto"/>
                        <w:left w:val="none" w:sz="0" w:space="0" w:color="auto"/>
                        <w:bottom w:val="none" w:sz="0" w:space="0" w:color="auto"/>
                        <w:right w:val="none" w:sz="0" w:space="0" w:color="auto"/>
                      </w:divBdr>
                      <w:divsChild>
                        <w:div w:id="1869489030">
                          <w:marLeft w:val="0"/>
                          <w:marRight w:val="0"/>
                          <w:marTop w:val="0"/>
                          <w:marBottom w:val="0"/>
                          <w:divBdr>
                            <w:top w:val="none" w:sz="0" w:space="0" w:color="auto"/>
                            <w:left w:val="none" w:sz="0" w:space="0" w:color="auto"/>
                            <w:bottom w:val="none" w:sz="0" w:space="0" w:color="auto"/>
                            <w:right w:val="none" w:sz="0" w:space="0" w:color="auto"/>
                          </w:divBdr>
                          <w:divsChild>
                            <w:div w:id="570653280">
                              <w:marLeft w:val="0"/>
                              <w:marRight w:val="0"/>
                              <w:marTop w:val="0"/>
                              <w:marBottom w:val="0"/>
                              <w:divBdr>
                                <w:top w:val="none" w:sz="0" w:space="0" w:color="auto"/>
                                <w:left w:val="none" w:sz="0" w:space="0" w:color="auto"/>
                                <w:bottom w:val="none" w:sz="0" w:space="0" w:color="auto"/>
                                <w:right w:val="none" w:sz="0" w:space="0" w:color="auto"/>
                              </w:divBdr>
                              <w:divsChild>
                                <w:div w:id="1792899051">
                                  <w:marLeft w:val="0"/>
                                  <w:marRight w:val="0"/>
                                  <w:marTop w:val="0"/>
                                  <w:marBottom w:val="0"/>
                                  <w:divBdr>
                                    <w:top w:val="none" w:sz="0" w:space="0" w:color="auto"/>
                                    <w:left w:val="none" w:sz="0" w:space="0" w:color="auto"/>
                                    <w:bottom w:val="none" w:sz="0" w:space="0" w:color="auto"/>
                                    <w:right w:val="none" w:sz="0" w:space="0" w:color="auto"/>
                                  </w:divBdr>
                                  <w:divsChild>
                                    <w:div w:id="1616136688">
                                      <w:marLeft w:val="0"/>
                                      <w:marRight w:val="0"/>
                                      <w:marTop w:val="0"/>
                                      <w:marBottom w:val="0"/>
                                      <w:divBdr>
                                        <w:top w:val="none" w:sz="0" w:space="0" w:color="auto"/>
                                        <w:left w:val="none" w:sz="0" w:space="0" w:color="auto"/>
                                        <w:bottom w:val="none" w:sz="0" w:space="0" w:color="auto"/>
                                        <w:right w:val="none" w:sz="0" w:space="0" w:color="auto"/>
                                      </w:divBdr>
                                      <w:divsChild>
                                        <w:div w:id="521357817">
                                          <w:marLeft w:val="0"/>
                                          <w:marRight w:val="0"/>
                                          <w:marTop w:val="0"/>
                                          <w:marBottom w:val="0"/>
                                          <w:divBdr>
                                            <w:top w:val="none" w:sz="0" w:space="0" w:color="auto"/>
                                            <w:left w:val="none" w:sz="0" w:space="0" w:color="auto"/>
                                            <w:bottom w:val="none" w:sz="0" w:space="0" w:color="auto"/>
                                            <w:right w:val="none" w:sz="0" w:space="0" w:color="auto"/>
                                          </w:divBdr>
                                        </w:div>
                                      </w:divsChild>
                                    </w:div>
                                    <w:div w:id="181939689">
                                      <w:marLeft w:val="0"/>
                                      <w:marRight w:val="0"/>
                                      <w:marTop w:val="0"/>
                                      <w:marBottom w:val="0"/>
                                      <w:divBdr>
                                        <w:top w:val="none" w:sz="0" w:space="0" w:color="auto"/>
                                        <w:left w:val="none" w:sz="0" w:space="0" w:color="auto"/>
                                        <w:bottom w:val="none" w:sz="0" w:space="0" w:color="auto"/>
                                        <w:right w:val="none" w:sz="0" w:space="0" w:color="auto"/>
                                      </w:divBdr>
                                      <w:divsChild>
                                        <w:div w:id="5370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8453662">
      <w:bodyDiv w:val="1"/>
      <w:marLeft w:val="0"/>
      <w:marRight w:val="0"/>
      <w:marTop w:val="0"/>
      <w:marBottom w:val="0"/>
      <w:divBdr>
        <w:top w:val="none" w:sz="0" w:space="0" w:color="auto"/>
        <w:left w:val="none" w:sz="0" w:space="0" w:color="auto"/>
        <w:bottom w:val="none" w:sz="0" w:space="0" w:color="auto"/>
        <w:right w:val="none" w:sz="0" w:space="0" w:color="auto"/>
      </w:divBdr>
    </w:div>
    <w:div w:id="1150633283">
      <w:bodyDiv w:val="1"/>
      <w:marLeft w:val="0"/>
      <w:marRight w:val="0"/>
      <w:marTop w:val="0"/>
      <w:marBottom w:val="0"/>
      <w:divBdr>
        <w:top w:val="none" w:sz="0" w:space="0" w:color="auto"/>
        <w:left w:val="none" w:sz="0" w:space="0" w:color="auto"/>
        <w:bottom w:val="none" w:sz="0" w:space="0" w:color="auto"/>
        <w:right w:val="none" w:sz="0" w:space="0" w:color="auto"/>
      </w:divBdr>
      <w:divsChild>
        <w:div w:id="1182283482">
          <w:marLeft w:val="0"/>
          <w:marRight w:val="0"/>
          <w:marTop w:val="0"/>
          <w:marBottom w:val="0"/>
          <w:divBdr>
            <w:top w:val="none" w:sz="0" w:space="0" w:color="auto"/>
            <w:left w:val="none" w:sz="0" w:space="0" w:color="auto"/>
            <w:bottom w:val="none" w:sz="0" w:space="0" w:color="auto"/>
            <w:right w:val="none" w:sz="0" w:space="0" w:color="auto"/>
          </w:divBdr>
          <w:divsChild>
            <w:div w:id="109459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84647">
      <w:bodyDiv w:val="1"/>
      <w:marLeft w:val="0"/>
      <w:marRight w:val="0"/>
      <w:marTop w:val="0"/>
      <w:marBottom w:val="0"/>
      <w:divBdr>
        <w:top w:val="none" w:sz="0" w:space="0" w:color="auto"/>
        <w:left w:val="none" w:sz="0" w:space="0" w:color="auto"/>
        <w:bottom w:val="none" w:sz="0" w:space="0" w:color="auto"/>
        <w:right w:val="none" w:sz="0" w:space="0" w:color="auto"/>
      </w:divBdr>
      <w:divsChild>
        <w:div w:id="829104216">
          <w:marLeft w:val="0"/>
          <w:marRight w:val="0"/>
          <w:marTop w:val="0"/>
          <w:marBottom w:val="0"/>
          <w:divBdr>
            <w:top w:val="none" w:sz="0" w:space="0" w:color="auto"/>
            <w:left w:val="none" w:sz="0" w:space="0" w:color="auto"/>
            <w:bottom w:val="none" w:sz="0" w:space="0" w:color="auto"/>
            <w:right w:val="none" w:sz="0" w:space="0" w:color="auto"/>
          </w:divBdr>
          <w:divsChild>
            <w:div w:id="1261378396">
              <w:marLeft w:val="0"/>
              <w:marRight w:val="0"/>
              <w:marTop w:val="0"/>
              <w:marBottom w:val="0"/>
              <w:divBdr>
                <w:top w:val="none" w:sz="0" w:space="0" w:color="auto"/>
                <w:left w:val="none" w:sz="0" w:space="0" w:color="auto"/>
                <w:bottom w:val="none" w:sz="0" w:space="0" w:color="auto"/>
                <w:right w:val="none" w:sz="0" w:space="0" w:color="auto"/>
              </w:divBdr>
            </w:div>
          </w:divsChild>
        </w:div>
        <w:div w:id="204677327">
          <w:marLeft w:val="0"/>
          <w:marRight w:val="0"/>
          <w:marTop w:val="0"/>
          <w:marBottom w:val="0"/>
          <w:divBdr>
            <w:top w:val="none" w:sz="0" w:space="0" w:color="auto"/>
            <w:left w:val="none" w:sz="0" w:space="0" w:color="auto"/>
            <w:bottom w:val="none" w:sz="0" w:space="0" w:color="auto"/>
            <w:right w:val="none" w:sz="0" w:space="0" w:color="auto"/>
          </w:divBdr>
          <w:divsChild>
            <w:div w:id="19403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308792">
      <w:bodyDiv w:val="1"/>
      <w:marLeft w:val="0"/>
      <w:marRight w:val="0"/>
      <w:marTop w:val="0"/>
      <w:marBottom w:val="0"/>
      <w:divBdr>
        <w:top w:val="none" w:sz="0" w:space="0" w:color="auto"/>
        <w:left w:val="none" w:sz="0" w:space="0" w:color="auto"/>
        <w:bottom w:val="none" w:sz="0" w:space="0" w:color="auto"/>
        <w:right w:val="none" w:sz="0" w:space="0" w:color="auto"/>
      </w:divBdr>
    </w:div>
    <w:div w:id="1195655137">
      <w:bodyDiv w:val="1"/>
      <w:marLeft w:val="0"/>
      <w:marRight w:val="0"/>
      <w:marTop w:val="0"/>
      <w:marBottom w:val="0"/>
      <w:divBdr>
        <w:top w:val="none" w:sz="0" w:space="0" w:color="auto"/>
        <w:left w:val="none" w:sz="0" w:space="0" w:color="auto"/>
        <w:bottom w:val="none" w:sz="0" w:space="0" w:color="auto"/>
        <w:right w:val="none" w:sz="0" w:space="0" w:color="auto"/>
      </w:divBdr>
    </w:div>
    <w:div w:id="1204706080">
      <w:bodyDiv w:val="1"/>
      <w:marLeft w:val="0"/>
      <w:marRight w:val="0"/>
      <w:marTop w:val="0"/>
      <w:marBottom w:val="0"/>
      <w:divBdr>
        <w:top w:val="none" w:sz="0" w:space="0" w:color="auto"/>
        <w:left w:val="none" w:sz="0" w:space="0" w:color="auto"/>
        <w:bottom w:val="none" w:sz="0" w:space="0" w:color="auto"/>
        <w:right w:val="none" w:sz="0" w:space="0" w:color="auto"/>
      </w:divBdr>
    </w:div>
    <w:div w:id="1209679412">
      <w:bodyDiv w:val="1"/>
      <w:marLeft w:val="0"/>
      <w:marRight w:val="0"/>
      <w:marTop w:val="0"/>
      <w:marBottom w:val="0"/>
      <w:divBdr>
        <w:top w:val="none" w:sz="0" w:space="0" w:color="auto"/>
        <w:left w:val="none" w:sz="0" w:space="0" w:color="auto"/>
        <w:bottom w:val="none" w:sz="0" w:space="0" w:color="auto"/>
        <w:right w:val="none" w:sz="0" w:space="0" w:color="auto"/>
      </w:divBdr>
      <w:divsChild>
        <w:div w:id="1798991051">
          <w:marLeft w:val="0"/>
          <w:marRight w:val="0"/>
          <w:marTop w:val="0"/>
          <w:marBottom w:val="0"/>
          <w:divBdr>
            <w:top w:val="none" w:sz="0" w:space="0" w:color="auto"/>
            <w:left w:val="none" w:sz="0" w:space="0" w:color="auto"/>
            <w:bottom w:val="none" w:sz="0" w:space="0" w:color="auto"/>
            <w:right w:val="none" w:sz="0" w:space="0" w:color="auto"/>
          </w:divBdr>
          <w:divsChild>
            <w:div w:id="176337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60220">
      <w:bodyDiv w:val="1"/>
      <w:marLeft w:val="0"/>
      <w:marRight w:val="0"/>
      <w:marTop w:val="0"/>
      <w:marBottom w:val="0"/>
      <w:divBdr>
        <w:top w:val="none" w:sz="0" w:space="0" w:color="auto"/>
        <w:left w:val="none" w:sz="0" w:space="0" w:color="auto"/>
        <w:bottom w:val="none" w:sz="0" w:space="0" w:color="auto"/>
        <w:right w:val="none" w:sz="0" w:space="0" w:color="auto"/>
      </w:divBdr>
      <w:divsChild>
        <w:div w:id="2049648161">
          <w:marLeft w:val="0"/>
          <w:marRight w:val="0"/>
          <w:marTop w:val="0"/>
          <w:marBottom w:val="0"/>
          <w:divBdr>
            <w:top w:val="none" w:sz="0" w:space="0" w:color="auto"/>
            <w:left w:val="none" w:sz="0" w:space="0" w:color="auto"/>
            <w:bottom w:val="none" w:sz="0" w:space="0" w:color="auto"/>
            <w:right w:val="none" w:sz="0" w:space="0" w:color="auto"/>
          </w:divBdr>
          <w:divsChild>
            <w:div w:id="1834562500">
              <w:marLeft w:val="0"/>
              <w:marRight w:val="0"/>
              <w:marTop w:val="0"/>
              <w:marBottom w:val="0"/>
              <w:divBdr>
                <w:top w:val="none" w:sz="0" w:space="0" w:color="auto"/>
                <w:left w:val="none" w:sz="0" w:space="0" w:color="auto"/>
                <w:bottom w:val="none" w:sz="0" w:space="0" w:color="auto"/>
                <w:right w:val="none" w:sz="0" w:space="0" w:color="auto"/>
              </w:divBdr>
            </w:div>
          </w:divsChild>
        </w:div>
        <w:div w:id="1260673119">
          <w:marLeft w:val="0"/>
          <w:marRight w:val="0"/>
          <w:marTop w:val="0"/>
          <w:marBottom w:val="0"/>
          <w:divBdr>
            <w:top w:val="none" w:sz="0" w:space="0" w:color="auto"/>
            <w:left w:val="none" w:sz="0" w:space="0" w:color="auto"/>
            <w:bottom w:val="none" w:sz="0" w:space="0" w:color="auto"/>
            <w:right w:val="none" w:sz="0" w:space="0" w:color="auto"/>
          </w:divBdr>
          <w:divsChild>
            <w:div w:id="193130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649144">
      <w:bodyDiv w:val="1"/>
      <w:marLeft w:val="0"/>
      <w:marRight w:val="0"/>
      <w:marTop w:val="0"/>
      <w:marBottom w:val="0"/>
      <w:divBdr>
        <w:top w:val="none" w:sz="0" w:space="0" w:color="auto"/>
        <w:left w:val="none" w:sz="0" w:space="0" w:color="auto"/>
        <w:bottom w:val="none" w:sz="0" w:space="0" w:color="auto"/>
        <w:right w:val="none" w:sz="0" w:space="0" w:color="auto"/>
      </w:divBdr>
      <w:divsChild>
        <w:div w:id="381833383">
          <w:marLeft w:val="0"/>
          <w:marRight w:val="0"/>
          <w:marTop w:val="0"/>
          <w:marBottom w:val="0"/>
          <w:divBdr>
            <w:top w:val="none" w:sz="0" w:space="0" w:color="auto"/>
            <w:left w:val="none" w:sz="0" w:space="0" w:color="auto"/>
            <w:bottom w:val="none" w:sz="0" w:space="0" w:color="auto"/>
            <w:right w:val="none" w:sz="0" w:space="0" w:color="auto"/>
          </w:divBdr>
          <w:divsChild>
            <w:div w:id="380403084">
              <w:marLeft w:val="0"/>
              <w:marRight w:val="0"/>
              <w:marTop w:val="0"/>
              <w:marBottom w:val="0"/>
              <w:divBdr>
                <w:top w:val="none" w:sz="0" w:space="0" w:color="auto"/>
                <w:left w:val="none" w:sz="0" w:space="0" w:color="auto"/>
                <w:bottom w:val="none" w:sz="0" w:space="0" w:color="auto"/>
                <w:right w:val="none" w:sz="0" w:space="0" w:color="auto"/>
              </w:divBdr>
              <w:divsChild>
                <w:div w:id="1635059182">
                  <w:marLeft w:val="0"/>
                  <w:marRight w:val="0"/>
                  <w:marTop w:val="0"/>
                  <w:marBottom w:val="0"/>
                  <w:divBdr>
                    <w:top w:val="none" w:sz="0" w:space="0" w:color="auto"/>
                    <w:left w:val="none" w:sz="0" w:space="0" w:color="auto"/>
                    <w:bottom w:val="none" w:sz="0" w:space="0" w:color="auto"/>
                    <w:right w:val="none" w:sz="0" w:space="0" w:color="auto"/>
                  </w:divBdr>
                  <w:divsChild>
                    <w:div w:id="87428970">
                      <w:marLeft w:val="0"/>
                      <w:marRight w:val="0"/>
                      <w:marTop w:val="0"/>
                      <w:marBottom w:val="0"/>
                      <w:divBdr>
                        <w:top w:val="none" w:sz="0" w:space="0" w:color="auto"/>
                        <w:left w:val="none" w:sz="0" w:space="0" w:color="auto"/>
                        <w:bottom w:val="none" w:sz="0" w:space="0" w:color="auto"/>
                        <w:right w:val="none" w:sz="0" w:space="0" w:color="auto"/>
                      </w:divBdr>
                      <w:divsChild>
                        <w:div w:id="1261526072">
                          <w:marLeft w:val="0"/>
                          <w:marRight w:val="0"/>
                          <w:marTop w:val="0"/>
                          <w:marBottom w:val="0"/>
                          <w:divBdr>
                            <w:top w:val="none" w:sz="0" w:space="0" w:color="auto"/>
                            <w:left w:val="none" w:sz="0" w:space="0" w:color="auto"/>
                            <w:bottom w:val="none" w:sz="0" w:space="0" w:color="auto"/>
                            <w:right w:val="none" w:sz="0" w:space="0" w:color="auto"/>
                          </w:divBdr>
                          <w:divsChild>
                            <w:div w:id="2075620522">
                              <w:marLeft w:val="0"/>
                              <w:marRight w:val="0"/>
                              <w:marTop w:val="0"/>
                              <w:marBottom w:val="0"/>
                              <w:divBdr>
                                <w:top w:val="none" w:sz="0" w:space="0" w:color="auto"/>
                                <w:left w:val="none" w:sz="0" w:space="0" w:color="auto"/>
                                <w:bottom w:val="none" w:sz="0" w:space="0" w:color="auto"/>
                                <w:right w:val="none" w:sz="0" w:space="0" w:color="auto"/>
                              </w:divBdr>
                              <w:divsChild>
                                <w:div w:id="1256985431">
                                  <w:marLeft w:val="0"/>
                                  <w:marRight w:val="0"/>
                                  <w:marTop w:val="0"/>
                                  <w:marBottom w:val="0"/>
                                  <w:divBdr>
                                    <w:top w:val="none" w:sz="0" w:space="0" w:color="auto"/>
                                    <w:left w:val="none" w:sz="0" w:space="0" w:color="auto"/>
                                    <w:bottom w:val="none" w:sz="0" w:space="0" w:color="auto"/>
                                    <w:right w:val="none" w:sz="0" w:space="0" w:color="auto"/>
                                  </w:divBdr>
                                  <w:divsChild>
                                    <w:div w:id="1582328045">
                                      <w:marLeft w:val="0"/>
                                      <w:marRight w:val="0"/>
                                      <w:marTop w:val="0"/>
                                      <w:marBottom w:val="0"/>
                                      <w:divBdr>
                                        <w:top w:val="none" w:sz="0" w:space="0" w:color="auto"/>
                                        <w:left w:val="none" w:sz="0" w:space="0" w:color="auto"/>
                                        <w:bottom w:val="none" w:sz="0" w:space="0" w:color="auto"/>
                                        <w:right w:val="none" w:sz="0" w:space="0" w:color="auto"/>
                                      </w:divBdr>
                                      <w:divsChild>
                                        <w:div w:id="1912231911">
                                          <w:marLeft w:val="0"/>
                                          <w:marRight w:val="0"/>
                                          <w:marTop w:val="0"/>
                                          <w:marBottom w:val="0"/>
                                          <w:divBdr>
                                            <w:top w:val="none" w:sz="0" w:space="0" w:color="auto"/>
                                            <w:left w:val="none" w:sz="0" w:space="0" w:color="auto"/>
                                            <w:bottom w:val="none" w:sz="0" w:space="0" w:color="auto"/>
                                            <w:right w:val="none" w:sz="0" w:space="0" w:color="auto"/>
                                          </w:divBdr>
                                        </w:div>
                                      </w:divsChild>
                                    </w:div>
                                    <w:div w:id="1732927311">
                                      <w:marLeft w:val="0"/>
                                      <w:marRight w:val="0"/>
                                      <w:marTop w:val="0"/>
                                      <w:marBottom w:val="0"/>
                                      <w:divBdr>
                                        <w:top w:val="none" w:sz="0" w:space="0" w:color="auto"/>
                                        <w:left w:val="none" w:sz="0" w:space="0" w:color="auto"/>
                                        <w:bottom w:val="none" w:sz="0" w:space="0" w:color="auto"/>
                                        <w:right w:val="none" w:sz="0" w:space="0" w:color="auto"/>
                                      </w:divBdr>
                                      <w:divsChild>
                                        <w:div w:id="1599825800">
                                          <w:marLeft w:val="0"/>
                                          <w:marRight w:val="0"/>
                                          <w:marTop w:val="0"/>
                                          <w:marBottom w:val="0"/>
                                          <w:divBdr>
                                            <w:top w:val="none" w:sz="0" w:space="0" w:color="auto"/>
                                            <w:left w:val="none" w:sz="0" w:space="0" w:color="auto"/>
                                            <w:bottom w:val="none" w:sz="0" w:space="0" w:color="auto"/>
                                            <w:right w:val="none" w:sz="0" w:space="0" w:color="auto"/>
                                          </w:divBdr>
                                        </w:div>
                                      </w:divsChild>
                                    </w:div>
                                    <w:div w:id="2001301594">
                                      <w:marLeft w:val="0"/>
                                      <w:marRight w:val="0"/>
                                      <w:marTop w:val="0"/>
                                      <w:marBottom w:val="0"/>
                                      <w:divBdr>
                                        <w:top w:val="none" w:sz="0" w:space="0" w:color="auto"/>
                                        <w:left w:val="none" w:sz="0" w:space="0" w:color="auto"/>
                                        <w:bottom w:val="none" w:sz="0" w:space="0" w:color="auto"/>
                                        <w:right w:val="none" w:sz="0" w:space="0" w:color="auto"/>
                                      </w:divBdr>
                                      <w:divsChild>
                                        <w:div w:id="37797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7687530">
      <w:bodyDiv w:val="1"/>
      <w:marLeft w:val="0"/>
      <w:marRight w:val="0"/>
      <w:marTop w:val="0"/>
      <w:marBottom w:val="0"/>
      <w:divBdr>
        <w:top w:val="none" w:sz="0" w:space="0" w:color="auto"/>
        <w:left w:val="none" w:sz="0" w:space="0" w:color="auto"/>
        <w:bottom w:val="none" w:sz="0" w:space="0" w:color="auto"/>
        <w:right w:val="none" w:sz="0" w:space="0" w:color="auto"/>
      </w:divBdr>
    </w:div>
    <w:div w:id="1275861599">
      <w:bodyDiv w:val="1"/>
      <w:marLeft w:val="0"/>
      <w:marRight w:val="0"/>
      <w:marTop w:val="0"/>
      <w:marBottom w:val="0"/>
      <w:divBdr>
        <w:top w:val="none" w:sz="0" w:space="0" w:color="auto"/>
        <w:left w:val="none" w:sz="0" w:space="0" w:color="auto"/>
        <w:bottom w:val="none" w:sz="0" w:space="0" w:color="auto"/>
        <w:right w:val="none" w:sz="0" w:space="0" w:color="auto"/>
      </w:divBdr>
    </w:div>
    <w:div w:id="1278563400">
      <w:bodyDiv w:val="1"/>
      <w:marLeft w:val="0"/>
      <w:marRight w:val="0"/>
      <w:marTop w:val="0"/>
      <w:marBottom w:val="0"/>
      <w:divBdr>
        <w:top w:val="none" w:sz="0" w:space="0" w:color="auto"/>
        <w:left w:val="none" w:sz="0" w:space="0" w:color="auto"/>
        <w:bottom w:val="none" w:sz="0" w:space="0" w:color="auto"/>
        <w:right w:val="none" w:sz="0" w:space="0" w:color="auto"/>
      </w:divBdr>
      <w:divsChild>
        <w:div w:id="542715172">
          <w:marLeft w:val="0"/>
          <w:marRight w:val="0"/>
          <w:marTop w:val="0"/>
          <w:marBottom w:val="0"/>
          <w:divBdr>
            <w:top w:val="none" w:sz="0" w:space="0" w:color="auto"/>
            <w:left w:val="none" w:sz="0" w:space="0" w:color="auto"/>
            <w:bottom w:val="none" w:sz="0" w:space="0" w:color="auto"/>
            <w:right w:val="none" w:sz="0" w:space="0" w:color="auto"/>
          </w:divBdr>
          <w:divsChild>
            <w:div w:id="2069647860">
              <w:marLeft w:val="0"/>
              <w:marRight w:val="0"/>
              <w:marTop w:val="0"/>
              <w:marBottom w:val="0"/>
              <w:divBdr>
                <w:top w:val="none" w:sz="0" w:space="0" w:color="auto"/>
                <w:left w:val="none" w:sz="0" w:space="0" w:color="auto"/>
                <w:bottom w:val="none" w:sz="0" w:space="0" w:color="auto"/>
                <w:right w:val="none" w:sz="0" w:space="0" w:color="auto"/>
              </w:divBdr>
              <w:divsChild>
                <w:div w:id="1630281860">
                  <w:marLeft w:val="0"/>
                  <w:marRight w:val="0"/>
                  <w:marTop w:val="0"/>
                  <w:marBottom w:val="0"/>
                  <w:divBdr>
                    <w:top w:val="none" w:sz="0" w:space="0" w:color="auto"/>
                    <w:left w:val="none" w:sz="0" w:space="0" w:color="auto"/>
                    <w:bottom w:val="none" w:sz="0" w:space="0" w:color="auto"/>
                    <w:right w:val="none" w:sz="0" w:space="0" w:color="auto"/>
                  </w:divBdr>
                  <w:divsChild>
                    <w:div w:id="1327518074">
                      <w:marLeft w:val="0"/>
                      <w:marRight w:val="0"/>
                      <w:marTop w:val="0"/>
                      <w:marBottom w:val="0"/>
                      <w:divBdr>
                        <w:top w:val="none" w:sz="0" w:space="0" w:color="auto"/>
                        <w:left w:val="none" w:sz="0" w:space="0" w:color="auto"/>
                        <w:bottom w:val="none" w:sz="0" w:space="0" w:color="auto"/>
                        <w:right w:val="none" w:sz="0" w:space="0" w:color="auto"/>
                      </w:divBdr>
                      <w:divsChild>
                        <w:div w:id="572859173">
                          <w:marLeft w:val="0"/>
                          <w:marRight w:val="0"/>
                          <w:marTop w:val="0"/>
                          <w:marBottom w:val="0"/>
                          <w:divBdr>
                            <w:top w:val="none" w:sz="0" w:space="0" w:color="auto"/>
                            <w:left w:val="none" w:sz="0" w:space="0" w:color="auto"/>
                            <w:bottom w:val="none" w:sz="0" w:space="0" w:color="auto"/>
                            <w:right w:val="none" w:sz="0" w:space="0" w:color="auto"/>
                          </w:divBdr>
                          <w:divsChild>
                            <w:div w:id="62223225">
                              <w:marLeft w:val="0"/>
                              <w:marRight w:val="0"/>
                              <w:marTop w:val="0"/>
                              <w:marBottom w:val="0"/>
                              <w:divBdr>
                                <w:top w:val="none" w:sz="0" w:space="0" w:color="auto"/>
                                <w:left w:val="none" w:sz="0" w:space="0" w:color="auto"/>
                                <w:bottom w:val="none" w:sz="0" w:space="0" w:color="auto"/>
                                <w:right w:val="none" w:sz="0" w:space="0" w:color="auto"/>
                              </w:divBdr>
                              <w:divsChild>
                                <w:div w:id="1697150584">
                                  <w:marLeft w:val="0"/>
                                  <w:marRight w:val="0"/>
                                  <w:marTop w:val="0"/>
                                  <w:marBottom w:val="0"/>
                                  <w:divBdr>
                                    <w:top w:val="none" w:sz="0" w:space="0" w:color="auto"/>
                                    <w:left w:val="none" w:sz="0" w:space="0" w:color="auto"/>
                                    <w:bottom w:val="none" w:sz="0" w:space="0" w:color="auto"/>
                                    <w:right w:val="none" w:sz="0" w:space="0" w:color="auto"/>
                                  </w:divBdr>
                                  <w:divsChild>
                                    <w:div w:id="829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168196">
      <w:bodyDiv w:val="1"/>
      <w:marLeft w:val="0"/>
      <w:marRight w:val="0"/>
      <w:marTop w:val="0"/>
      <w:marBottom w:val="0"/>
      <w:divBdr>
        <w:top w:val="none" w:sz="0" w:space="0" w:color="auto"/>
        <w:left w:val="none" w:sz="0" w:space="0" w:color="auto"/>
        <w:bottom w:val="none" w:sz="0" w:space="0" w:color="auto"/>
        <w:right w:val="none" w:sz="0" w:space="0" w:color="auto"/>
      </w:divBdr>
    </w:div>
    <w:div w:id="1336222280">
      <w:bodyDiv w:val="1"/>
      <w:marLeft w:val="0"/>
      <w:marRight w:val="0"/>
      <w:marTop w:val="0"/>
      <w:marBottom w:val="0"/>
      <w:divBdr>
        <w:top w:val="none" w:sz="0" w:space="0" w:color="auto"/>
        <w:left w:val="none" w:sz="0" w:space="0" w:color="auto"/>
        <w:bottom w:val="none" w:sz="0" w:space="0" w:color="auto"/>
        <w:right w:val="none" w:sz="0" w:space="0" w:color="auto"/>
      </w:divBdr>
    </w:div>
    <w:div w:id="1357000108">
      <w:bodyDiv w:val="1"/>
      <w:marLeft w:val="0"/>
      <w:marRight w:val="0"/>
      <w:marTop w:val="0"/>
      <w:marBottom w:val="0"/>
      <w:divBdr>
        <w:top w:val="none" w:sz="0" w:space="0" w:color="auto"/>
        <w:left w:val="none" w:sz="0" w:space="0" w:color="auto"/>
        <w:bottom w:val="none" w:sz="0" w:space="0" w:color="auto"/>
        <w:right w:val="none" w:sz="0" w:space="0" w:color="auto"/>
      </w:divBdr>
    </w:div>
    <w:div w:id="1369070063">
      <w:bodyDiv w:val="1"/>
      <w:marLeft w:val="0"/>
      <w:marRight w:val="0"/>
      <w:marTop w:val="0"/>
      <w:marBottom w:val="0"/>
      <w:divBdr>
        <w:top w:val="none" w:sz="0" w:space="0" w:color="auto"/>
        <w:left w:val="none" w:sz="0" w:space="0" w:color="auto"/>
        <w:bottom w:val="none" w:sz="0" w:space="0" w:color="auto"/>
        <w:right w:val="none" w:sz="0" w:space="0" w:color="auto"/>
      </w:divBdr>
    </w:div>
    <w:div w:id="1372917714">
      <w:bodyDiv w:val="1"/>
      <w:marLeft w:val="0"/>
      <w:marRight w:val="0"/>
      <w:marTop w:val="0"/>
      <w:marBottom w:val="0"/>
      <w:divBdr>
        <w:top w:val="none" w:sz="0" w:space="0" w:color="auto"/>
        <w:left w:val="none" w:sz="0" w:space="0" w:color="auto"/>
        <w:bottom w:val="none" w:sz="0" w:space="0" w:color="auto"/>
        <w:right w:val="none" w:sz="0" w:space="0" w:color="auto"/>
      </w:divBdr>
    </w:div>
    <w:div w:id="1376614046">
      <w:bodyDiv w:val="1"/>
      <w:marLeft w:val="0"/>
      <w:marRight w:val="0"/>
      <w:marTop w:val="0"/>
      <w:marBottom w:val="0"/>
      <w:divBdr>
        <w:top w:val="none" w:sz="0" w:space="0" w:color="auto"/>
        <w:left w:val="none" w:sz="0" w:space="0" w:color="auto"/>
        <w:bottom w:val="none" w:sz="0" w:space="0" w:color="auto"/>
        <w:right w:val="none" w:sz="0" w:space="0" w:color="auto"/>
      </w:divBdr>
    </w:div>
    <w:div w:id="1427002235">
      <w:bodyDiv w:val="1"/>
      <w:marLeft w:val="0"/>
      <w:marRight w:val="0"/>
      <w:marTop w:val="0"/>
      <w:marBottom w:val="0"/>
      <w:divBdr>
        <w:top w:val="none" w:sz="0" w:space="0" w:color="auto"/>
        <w:left w:val="none" w:sz="0" w:space="0" w:color="auto"/>
        <w:bottom w:val="none" w:sz="0" w:space="0" w:color="auto"/>
        <w:right w:val="none" w:sz="0" w:space="0" w:color="auto"/>
      </w:divBdr>
    </w:div>
    <w:div w:id="1427850429">
      <w:bodyDiv w:val="1"/>
      <w:marLeft w:val="0"/>
      <w:marRight w:val="0"/>
      <w:marTop w:val="0"/>
      <w:marBottom w:val="0"/>
      <w:divBdr>
        <w:top w:val="none" w:sz="0" w:space="0" w:color="auto"/>
        <w:left w:val="none" w:sz="0" w:space="0" w:color="auto"/>
        <w:bottom w:val="none" w:sz="0" w:space="0" w:color="auto"/>
        <w:right w:val="none" w:sz="0" w:space="0" w:color="auto"/>
      </w:divBdr>
    </w:div>
    <w:div w:id="1436947283">
      <w:bodyDiv w:val="1"/>
      <w:marLeft w:val="0"/>
      <w:marRight w:val="0"/>
      <w:marTop w:val="0"/>
      <w:marBottom w:val="0"/>
      <w:divBdr>
        <w:top w:val="none" w:sz="0" w:space="0" w:color="auto"/>
        <w:left w:val="none" w:sz="0" w:space="0" w:color="auto"/>
        <w:bottom w:val="none" w:sz="0" w:space="0" w:color="auto"/>
        <w:right w:val="none" w:sz="0" w:space="0" w:color="auto"/>
      </w:divBdr>
    </w:div>
    <w:div w:id="1443184384">
      <w:bodyDiv w:val="1"/>
      <w:marLeft w:val="0"/>
      <w:marRight w:val="0"/>
      <w:marTop w:val="0"/>
      <w:marBottom w:val="0"/>
      <w:divBdr>
        <w:top w:val="none" w:sz="0" w:space="0" w:color="auto"/>
        <w:left w:val="none" w:sz="0" w:space="0" w:color="auto"/>
        <w:bottom w:val="none" w:sz="0" w:space="0" w:color="auto"/>
        <w:right w:val="none" w:sz="0" w:space="0" w:color="auto"/>
      </w:divBdr>
    </w:div>
    <w:div w:id="1451971678">
      <w:bodyDiv w:val="1"/>
      <w:marLeft w:val="0"/>
      <w:marRight w:val="0"/>
      <w:marTop w:val="0"/>
      <w:marBottom w:val="0"/>
      <w:divBdr>
        <w:top w:val="none" w:sz="0" w:space="0" w:color="auto"/>
        <w:left w:val="none" w:sz="0" w:space="0" w:color="auto"/>
        <w:bottom w:val="none" w:sz="0" w:space="0" w:color="auto"/>
        <w:right w:val="none" w:sz="0" w:space="0" w:color="auto"/>
      </w:divBdr>
    </w:div>
    <w:div w:id="1495415235">
      <w:bodyDiv w:val="1"/>
      <w:marLeft w:val="0"/>
      <w:marRight w:val="0"/>
      <w:marTop w:val="0"/>
      <w:marBottom w:val="0"/>
      <w:divBdr>
        <w:top w:val="none" w:sz="0" w:space="0" w:color="auto"/>
        <w:left w:val="none" w:sz="0" w:space="0" w:color="auto"/>
        <w:bottom w:val="none" w:sz="0" w:space="0" w:color="auto"/>
        <w:right w:val="none" w:sz="0" w:space="0" w:color="auto"/>
      </w:divBdr>
    </w:div>
    <w:div w:id="1509055579">
      <w:bodyDiv w:val="1"/>
      <w:marLeft w:val="0"/>
      <w:marRight w:val="0"/>
      <w:marTop w:val="0"/>
      <w:marBottom w:val="0"/>
      <w:divBdr>
        <w:top w:val="none" w:sz="0" w:space="0" w:color="auto"/>
        <w:left w:val="none" w:sz="0" w:space="0" w:color="auto"/>
        <w:bottom w:val="none" w:sz="0" w:space="0" w:color="auto"/>
        <w:right w:val="none" w:sz="0" w:space="0" w:color="auto"/>
      </w:divBdr>
    </w:div>
    <w:div w:id="1512138142">
      <w:bodyDiv w:val="1"/>
      <w:marLeft w:val="0"/>
      <w:marRight w:val="0"/>
      <w:marTop w:val="0"/>
      <w:marBottom w:val="0"/>
      <w:divBdr>
        <w:top w:val="none" w:sz="0" w:space="0" w:color="auto"/>
        <w:left w:val="none" w:sz="0" w:space="0" w:color="auto"/>
        <w:bottom w:val="none" w:sz="0" w:space="0" w:color="auto"/>
        <w:right w:val="none" w:sz="0" w:space="0" w:color="auto"/>
      </w:divBdr>
      <w:divsChild>
        <w:div w:id="35399728">
          <w:marLeft w:val="0"/>
          <w:marRight w:val="0"/>
          <w:marTop w:val="0"/>
          <w:marBottom w:val="0"/>
          <w:divBdr>
            <w:top w:val="none" w:sz="0" w:space="0" w:color="auto"/>
            <w:left w:val="none" w:sz="0" w:space="0" w:color="auto"/>
            <w:bottom w:val="none" w:sz="0" w:space="0" w:color="auto"/>
            <w:right w:val="none" w:sz="0" w:space="0" w:color="auto"/>
          </w:divBdr>
          <w:divsChild>
            <w:div w:id="7366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10031">
      <w:bodyDiv w:val="1"/>
      <w:marLeft w:val="0"/>
      <w:marRight w:val="0"/>
      <w:marTop w:val="0"/>
      <w:marBottom w:val="0"/>
      <w:divBdr>
        <w:top w:val="none" w:sz="0" w:space="0" w:color="auto"/>
        <w:left w:val="none" w:sz="0" w:space="0" w:color="auto"/>
        <w:bottom w:val="none" w:sz="0" w:space="0" w:color="auto"/>
        <w:right w:val="none" w:sz="0" w:space="0" w:color="auto"/>
      </w:divBdr>
      <w:divsChild>
        <w:div w:id="952321144">
          <w:marLeft w:val="0"/>
          <w:marRight w:val="0"/>
          <w:marTop w:val="0"/>
          <w:marBottom w:val="0"/>
          <w:divBdr>
            <w:top w:val="none" w:sz="0" w:space="0" w:color="auto"/>
            <w:left w:val="none" w:sz="0" w:space="0" w:color="auto"/>
            <w:bottom w:val="none" w:sz="0" w:space="0" w:color="auto"/>
            <w:right w:val="none" w:sz="0" w:space="0" w:color="auto"/>
          </w:divBdr>
          <w:divsChild>
            <w:div w:id="7452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48234">
      <w:bodyDiv w:val="1"/>
      <w:marLeft w:val="0"/>
      <w:marRight w:val="0"/>
      <w:marTop w:val="0"/>
      <w:marBottom w:val="0"/>
      <w:divBdr>
        <w:top w:val="none" w:sz="0" w:space="0" w:color="auto"/>
        <w:left w:val="none" w:sz="0" w:space="0" w:color="auto"/>
        <w:bottom w:val="none" w:sz="0" w:space="0" w:color="auto"/>
        <w:right w:val="none" w:sz="0" w:space="0" w:color="auto"/>
      </w:divBdr>
    </w:div>
    <w:div w:id="1551191140">
      <w:bodyDiv w:val="1"/>
      <w:marLeft w:val="0"/>
      <w:marRight w:val="0"/>
      <w:marTop w:val="0"/>
      <w:marBottom w:val="0"/>
      <w:divBdr>
        <w:top w:val="none" w:sz="0" w:space="0" w:color="auto"/>
        <w:left w:val="none" w:sz="0" w:space="0" w:color="auto"/>
        <w:bottom w:val="none" w:sz="0" w:space="0" w:color="auto"/>
        <w:right w:val="none" w:sz="0" w:space="0" w:color="auto"/>
      </w:divBdr>
    </w:div>
    <w:div w:id="1551845129">
      <w:bodyDiv w:val="1"/>
      <w:marLeft w:val="0"/>
      <w:marRight w:val="0"/>
      <w:marTop w:val="0"/>
      <w:marBottom w:val="0"/>
      <w:divBdr>
        <w:top w:val="none" w:sz="0" w:space="0" w:color="auto"/>
        <w:left w:val="none" w:sz="0" w:space="0" w:color="auto"/>
        <w:bottom w:val="none" w:sz="0" w:space="0" w:color="auto"/>
        <w:right w:val="none" w:sz="0" w:space="0" w:color="auto"/>
      </w:divBdr>
    </w:div>
    <w:div w:id="1563953525">
      <w:bodyDiv w:val="1"/>
      <w:marLeft w:val="0"/>
      <w:marRight w:val="0"/>
      <w:marTop w:val="0"/>
      <w:marBottom w:val="0"/>
      <w:divBdr>
        <w:top w:val="none" w:sz="0" w:space="0" w:color="auto"/>
        <w:left w:val="none" w:sz="0" w:space="0" w:color="auto"/>
        <w:bottom w:val="none" w:sz="0" w:space="0" w:color="auto"/>
        <w:right w:val="none" w:sz="0" w:space="0" w:color="auto"/>
      </w:divBdr>
    </w:div>
    <w:div w:id="1564485233">
      <w:bodyDiv w:val="1"/>
      <w:marLeft w:val="0"/>
      <w:marRight w:val="0"/>
      <w:marTop w:val="0"/>
      <w:marBottom w:val="0"/>
      <w:divBdr>
        <w:top w:val="none" w:sz="0" w:space="0" w:color="auto"/>
        <w:left w:val="none" w:sz="0" w:space="0" w:color="auto"/>
        <w:bottom w:val="none" w:sz="0" w:space="0" w:color="auto"/>
        <w:right w:val="none" w:sz="0" w:space="0" w:color="auto"/>
      </w:divBdr>
    </w:div>
    <w:div w:id="1618826354">
      <w:bodyDiv w:val="1"/>
      <w:marLeft w:val="0"/>
      <w:marRight w:val="0"/>
      <w:marTop w:val="0"/>
      <w:marBottom w:val="0"/>
      <w:divBdr>
        <w:top w:val="none" w:sz="0" w:space="0" w:color="auto"/>
        <w:left w:val="none" w:sz="0" w:space="0" w:color="auto"/>
        <w:bottom w:val="none" w:sz="0" w:space="0" w:color="auto"/>
        <w:right w:val="none" w:sz="0" w:space="0" w:color="auto"/>
      </w:divBdr>
    </w:div>
    <w:div w:id="1634016807">
      <w:bodyDiv w:val="1"/>
      <w:marLeft w:val="0"/>
      <w:marRight w:val="0"/>
      <w:marTop w:val="0"/>
      <w:marBottom w:val="0"/>
      <w:divBdr>
        <w:top w:val="none" w:sz="0" w:space="0" w:color="auto"/>
        <w:left w:val="none" w:sz="0" w:space="0" w:color="auto"/>
        <w:bottom w:val="none" w:sz="0" w:space="0" w:color="auto"/>
        <w:right w:val="none" w:sz="0" w:space="0" w:color="auto"/>
      </w:divBdr>
    </w:div>
    <w:div w:id="1634945613">
      <w:bodyDiv w:val="1"/>
      <w:marLeft w:val="0"/>
      <w:marRight w:val="0"/>
      <w:marTop w:val="0"/>
      <w:marBottom w:val="0"/>
      <w:divBdr>
        <w:top w:val="none" w:sz="0" w:space="0" w:color="auto"/>
        <w:left w:val="none" w:sz="0" w:space="0" w:color="auto"/>
        <w:bottom w:val="none" w:sz="0" w:space="0" w:color="auto"/>
        <w:right w:val="none" w:sz="0" w:space="0" w:color="auto"/>
      </w:divBdr>
      <w:divsChild>
        <w:div w:id="1110516104">
          <w:marLeft w:val="0"/>
          <w:marRight w:val="0"/>
          <w:marTop w:val="0"/>
          <w:marBottom w:val="0"/>
          <w:divBdr>
            <w:top w:val="none" w:sz="0" w:space="0" w:color="auto"/>
            <w:left w:val="none" w:sz="0" w:space="0" w:color="auto"/>
            <w:bottom w:val="none" w:sz="0" w:space="0" w:color="auto"/>
            <w:right w:val="none" w:sz="0" w:space="0" w:color="auto"/>
          </w:divBdr>
          <w:divsChild>
            <w:div w:id="1117332818">
              <w:marLeft w:val="0"/>
              <w:marRight w:val="0"/>
              <w:marTop w:val="0"/>
              <w:marBottom w:val="0"/>
              <w:divBdr>
                <w:top w:val="none" w:sz="0" w:space="0" w:color="auto"/>
                <w:left w:val="none" w:sz="0" w:space="0" w:color="auto"/>
                <w:bottom w:val="none" w:sz="0" w:space="0" w:color="auto"/>
                <w:right w:val="none" w:sz="0" w:space="0" w:color="auto"/>
              </w:divBdr>
              <w:divsChild>
                <w:div w:id="2130051714">
                  <w:marLeft w:val="0"/>
                  <w:marRight w:val="0"/>
                  <w:marTop w:val="0"/>
                  <w:marBottom w:val="0"/>
                  <w:divBdr>
                    <w:top w:val="none" w:sz="0" w:space="0" w:color="auto"/>
                    <w:left w:val="none" w:sz="0" w:space="0" w:color="auto"/>
                    <w:bottom w:val="none" w:sz="0" w:space="0" w:color="auto"/>
                    <w:right w:val="none" w:sz="0" w:space="0" w:color="auto"/>
                  </w:divBdr>
                  <w:divsChild>
                    <w:div w:id="372996658">
                      <w:marLeft w:val="0"/>
                      <w:marRight w:val="0"/>
                      <w:marTop w:val="0"/>
                      <w:marBottom w:val="0"/>
                      <w:divBdr>
                        <w:top w:val="none" w:sz="0" w:space="0" w:color="auto"/>
                        <w:left w:val="none" w:sz="0" w:space="0" w:color="auto"/>
                        <w:bottom w:val="none" w:sz="0" w:space="0" w:color="auto"/>
                        <w:right w:val="none" w:sz="0" w:space="0" w:color="auto"/>
                      </w:divBdr>
                      <w:divsChild>
                        <w:div w:id="1909920379">
                          <w:marLeft w:val="0"/>
                          <w:marRight w:val="0"/>
                          <w:marTop w:val="0"/>
                          <w:marBottom w:val="0"/>
                          <w:divBdr>
                            <w:top w:val="none" w:sz="0" w:space="0" w:color="auto"/>
                            <w:left w:val="none" w:sz="0" w:space="0" w:color="auto"/>
                            <w:bottom w:val="none" w:sz="0" w:space="0" w:color="auto"/>
                            <w:right w:val="none" w:sz="0" w:space="0" w:color="auto"/>
                          </w:divBdr>
                          <w:divsChild>
                            <w:div w:id="272328771">
                              <w:marLeft w:val="0"/>
                              <w:marRight w:val="0"/>
                              <w:marTop w:val="0"/>
                              <w:marBottom w:val="0"/>
                              <w:divBdr>
                                <w:top w:val="none" w:sz="0" w:space="0" w:color="auto"/>
                                <w:left w:val="none" w:sz="0" w:space="0" w:color="auto"/>
                                <w:bottom w:val="none" w:sz="0" w:space="0" w:color="auto"/>
                                <w:right w:val="none" w:sz="0" w:space="0" w:color="auto"/>
                              </w:divBdr>
                              <w:divsChild>
                                <w:div w:id="791093714">
                                  <w:marLeft w:val="0"/>
                                  <w:marRight w:val="0"/>
                                  <w:marTop w:val="0"/>
                                  <w:marBottom w:val="0"/>
                                  <w:divBdr>
                                    <w:top w:val="none" w:sz="0" w:space="0" w:color="auto"/>
                                    <w:left w:val="none" w:sz="0" w:space="0" w:color="auto"/>
                                    <w:bottom w:val="none" w:sz="0" w:space="0" w:color="auto"/>
                                    <w:right w:val="none" w:sz="0" w:space="0" w:color="auto"/>
                                  </w:divBdr>
                                  <w:divsChild>
                                    <w:div w:id="1611861765">
                                      <w:marLeft w:val="0"/>
                                      <w:marRight w:val="0"/>
                                      <w:marTop w:val="0"/>
                                      <w:marBottom w:val="0"/>
                                      <w:divBdr>
                                        <w:top w:val="none" w:sz="0" w:space="0" w:color="auto"/>
                                        <w:left w:val="none" w:sz="0" w:space="0" w:color="auto"/>
                                        <w:bottom w:val="none" w:sz="0" w:space="0" w:color="auto"/>
                                        <w:right w:val="none" w:sz="0" w:space="0" w:color="auto"/>
                                      </w:divBdr>
                                      <w:divsChild>
                                        <w:div w:id="20476204">
                                          <w:marLeft w:val="0"/>
                                          <w:marRight w:val="0"/>
                                          <w:marTop w:val="0"/>
                                          <w:marBottom w:val="0"/>
                                          <w:divBdr>
                                            <w:top w:val="none" w:sz="0" w:space="0" w:color="auto"/>
                                            <w:left w:val="none" w:sz="0" w:space="0" w:color="auto"/>
                                            <w:bottom w:val="none" w:sz="0" w:space="0" w:color="auto"/>
                                            <w:right w:val="none" w:sz="0" w:space="0" w:color="auto"/>
                                          </w:divBdr>
                                          <w:divsChild>
                                            <w:div w:id="13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5528714">
      <w:bodyDiv w:val="1"/>
      <w:marLeft w:val="0"/>
      <w:marRight w:val="0"/>
      <w:marTop w:val="0"/>
      <w:marBottom w:val="0"/>
      <w:divBdr>
        <w:top w:val="none" w:sz="0" w:space="0" w:color="auto"/>
        <w:left w:val="none" w:sz="0" w:space="0" w:color="auto"/>
        <w:bottom w:val="none" w:sz="0" w:space="0" w:color="auto"/>
        <w:right w:val="none" w:sz="0" w:space="0" w:color="auto"/>
      </w:divBdr>
      <w:divsChild>
        <w:div w:id="360017727">
          <w:marLeft w:val="0"/>
          <w:marRight w:val="0"/>
          <w:marTop w:val="0"/>
          <w:marBottom w:val="0"/>
          <w:divBdr>
            <w:top w:val="none" w:sz="0" w:space="0" w:color="auto"/>
            <w:left w:val="none" w:sz="0" w:space="0" w:color="auto"/>
            <w:bottom w:val="none" w:sz="0" w:space="0" w:color="auto"/>
            <w:right w:val="none" w:sz="0" w:space="0" w:color="auto"/>
          </w:divBdr>
          <w:divsChild>
            <w:div w:id="1777024035">
              <w:marLeft w:val="0"/>
              <w:marRight w:val="0"/>
              <w:marTop w:val="0"/>
              <w:marBottom w:val="0"/>
              <w:divBdr>
                <w:top w:val="none" w:sz="0" w:space="0" w:color="auto"/>
                <w:left w:val="none" w:sz="0" w:space="0" w:color="auto"/>
                <w:bottom w:val="none" w:sz="0" w:space="0" w:color="auto"/>
                <w:right w:val="none" w:sz="0" w:space="0" w:color="auto"/>
              </w:divBdr>
              <w:divsChild>
                <w:div w:id="864439955">
                  <w:marLeft w:val="0"/>
                  <w:marRight w:val="0"/>
                  <w:marTop w:val="0"/>
                  <w:marBottom w:val="0"/>
                  <w:divBdr>
                    <w:top w:val="none" w:sz="0" w:space="0" w:color="auto"/>
                    <w:left w:val="none" w:sz="0" w:space="0" w:color="auto"/>
                    <w:bottom w:val="none" w:sz="0" w:space="0" w:color="auto"/>
                    <w:right w:val="none" w:sz="0" w:space="0" w:color="auto"/>
                  </w:divBdr>
                  <w:divsChild>
                    <w:div w:id="997612668">
                      <w:marLeft w:val="0"/>
                      <w:marRight w:val="0"/>
                      <w:marTop w:val="0"/>
                      <w:marBottom w:val="0"/>
                      <w:divBdr>
                        <w:top w:val="none" w:sz="0" w:space="0" w:color="auto"/>
                        <w:left w:val="none" w:sz="0" w:space="0" w:color="auto"/>
                        <w:bottom w:val="none" w:sz="0" w:space="0" w:color="auto"/>
                        <w:right w:val="none" w:sz="0" w:space="0" w:color="auto"/>
                      </w:divBdr>
                      <w:divsChild>
                        <w:div w:id="434525268">
                          <w:marLeft w:val="0"/>
                          <w:marRight w:val="0"/>
                          <w:marTop w:val="0"/>
                          <w:marBottom w:val="0"/>
                          <w:divBdr>
                            <w:top w:val="none" w:sz="0" w:space="0" w:color="auto"/>
                            <w:left w:val="none" w:sz="0" w:space="0" w:color="auto"/>
                            <w:bottom w:val="none" w:sz="0" w:space="0" w:color="auto"/>
                            <w:right w:val="none" w:sz="0" w:space="0" w:color="auto"/>
                          </w:divBdr>
                          <w:divsChild>
                            <w:div w:id="97799931">
                              <w:marLeft w:val="0"/>
                              <w:marRight w:val="0"/>
                              <w:marTop w:val="0"/>
                              <w:marBottom w:val="0"/>
                              <w:divBdr>
                                <w:top w:val="none" w:sz="0" w:space="0" w:color="auto"/>
                                <w:left w:val="none" w:sz="0" w:space="0" w:color="auto"/>
                                <w:bottom w:val="none" w:sz="0" w:space="0" w:color="auto"/>
                                <w:right w:val="none" w:sz="0" w:space="0" w:color="auto"/>
                              </w:divBdr>
                              <w:divsChild>
                                <w:div w:id="91973553">
                                  <w:marLeft w:val="0"/>
                                  <w:marRight w:val="0"/>
                                  <w:marTop w:val="0"/>
                                  <w:marBottom w:val="0"/>
                                  <w:divBdr>
                                    <w:top w:val="none" w:sz="0" w:space="0" w:color="auto"/>
                                    <w:left w:val="none" w:sz="0" w:space="0" w:color="auto"/>
                                    <w:bottom w:val="none" w:sz="0" w:space="0" w:color="auto"/>
                                    <w:right w:val="none" w:sz="0" w:space="0" w:color="auto"/>
                                  </w:divBdr>
                                  <w:divsChild>
                                    <w:div w:id="64979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19480">
      <w:bodyDiv w:val="1"/>
      <w:marLeft w:val="0"/>
      <w:marRight w:val="0"/>
      <w:marTop w:val="0"/>
      <w:marBottom w:val="0"/>
      <w:divBdr>
        <w:top w:val="none" w:sz="0" w:space="0" w:color="auto"/>
        <w:left w:val="none" w:sz="0" w:space="0" w:color="auto"/>
        <w:bottom w:val="none" w:sz="0" w:space="0" w:color="auto"/>
        <w:right w:val="none" w:sz="0" w:space="0" w:color="auto"/>
      </w:divBdr>
    </w:div>
    <w:div w:id="1708288115">
      <w:bodyDiv w:val="1"/>
      <w:marLeft w:val="0"/>
      <w:marRight w:val="0"/>
      <w:marTop w:val="0"/>
      <w:marBottom w:val="0"/>
      <w:divBdr>
        <w:top w:val="none" w:sz="0" w:space="0" w:color="auto"/>
        <w:left w:val="none" w:sz="0" w:space="0" w:color="auto"/>
        <w:bottom w:val="none" w:sz="0" w:space="0" w:color="auto"/>
        <w:right w:val="none" w:sz="0" w:space="0" w:color="auto"/>
      </w:divBdr>
    </w:div>
    <w:div w:id="1712878811">
      <w:bodyDiv w:val="1"/>
      <w:marLeft w:val="0"/>
      <w:marRight w:val="0"/>
      <w:marTop w:val="0"/>
      <w:marBottom w:val="0"/>
      <w:divBdr>
        <w:top w:val="none" w:sz="0" w:space="0" w:color="auto"/>
        <w:left w:val="none" w:sz="0" w:space="0" w:color="auto"/>
        <w:bottom w:val="none" w:sz="0" w:space="0" w:color="auto"/>
        <w:right w:val="none" w:sz="0" w:space="0" w:color="auto"/>
      </w:divBdr>
    </w:div>
    <w:div w:id="1713922107">
      <w:bodyDiv w:val="1"/>
      <w:marLeft w:val="0"/>
      <w:marRight w:val="0"/>
      <w:marTop w:val="0"/>
      <w:marBottom w:val="0"/>
      <w:divBdr>
        <w:top w:val="none" w:sz="0" w:space="0" w:color="auto"/>
        <w:left w:val="none" w:sz="0" w:space="0" w:color="auto"/>
        <w:bottom w:val="none" w:sz="0" w:space="0" w:color="auto"/>
        <w:right w:val="none" w:sz="0" w:space="0" w:color="auto"/>
      </w:divBdr>
    </w:div>
    <w:div w:id="1735859782">
      <w:bodyDiv w:val="1"/>
      <w:marLeft w:val="0"/>
      <w:marRight w:val="0"/>
      <w:marTop w:val="0"/>
      <w:marBottom w:val="0"/>
      <w:divBdr>
        <w:top w:val="none" w:sz="0" w:space="0" w:color="auto"/>
        <w:left w:val="none" w:sz="0" w:space="0" w:color="auto"/>
        <w:bottom w:val="none" w:sz="0" w:space="0" w:color="auto"/>
        <w:right w:val="none" w:sz="0" w:space="0" w:color="auto"/>
      </w:divBdr>
    </w:div>
    <w:div w:id="1737895874">
      <w:bodyDiv w:val="1"/>
      <w:marLeft w:val="0"/>
      <w:marRight w:val="0"/>
      <w:marTop w:val="0"/>
      <w:marBottom w:val="0"/>
      <w:divBdr>
        <w:top w:val="none" w:sz="0" w:space="0" w:color="auto"/>
        <w:left w:val="none" w:sz="0" w:space="0" w:color="auto"/>
        <w:bottom w:val="none" w:sz="0" w:space="0" w:color="auto"/>
        <w:right w:val="none" w:sz="0" w:space="0" w:color="auto"/>
      </w:divBdr>
    </w:div>
    <w:div w:id="1757749187">
      <w:bodyDiv w:val="1"/>
      <w:marLeft w:val="0"/>
      <w:marRight w:val="0"/>
      <w:marTop w:val="0"/>
      <w:marBottom w:val="0"/>
      <w:divBdr>
        <w:top w:val="none" w:sz="0" w:space="0" w:color="auto"/>
        <w:left w:val="none" w:sz="0" w:space="0" w:color="auto"/>
        <w:bottom w:val="none" w:sz="0" w:space="0" w:color="auto"/>
        <w:right w:val="none" w:sz="0" w:space="0" w:color="auto"/>
      </w:divBdr>
    </w:div>
    <w:div w:id="1759790250">
      <w:bodyDiv w:val="1"/>
      <w:marLeft w:val="0"/>
      <w:marRight w:val="0"/>
      <w:marTop w:val="0"/>
      <w:marBottom w:val="0"/>
      <w:divBdr>
        <w:top w:val="none" w:sz="0" w:space="0" w:color="auto"/>
        <w:left w:val="none" w:sz="0" w:space="0" w:color="auto"/>
        <w:bottom w:val="none" w:sz="0" w:space="0" w:color="auto"/>
        <w:right w:val="none" w:sz="0" w:space="0" w:color="auto"/>
      </w:divBdr>
      <w:divsChild>
        <w:div w:id="1407144450">
          <w:marLeft w:val="0"/>
          <w:marRight w:val="0"/>
          <w:marTop w:val="0"/>
          <w:marBottom w:val="0"/>
          <w:divBdr>
            <w:top w:val="none" w:sz="0" w:space="0" w:color="auto"/>
            <w:left w:val="none" w:sz="0" w:space="0" w:color="auto"/>
            <w:bottom w:val="none" w:sz="0" w:space="0" w:color="auto"/>
            <w:right w:val="none" w:sz="0" w:space="0" w:color="auto"/>
          </w:divBdr>
          <w:divsChild>
            <w:div w:id="290748026">
              <w:marLeft w:val="0"/>
              <w:marRight w:val="0"/>
              <w:marTop w:val="0"/>
              <w:marBottom w:val="0"/>
              <w:divBdr>
                <w:top w:val="none" w:sz="0" w:space="0" w:color="auto"/>
                <w:left w:val="none" w:sz="0" w:space="0" w:color="auto"/>
                <w:bottom w:val="none" w:sz="0" w:space="0" w:color="auto"/>
                <w:right w:val="none" w:sz="0" w:space="0" w:color="auto"/>
              </w:divBdr>
            </w:div>
          </w:divsChild>
        </w:div>
        <w:div w:id="940525500">
          <w:marLeft w:val="0"/>
          <w:marRight w:val="0"/>
          <w:marTop w:val="0"/>
          <w:marBottom w:val="0"/>
          <w:divBdr>
            <w:top w:val="none" w:sz="0" w:space="0" w:color="auto"/>
            <w:left w:val="none" w:sz="0" w:space="0" w:color="auto"/>
            <w:bottom w:val="none" w:sz="0" w:space="0" w:color="auto"/>
            <w:right w:val="none" w:sz="0" w:space="0" w:color="auto"/>
          </w:divBdr>
          <w:divsChild>
            <w:div w:id="547227436">
              <w:marLeft w:val="0"/>
              <w:marRight w:val="0"/>
              <w:marTop w:val="0"/>
              <w:marBottom w:val="0"/>
              <w:divBdr>
                <w:top w:val="none" w:sz="0" w:space="0" w:color="auto"/>
                <w:left w:val="none" w:sz="0" w:space="0" w:color="auto"/>
                <w:bottom w:val="none" w:sz="0" w:space="0" w:color="auto"/>
                <w:right w:val="none" w:sz="0" w:space="0" w:color="auto"/>
              </w:divBdr>
            </w:div>
          </w:divsChild>
        </w:div>
        <w:div w:id="636229189">
          <w:marLeft w:val="0"/>
          <w:marRight w:val="0"/>
          <w:marTop w:val="0"/>
          <w:marBottom w:val="0"/>
          <w:divBdr>
            <w:top w:val="none" w:sz="0" w:space="0" w:color="auto"/>
            <w:left w:val="none" w:sz="0" w:space="0" w:color="auto"/>
            <w:bottom w:val="none" w:sz="0" w:space="0" w:color="auto"/>
            <w:right w:val="none" w:sz="0" w:space="0" w:color="auto"/>
          </w:divBdr>
          <w:divsChild>
            <w:div w:id="66061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19689">
      <w:bodyDiv w:val="1"/>
      <w:marLeft w:val="0"/>
      <w:marRight w:val="0"/>
      <w:marTop w:val="0"/>
      <w:marBottom w:val="0"/>
      <w:divBdr>
        <w:top w:val="none" w:sz="0" w:space="0" w:color="auto"/>
        <w:left w:val="none" w:sz="0" w:space="0" w:color="auto"/>
        <w:bottom w:val="none" w:sz="0" w:space="0" w:color="auto"/>
        <w:right w:val="none" w:sz="0" w:space="0" w:color="auto"/>
      </w:divBdr>
    </w:div>
    <w:div w:id="1806971187">
      <w:bodyDiv w:val="1"/>
      <w:marLeft w:val="0"/>
      <w:marRight w:val="0"/>
      <w:marTop w:val="0"/>
      <w:marBottom w:val="0"/>
      <w:divBdr>
        <w:top w:val="none" w:sz="0" w:space="0" w:color="auto"/>
        <w:left w:val="none" w:sz="0" w:space="0" w:color="auto"/>
        <w:bottom w:val="none" w:sz="0" w:space="0" w:color="auto"/>
        <w:right w:val="none" w:sz="0" w:space="0" w:color="auto"/>
      </w:divBdr>
      <w:divsChild>
        <w:div w:id="527329988">
          <w:marLeft w:val="0"/>
          <w:marRight w:val="0"/>
          <w:marTop w:val="0"/>
          <w:marBottom w:val="0"/>
          <w:divBdr>
            <w:top w:val="none" w:sz="0" w:space="0" w:color="auto"/>
            <w:left w:val="none" w:sz="0" w:space="0" w:color="auto"/>
            <w:bottom w:val="none" w:sz="0" w:space="0" w:color="auto"/>
            <w:right w:val="none" w:sz="0" w:space="0" w:color="auto"/>
          </w:divBdr>
          <w:divsChild>
            <w:div w:id="1017661326">
              <w:marLeft w:val="0"/>
              <w:marRight w:val="0"/>
              <w:marTop w:val="0"/>
              <w:marBottom w:val="0"/>
              <w:divBdr>
                <w:top w:val="none" w:sz="0" w:space="0" w:color="auto"/>
                <w:left w:val="none" w:sz="0" w:space="0" w:color="auto"/>
                <w:bottom w:val="none" w:sz="0" w:space="0" w:color="auto"/>
                <w:right w:val="none" w:sz="0" w:space="0" w:color="auto"/>
              </w:divBdr>
            </w:div>
          </w:divsChild>
        </w:div>
        <w:div w:id="903107332">
          <w:marLeft w:val="0"/>
          <w:marRight w:val="0"/>
          <w:marTop w:val="0"/>
          <w:marBottom w:val="0"/>
          <w:divBdr>
            <w:top w:val="none" w:sz="0" w:space="0" w:color="auto"/>
            <w:left w:val="none" w:sz="0" w:space="0" w:color="auto"/>
            <w:bottom w:val="none" w:sz="0" w:space="0" w:color="auto"/>
            <w:right w:val="none" w:sz="0" w:space="0" w:color="auto"/>
          </w:divBdr>
          <w:divsChild>
            <w:div w:id="898513018">
              <w:marLeft w:val="0"/>
              <w:marRight w:val="0"/>
              <w:marTop w:val="0"/>
              <w:marBottom w:val="0"/>
              <w:divBdr>
                <w:top w:val="none" w:sz="0" w:space="0" w:color="auto"/>
                <w:left w:val="none" w:sz="0" w:space="0" w:color="auto"/>
                <w:bottom w:val="none" w:sz="0" w:space="0" w:color="auto"/>
                <w:right w:val="none" w:sz="0" w:space="0" w:color="auto"/>
              </w:divBdr>
            </w:div>
          </w:divsChild>
        </w:div>
        <w:div w:id="570240960">
          <w:marLeft w:val="0"/>
          <w:marRight w:val="0"/>
          <w:marTop w:val="0"/>
          <w:marBottom w:val="0"/>
          <w:divBdr>
            <w:top w:val="none" w:sz="0" w:space="0" w:color="auto"/>
            <w:left w:val="none" w:sz="0" w:space="0" w:color="auto"/>
            <w:bottom w:val="none" w:sz="0" w:space="0" w:color="auto"/>
            <w:right w:val="none" w:sz="0" w:space="0" w:color="auto"/>
          </w:divBdr>
          <w:divsChild>
            <w:div w:id="104120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32038">
      <w:bodyDiv w:val="1"/>
      <w:marLeft w:val="0"/>
      <w:marRight w:val="0"/>
      <w:marTop w:val="0"/>
      <w:marBottom w:val="0"/>
      <w:divBdr>
        <w:top w:val="none" w:sz="0" w:space="0" w:color="auto"/>
        <w:left w:val="none" w:sz="0" w:space="0" w:color="auto"/>
        <w:bottom w:val="none" w:sz="0" w:space="0" w:color="auto"/>
        <w:right w:val="none" w:sz="0" w:space="0" w:color="auto"/>
      </w:divBdr>
      <w:divsChild>
        <w:div w:id="1660114445">
          <w:marLeft w:val="0"/>
          <w:marRight w:val="0"/>
          <w:marTop w:val="0"/>
          <w:marBottom w:val="0"/>
          <w:divBdr>
            <w:top w:val="none" w:sz="0" w:space="0" w:color="auto"/>
            <w:left w:val="none" w:sz="0" w:space="0" w:color="auto"/>
            <w:bottom w:val="none" w:sz="0" w:space="0" w:color="auto"/>
            <w:right w:val="none" w:sz="0" w:space="0" w:color="auto"/>
          </w:divBdr>
          <w:divsChild>
            <w:div w:id="1194030611">
              <w:marLeft w:val="0"/>
              <w:marRight w:val="0"/>
              <w:marTop w:val="0"/>
              <w:marBottom w:val="0"/>
              <w:divBdr>
                <w:top w:val="none" w:sz="0" w:space="0" w:color="auto"/>
                <w:left w:val="none" w:sz="0" w:space="0" w:color="auto"/>
                <w:bottom w:val="none" w:sz="0" w:space="0" w:color="auto"/>
                <w:right w:val="none" w:sz="0" w:space="0" w:color="auto"/>
              </w:divBdr>
            </w:div>
          </w:divsChild>
        </w:div>
        <w:div w:id="623924156">
          <w:marLeft w:val="0"/>
          <w:marRight w:val="0"/>
          <w:marTop w:val="0"/>
          <w:marBottom w:val="0"/>
          <w:divBdr>
            <w:top w:val="none" w:sz="0" w:space="0" w:color="auto"/>
            <w:left w:val="none" w:sz="0" w:space="0" w:color="auto"/>
            <w:bottom w:val="none" w:sz="0" w:space="0" w:color="auto"/>
            <w:right w:val="none" w:sz="0" w:space="0" w:color="auto"/>
          </w:divBdr>
          <w:divsChild>
            <w:div w:id="5324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53355">
      <w:bodyDiv w:val="1"/>
      <w:marLeft w:val="0"/>
      <w:marRight w:val="0"/>
      <w:marTop w:val="0"/>
      <w:marBottom w:val="0"/>
      <w:divBdr>
        <w:top w:val="none" w:sz="0" w:space="0" w:color="auto"/>
        <w:left w:val="none" w:sz="0" w:space="0" w:color="auto"/>
        <w:bottom w:val="none" w:sz="0" w:space="0" w:color="auto"/>
        <w:right w:val="none" w:sz="0" w:space="0" w:color="auto"/>
      </w:divBdr>
    </w:div>
    <w:div w:id="1914923365">
      <w:bodyDiv w:val="1"/>
      <w:marLeft w:val="0"/>
      <w:marRight w:val="0"/>
      <w:marTop w:val="0"/>
      <w:marBottom w:val="0"/>
      <w:divBdr>
        <w:top w:val="none" w:sz="0" w:space="0" w:color="auto"/>
        <w:left w:val="none" w:sz="0" w:space="0" w:color="auto"/>
        <w:bottom w:val="none" w:sz="0" w:space="0" w:color="auto"/>
        <w:right w:val="none" w:sz="0" w:space="0" w:color="auto"/>
      </w:divBdr>
      <w:divsChild>
        <w:div w:id="1451970034">
          <w:marLeft w:val="0"/>
          <w:marRight w:val="0"/>
          <w:marTop w:val="0"/>
          <w:marBottom w:val="0"/>
          <w:divBdr>
            <w:top w:val="none" w:sz="0" w:space="0" w:color="auto"/>
            <w:left w:val="none" w:sz="0" w:space="0" w:color="auto"/>
            <w:bottom w:val="none" w:sz="0" w:space="0" w:color="auto"/>
            <w:right w:val="none" w:sz="0" w:space="0" w:color="auto"/>
          </w:divBdr>
          <w:divsChild>
            <w:div w:id="134362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7405">
      <w:bodyDiv w:val="1"/>
      <w:marLeft w:val="0"/>
      <w:marRight w:val="0"/>
      <w:marTop w:val="0"/>
      <w:marBottom w:val="0"/>
      <w:divBdr>
        <w:top w:val="none" w:sz="0" w:space="0" w:color="auto"/>
        <w:left w:val="none" w:sz="0" w:space="0" w:color="auto"/>
        <w:bottom w:val="none" w:sz="0" w:space="0" w:color="auto"/>
        <w:right w:val="none" w:sz="0" w:space="0" w:color="auto"/>
      </w:divBdr>
    </w:div>
    <w:div w:id="1955289893">
      <w:bodyDiv w:val="1"/>
      <w:marLeft w:val="0"/>
      <w:marRight w:val="0"/>
      <w:marTop w:val="0"/>
      <w:marBottom w:val="0"/>
      <w:divBdr>
        <w:top w:val="none" w:sz="0" w:space="0" w:color="auto"/>
        <w:left w:val="none" w:sz="0" w:space="0" w:color="auto"/>
        <w:bottom w:val="none" w:sz="0" w:space="0" w:color="auto"/>
        <w:right w:val="none" w:sz="0" w:space="0" w:color="auto"/>
      </w:divBdr>
    </w:div>
    <w:div w:id="1964538167">
      <w:bodyDiv w:val="1"/>
      <w:marLeft w:val="0"/>
      <w:marRight w:val="0"/>
      <w:marTop w:val="0"/>
      <w:marBottom w:val="0"/>
      <w:divBdr>
        <w:top w:val="none" w:sz="0" w:space="0" w:color="auto"/>
        <w:left w:val="none" w:sz="0" w:space="0" w:color="auto"/>
        <w:bottom w:val="none" w:sz="0" w:space="0" w:color="auto"/>
        <w:right w:val="none" w:sz="0" w:space="0" w:color="auto"/>
      </w:divBdr>
    </w:div>
    <w:div w:id="2033412302">
      <w:bodyDiv w:val="1"/>
      <w:marLeft w:val="0"/>
      <w:marRight w:val="0"/>
      <w:marTop w:val="0"/>
      <w:marBottom w:val="0"/>
      <w:divBdr>
        <w:top w:val="none" w:sz="0" w:space="0" w:color="auto"/>
        <w:left w:val="none" w:sz="0" w:space="0" w:color="auto"/>
        <w:bottom w:val="none" w:sz="0" w:space="0" w:color="auto"/>
        <w:right w:val="none" w:sz="0" w:space="0" w:color="auto"/>
      </w:divBdr>
    </w:div>
    <w:div w:id="2123187314">
      <w:bodyDiv w:val="1"/>
      <w:marLeft w:val="0"/>
      <w:marRight w:val="0"/>
      <w:marTop w:val="0"/>
      <w:marBottom w:val="0"/>
      <w:divBdr>
        <w:top w:val="none" w:sz="0" w:space="0" w:color="auto"/>
        <w:left w:val="none" w:sz="0" w:space="0" w:color="auto"/>
        <w:bottom w:val="none" w:sz="0" w:space="0" w:color="auto"/>
        <w:right w:val="none" w:sz="0" w:space="0" w:color="auto"/>
      </w:divBdr>
      <w:divsChild>
        <w:div w:id="92285231">
          <w:marLeft w:val="0"/>
          <w:marRight w:val="0"/>
          <w:marTop w:val="0"/>
          <w:marBottom w:val="0"/>
          <w:divBdr>
            <w:top w:val="none" w:sz="0" w:space="0" w:color="auto"/>
            <w:left w:val="none" w:sz="0" w:space="0" w:color="auto"/>
            <w:bottom w:val="none" w:sz="0" w:space="0" w:color="auto"/>
            <w:right w:val="none" w:sz="0" w:space="0" w:color="auto"/>
          </w:divBdr>
          <w:divsChild>
            <w:div w:id="1568346267">
              <w:marLeft w:val="0"/>
              <w:marRight w:val="0"/>
              <w:marTop w:val="0"/>
              <w:marBottom w:val="0"/>
              <w:divBdr>
                <w:top w:val="none" w:sz="0" w:space="0" w:color="auto"/>
                <w:left w:val="none" w:sz="0" w:space="0" w:color="auto"/>
                <w:bottom w:val="none" w:sz="0" w:space="0" w:color="auto"/>
                <w:right w:val="none" w:sz="0" w:space="0" w:color="auto"/>
              </w:divBdr>
              <w:divsChild>
                <w:div w:id="2122259077">
                  <w:marLeft w:val="0"/>
                  <w:marRight w:val="0"/>
                  <w:marTop w:val="0"/>
                  <w:marBottom w:val="0"/>
                  <w:divBdr>
                    <w:top w:val="none" w:sz="0" w:space="0" w:color="auto"/>
                    <w:left w:val="none" w:sz="0" w:space="0" w:color="auto"/>
                    <w:bottom w:val="none" w:sz="0" w:space="0" w:color="auto"/>
                    <w:right w:val="none" w:sz="0" w:space="0" w:color="auto"/>
                  </w:divBdr>
                  <w:divsChild>
                    <w:div w:id="674189311">
                      <w:marLeft w:val="0"/>
                      <w:marRight w:val="0"/>
                      <w:marTop w:val="0"/>
                      <w:marBottom w:val="0"/>
                      <w:divBdr>
                        <w:top w:val="none" w:sz="0" w:space="0" w:color="auto"/>
                        <w:left w:val="none" w:sz="0" w:space="0" w:color="auto"/>
                        <w:bottom w:val="none" w:sz="0" w:space="0" w:color="auto"/>
                        <w:right w:val="none" w:sz="0" w:space="0" w:color="auto"/>
                      </w:divBdr>
                      <w:divsChild>
                        <w:div w:id="1655647373">
                          <w:marLeft w:val="0"/>
                          <w:marRight w:val="0"/>
                          <w:marTop w:val="0"/>
                          <w:marBottom w:val="0"/>
                          <w:divBdr>
                            <w:top w:val="none" w:sz="0" w:space="0" w:color="auto"/>
                            <w:left w:val="none" w:sz="0" w:space="0" w:color="auto"/>
                            <w:bottom w:val="none" w:sz="0" w:space="0" w:color="auto"/>
                            <w:right w:val="none" w:sz="0" w:space="0" w:color="auto"/>
                          </w:divBdr>
                          <w:divsChild>
                            <w:div w:id="838891454">
                              <w:marLeft w:val="0"/>
                              <w:marRight w:val="0"/>
                              <w:marTop w:val="0"/>
                              <w:marBottom w:val="0"/>
                              <w:divBdr>
                                <w:top w:val="none" w:sz="0" w:space="0" w:color="auto"/>
                                <w:left w:val="none" w:sz="0" w:space="0" w:color="auto"/>
                                <w:bottom w:val="none" w:sz="0" w:space="0" w:color="auto"/>
                                <w:right w:val="none" w:sz="0" w:space="0" w:color="auto"/>
                              </w:divBdr>
                              <w:divsChild>
                                <w:div w:id="1646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874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BDE79CF-A351-42AA-88B8-7ACED6189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121</Pages>
  <Words>45468</Words>
  <Characters>259170</Characters>
  <Application>Microsoft Office Word</Application>
  <DocSecurity>0</DocSecurity>
  <Lines>2159</Lines>
  <Paragraphs>608</Paragraphs>
  <ScaleCrop>false</ScaleCrop>
  <HeadingPairs>
    <vt:vector size="2" baseType="variant">
      <vt:variant>
        <vt:lpstr>Title</vt:lpstr>
      </vt:variant>
      <vt:variant>
        <vt:i4>1</vt:i4>
      </vt:variant>
    </vt:vector>
  </HeadingPairs>
  <TitlesOfParts>
    <vt:vector size="1" baseType="lpstr">
      <vt:lpstr/>
    </vt:vector>
  </TitlesOfParts>
  <Company>Zavod za urbanizam Vojvodine</Company>
  <LinksUpToDate>false</LinksUpToDate>
  <CharactersWithSpaces>304030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Рита Барјактаровић</dc:creator>
  <cp:lastModifiedBy>Рита Барјактаровић</cp:lastModifiedBy>
  <cp:revision>325</cp:revision>
  <dcterms:created xsi:type="dcterms:W3CDTF">2026-08-11T10:01:00Z</dcterms:created>
  <dcterms:modified xsi:type="dcterms:W3CDTF">2026-09-14T10:44:00Z</dcterms:modified>
</cp:coreProperties>
</file>