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71" w:rsidRDefault="001F2871" w:rsidP="001F2871">
      <w:pPr>
        <w:spacing w:after="240"/>
        <w:rPr>
          <w:rFonts w:ascii="Arial" w:hAnsi="Arial" w:cs="Arial"/>
          <w:sz w:val="20"/>
          <w:szCs w:val="20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575D" w:rsidRDefault="00B9575D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47AC" w:rsidRDefault="00C747AC" w:rsidP="00C747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47AC" w:rsidRDefault="00C747AC" w:rsidP="00C747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9575D" w:rsidRPr="00C747AC" w:rsidRDefault="00B9575D" w:rsidP="00C747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747AC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 w:rsidR="00C747AC">
        <w:rPr>
          <w:rFonts w:ascii="Times New Roman" w:hAnsi="Times New Roman" w:cs="Times New Roman"/>
          <w:b/>
          <w:sz w:val="28"/>
          <w:szCs w:val="28"/>
          <w:lang w:val="sr-Cyrl-RS"/>
        </w:rPr>
        <w:t>звештај о р</w:t>
      </w:r>
      <w:r w:rsidR="00857646">
        <w:rPr>
          <w:rFonts w:ascii="Times New Roman" w:hAnsi="Times New Roman" w:cs="Times New Roman"/>
          <w:b/>
          <w:sz w:val="28"/>
          <w:szCs w:val="28"/>
          <w:lang w:val="sr-Cyrl-RS"/>
        </w:rPr>
        <w:t>аду ДОО „Бенерго“ Беране за 202</w:t>
      </w:r>
      <w:r w:rsidR="00B24991">
        <w:rPr>
          <w:rFonts w:ascii="Times New Roman" w:hAnsi="Times New Roman" w:cs="Times New Roman"/>
          <w:b/>
          <w:sz w:val="28"/>
          <w:szCs w:val="28"/>
          <w:lang w:val="sr-Latn-RS"/>
        </w:rPr>
        <w:t>5</w:t>
      </w:r>
      <w:r w:rsidR="00C747AC">
        <w:rPr>
          <w:rFonts w:ascii="Times New Roman" w:hAnsi="Times New Roman" w:cs="Times New Roman"/>
          <w:b/>
          <w:sz w:val="28"/>
          <w:szCs w:val="28"/>
          <w:lang w:val="sr-Cyrl-RS"/>
        </w:rPr>
        <w:t>.годину</w:t>
      </w: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47AC" w:rsidRDefault="00C747AC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3590" w:rsidRDefault="00F13590" w:rsidP="00AD3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D3A4F" w:rsidRDefault="00AD3A4F" w:rsidP="00AD3A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</w:t>
      </w:r>
    </w:p>
    <w:p w:rsidR="00AD3A4F" w:rsidRDefault="00AD3A4F" w:rsidP="00AD3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3A4F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Беране </w:t>
      </w:r>
      <w:r w:rsidR="00B2499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4991">
        <w:rPr>
          <w:rFonts w:ascii="Times New Roman" w:hAnsi="Times New Roman" w:cs="Times New Roman"/>
          <w:sz w:val="24"/>
          <w:szCs w:val="24"/>
          <w:lang w:val="sr-Cyrl-ME"/>
        </w:rPr>
        <w:t>март</w:t>
      </w:r>
      <w:r w:rsidR="00B24991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B9575D" w:rsidRDefault="00B9575D" w:rsidP="00B9575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5D2E" w:rsidRDefault="00415D2E" w:rsidP="00B9575D">
      <w:pPr>
        <w:jc w:val="center"/>
        <w:rPr>
          <w:sz w:val="24"/>
          <w:szCs w:val="24"/>
          <w:lang w:val="sr-Cyrl-RS"/>
        </w:rPr>
      </w:pPr>
    </w:p>
    <w:p w:rsidR="00B9575D" w:rsidRPr="00013ED0" w:rsidRDefault="00B9575D" w:rsidP="00B9575D">
      <w:pPr>
        <w:jc w:val="center"/>
        <w:rPr>
          <w:b/>
          <w:sz w:val="26"/>
          <w:szCs w:val="26"/>
          <w:lang w:val="sr-Cyrl-RS"/>
        </w:rPr>
      </w:pPr>
      <w:r w:rsidRPr="00013ED0">
        <w:rPr>
          <w:b/>
          <w:sz w:val="26"/>
          <w:szCs w:val="26"/>
          <w:lang w:val="sr-Cyrl-RS"/>
        </w:rPr>
        <w:t>САДРЖАЈ</w:t>
      </w:r>
    </w:p>
    <w:p w:rsidR="00415D2E" w:rsidRDefault="00415D2E" w:rsidP="00B9575D">
      <w:pPr>
        <w:rPr>
          <w:sz w:val="20"/>
          <w:szCs w:val="20"/>
          <w:lang w:val="sr-Cyrl-RS"/>
        </w:rPr>
      </w:pPr>
    </w:p>
    <w:p w:rsidR="00241A1D" w:rsidRDefault="00241A1D" w:rsidP="00B9575D">
      <w:pPr>
        <w:rPr>
          <w:sz w:val="20"/>
          <w:szCs w:val="20"/>
          <w:lang w:val="sr-Cyrl-RS"/>
        </w:rPr>
      </w:pPr>
    </w:p>
    <w:p w:rsidR="00241A1D" w:rsidRDefault="00241A1D" w:rsidP="00B9575D">
      <w:pPr>
        <w:rPr>
          <w:sz w:val="20"/>
          <w:szCs w:val="20"/>
          <w:lang w:val="sr-Cyrl-RS"/>
        </w:rPr>
      </w:pPr>
    </w:p>
    <w:p w:rsidR="00241A1D" w:rsidRPr="005B4883" w:rsidRDefault="00241A1D" w:rsidP="00B9575D">
      <w:pPr>
        <w:rPr>
          <w:rFonts w:cstheme="minorHAnsi"/>
          <w:sz w:val="20"/>
          <w:szCs w:val="20"/>
          <w:lang w:val="sr-Cyrl-RS"/>
        </w:rPr>
      </w:pPr>
    </w:p>
    <w:p w:rsidR="00B9575D" w:rsidRPr="00013ED0" w:rsidRDefault="00827FA2" w:rsidP="00B9575D">
      <w:pPr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>1.</w:t>
      </w:r>
      <w:r w:rsidR="00B9575D" w:rsidRPr="00013ED0">
        <w:rPr>
          <w:rFonts w:cstheme="minorHAnsi"/>
          <w:b/>
          <w:sz w:val="20"/>
          <w:szCs w:val="20"/>
          <w:lang w:val="sr-Cyrl-RS"/>
        </w:rPr>
        <w:t>УВОД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</w:t>
      </w:r>
      <w:r w:rsidRPr="00013ED0">
        <w:rPr>
          <w:rFonts w:cstheme="minorHAnsi"/>
          <w:i/>
          <w:sz w:val="20"/>
          <w:szCs w:val="20"/>
          <w:lang w:val="sr-Cyrl-RS"/>
        </w:rPr>
        <w:t>1.1 Основне информације о Друштву са ограниченом одговорношћу „Бенерго“- Беране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1.2 Основне информације о п</w:t>
      </w:r>
      <w:r w:rsidR="00C911C1" w:rsidRPr="00013ED0">
        <w:rPr>
          <w:rFonts w:cstheme="minorHAnsi"/>
          <w:i/>
          <w:sz w:val="20"/>
          <w:szCs w:val="20"/>
          <w:lang w:val="sr-Cyrl-RS"/>
        </w:rPr>
        <w:t>остријењу М</w:t>
      </w:r>
      <w:r w:rsidR="00C911C1" w:rsidRPr="00013ED0">
        <w:rPr>
          <w:rFonts w:cstheme="minorHAnsi"/>
          <w:i/>
          <w:sz w:val="20"/>
          <w:szCs w:val="20"/>
          <w:lang w:val="sr-Cyrl-ME"/>
        </w:rPr>
        <w:t>ХЕ</w:t>
      </w:r>
      <w:r w:rsidR="00643777" w:rsidRPr="00013ED0">
        <w:rPr>
          <w:rFonts w:cstheme="minorHAnsi"/>
          <w:i/>
          <w:sz w:val="20"/>
          <w:szCs w:val="20"/>
          <w:lang w:val="sr-Cyrl-RS"/>
        </w:rPr>
        <w:t xml:space="preserve"> „Миоље Поље“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1.3 Кадровска оспособљеност Друштва</w:t>
      </w:r>
    </w:p>
    <w:p w:rsidR="00827FA2" w:rsidRPr="00013ED0" w:rsidRDefault="00827FA2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1.4 Извори Финансирања Друштва </w:t>
      </w:r>
    </w:p>
    <w:p w:rsidR="00827FA2" w:rsidRPr="00013ED0" w:rsidRDefault="00FD4DA2" w:rsidP="00B9575D">
      <w:pPr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 xml:space="preserve">2.Спроведене активности </w:t>
      </w:r>
    </w:p>
    <w:p w:rsidR="00E1283A" w:rsidRPr="00013ED0" w:rsidRDefault="00E1283A" w:rsidP="00B9575D">
      <w:pPr>
        <w:rPr>
          <w:rFonts w:cstheme="minorHAnsi"/>
          <w:i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</w:t>
      </w:r>
      <w:r w:rsidR="00FD4DA2" w:rsidRPr="00013ED0">
        <w:rPr>
          <w:rFonts w:cstheme="minorHAnsi"/>
          <w:i/>
          <w:sz w:val="20"/>
          <w:szCs w:val="20"/>
          <w:lang w:val="sr-Cyrl-RS"/>
        </w:rPr>
        <w:t>2.1 Активности у 2025.години</w:t>
      </w:r>
    </w:p>
    <w:p w:rsidR="00E1283A" w:rsidRPr="00013ED0" w:rsidRDefault="00E1283A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</w:t>
      </w:r>
      <w:r w:rsidR="00132CE1" w:rsidRPr="00013ED0">
        <w:rPr>
          <w:rFonts w:cstheme="minorHAnsi"/>
          <w:i/>
          <w:sz w:val="20"/>
          <w:szCs w:val="20"/>
          <w:lang w:val="sr-Cyrl-RS"/>
        </w:rPr>
        <w:t>2.2 Пословна сарадња Друштва</w:t>
      </w:r>
    </w:p>
    <w:p w:rsidR="00132CE1" w:rsidRPr="00013ED0" w:rsidRDefault="00132CE1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2.3 Основна дјелатност Друштва </w:t>
      </w:r>
    </w:p>
    <w:p w:rsidR="00E1283A" w:rsidRPr="00013ED0" w:rsidRDefault="00E1283A" w:rsidP="00B9575D">
      <w:pPr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>3. Финансијско пословање</w:t>
      </w:r>
    </w:p>
    <w:p w:rsidR="00E1283A" w:rsidRPr="00013ED0" w:rsidRDefault="00415D2E" w:rsidP="00B9575D">
      <w:pPr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3.1 Извор сре</w:t>
      </w:r>
      <w:r w:rsidR="00C911C1" w:rsidRPr="00013ED0">
        <w:rPr>
          <w:rFonts w:cstheme="minorHAnsi"/>
          <w:i/>
          <w:sz w:val="20"/>
          <w:szCs w:val="20"/>
          <w:lang w:val="sr-Cyrl-RS"/>
        </w:rPr>
        <w:t>дства од којих је направљена МХЕ</w:t>
      </w:r>
      <w:r w:rsidRPr="00013ED0">
        <w:rPr>
          <w:rFonts w:cstheme="minorHAnsi"/>
          <w:i/>
          <w:sz w:val="20"/>
          <w:szCs w:val="20"/>
          <w:lang w:val="sr-Cyrl-RS"/>
        </w:rPr>
        <w:t xml:space="preserve"> „Миоље Поље</w:t>
      </w:r>
      <w:r w:rsidR="00643777" w:rsidRPr="00013ED0">
        <w:rPr>
          <w:rFonts w:cstheme="minorHAnsi"/>
          <w:i/>
          <w:sz w:val="20"/>
          <w:szCs w:val="20"/>
          <w:lang w:val="sr-Cyrl-RS"/>
        </w:rPr>
        <w:t>“</w:t>
      </w:r>
    </w:p>
    <w:p w:rsidR="00415D2E" w:rsidRPr="00013ED0" w:rsidRDefault="00415D2E" w:rsidP="00415D2E">
      <w:pPr>
        <w:ind w:left="-142"/>
        <w:rPr>
          <w:rFonts w:cstheme="minorHAnsi"/>
          <w:i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</w:t>
      </w:r>
      <w:r w:rsidR="00B24991" w:rsidRPr="00013ED0">
        <w:rPr>
          <w:rFonts w:cstheme="minorHAnsi"/>
          <w:i/>
          <w:sz w:val="20"/>
          <w:szCs w:val="20"/>
          <w:lang w:val="sr-Cyrl-RS"/>
        </w:rPr>
        <w:t xml:space="preserve">    3.2 Остварени приходи у 2025</w:t>
      </w:r>
      <w:r w:rsidRPr="00013ED0">
        <w:rPr>
          <w:rFonts w:cstheme="minorHAnsi"/>
          <w:i/>
          <w:sz w:val="20"/>
          <w:szCs w:val="20"/>
          <w:lang w:val="sr-Cyrl-RS"/>
        </w:rPr>
        <w:t>.години</w:t>
      </w:r>
    </w:p>
    <w:p w:rsidR="00415D2E" w:rsidRPr="005B4883" w:rsidRDefault="00415D2E" w:rsidP="00415D2E">
      <w:pPr>
        <w:ind w:left="-142"/>
        <w:rPr>
          <w:rFonts w:cstheme="minorHAnsi"/>
          <w:sz w:val="20"/>
          <w:szCs w:val="20"/>
          <w:lang w:val="sr-Cyrl-RS"/>
        </w:rPr>
      </w:pPr>
      <w:r w:rsidRPr="00013ED0">
        <w:rPr>
          <w:rFonts w:cstheme="minorHAnsi"/>
          <w:i/>
          <w:sz w:val="20"/>
          <w:szCs w:val="20"/>
          <w:lang w:val="sr-Cyrl-RS"/>
        </w:rPr>
        <w:t xml:space="preserve">    </w:t>
      </w:r>
      <w:r w:rsidR="00B24991" w:rsidRPr="00013ED0">
        <w:rPr>
          <w:rFonts w:cstheme="minorHAnsi"/>
          <w:i/>
          <w:sz w:val="20"/>
          <w:szCs w:val="20"/>
          <w:lang w:val="sr-Cyrl-RS"/>
        </w:rPr>
        <w:t xml:space="preserve">   3.3 Остварени расходи у 2025</w:t>
      </w:r>
      <w:r w:rsidRPr="00013ED0">
        <w:rPr>
          <w:rFonts w:cstheme="minorHAnsi"/>
          <w:i/>
          <w:sz w:val="20"/>
          <w:szCs w:val="20"/>
          <w:lang w:val="sr-Cyrl-RS"/>
        </w:rPr>
        <w:t>.години</w:t>
      </w:r>
    </w:p>
    <w:p w:rsidR="00415D2E" w:rsidRPr="00013ED0" w:rsidRDefault="00415D2E" w:rsidP="00415D2E">
      <w:pPr>
        <w:ind w:left="-142"/>
        <w:rPr>
          <w:rFonts w:cstheme="minorHAnsi"/>
          <w:b/>
          <w:sz w:val="20"/>
          <w:szCs w:val="20"/>
          <w:lang w:val="sr-Cyrl-RS"/>
        </w:rPr>
      </w:pPr>
      <w:r w:rsidRPr="00013ED0">
        <w:rPr>
          <w:rFonts w:cstheme="minorHAnsi"/>
          <w:b/>
          <w:sz w:val="20"/>
          <w:szCs w:val="20"/>
          <w:lang w:val="sr-Cyrl-RS"/>
        </w:rPr>
        <w:t xml:space="preserve">   </w:t>
      </w:r>
      <w:r w:rsidR="00187B42" w:rsidRPr="00013ED0">
        <w:rPr>
          <w:rFonts w:cstheme="minorHAnsi"/>
          <w:b/>
          <w:sz w:val="20"/>
          <w:szCs w:val="20"/>
          <w:lang w:val="sr-Cyrl-RS"/>
        </w:rPr>
        <w:t xml:space="preserve">4. Закључак </w:t>
      </w: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89664B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3E3035" w:rsidP="007C2E11">
      <w:pPr>
        <w:jc w:val="center"/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</w:t>
      </w:r>
      <w:r w:rsidR="0089664B" w:rsidRPr="005B4883">
        <w:rPr>
          <w:rFonts w:cstheme="minorHAnsi"/>
          <w:b/>
          <w:sz w:val="20"/>
          <w:szCs w:val="20"/>
          <w:lang w:val="sr-Cyrl-RS"/>
        </w:rPr>
        <w:t>УВОД</w:t>
      </w:r>
    </w:p>
    <w:p w:rsidR="007C2E11" w:rsidRPr="005B4883" w:rsidRDefault="00F9115C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          У </w:t>
      </w:r>
      <w:r w:rsidR="00C747AC" w:rsidRPr="005B4883">
        <w:rPr>
          <w:rFonts w:cstheme="minorHAnsi"/>
          <w:sz w:val="20"/>
          <w:szCs w:val="20"/>
          <w:lang w:val="sr-Cyrl-RS"/>
        </w:rPr>
        <w:t>складу са чланом 12</w:t>
      </w:r>
      <w:r w:rsidR="007C2E11" w:rsidRPr="005B4883">
        <w:rPr>
          <w:rFonts w:cstheme="minorHAnsi"/>
          <w:sz w:val="20"/>
          <w:szCs w:val="20"/>
          <w:lang w:val="sr-Cyrl-RS"/>
        </w:rPr>
        <w:t xml:space="preserve"> Одлуке о оснивању Друштва са ограниченом одговорношћу „Бенерго“ Беране („Сл.лист ЦГ-општински прописи“</w:t>
      </w:r>
      <w:r w:rsidR="0060454A" w:rsidRPr="005B4883">
        <w:rPr>
          <w:rFonts w:cstheme="minorHAnsi"/>
          <w:sz w:val="20"/>
          <w:szCs w:val="20"/>
          <w:lang w:val="sr-Cyrl-RS"/>
        </w:rPr>
        <w:t xml:space="preserve">,бр.23/15 </w:t>
      </w:r>
      <w:r w:rsidR="00C747AC" w:rsidRPr="005B4883">
        <w:rPr>
          <w:rFonts w:cstheme="minorHAnsi"/>
          <w:sz w:val="20"/>
          <w:szCs w:val="20"/>
          <w:lang w:val="sr-Cyrl-RS"/>
        </w:rPr>
        <w:t>) и чланом 20</w:t>
      </w:r>
      <w:r w:rsidR="007C2E11" w:rsidRPr="005B4883">
        <w:rPr>
          <w:rFonts w:cstheme="minorHAnsi"/>
          <w:sz w:val="20"/>
          <w:szCs w:val="20"/>
          <w:lang w:val="sr-Cyrl-RS"/>
        </w:rPr>
        <w:t xml:space="preserve"> Статута Друштва са ограниченом одговорношћу „Бенерго“ Беране („Сл.лист ЦГ-општински прописи“</w:t>
      </w:r>
      <w:r w:rsidR="0060454A" w:rsidRPr="005B4883">
        <w:rPr>
          <w:rFonts w:cstheme="minorHAnsi"/>
          <w:sz w:val="20"/>
          <w:szCs w:val="20"/>
          <w:lang w:val="sr-Cyrl-RS"/>
        </w:rPr>
        <w:t>,бр.37/15 и 16/21</w:t>
      </w:r>
      <w:r w:rsidR="007C2E11" w:rsidRPr="005B4883">
        <w:rPr>
          <w:rFonts w:cstheme="minorHAnsi"/>
          <w:sz w:val="20"/>
          <w:szCs w:val="20"/>
          <w:lang w:val="sr-Cyrl-RS"/>
        </w:rPr>
        <w:t>),извршни директор ДОО „Бенерго“</w:t>
      </w:r>
      <w:r w:rsidRPr="005B4883">
        <w:rPr>
          <w:rFonts w:cstheme="minorHAnsi"/>
          <w:sz w:val="20"/>
          <w:szCs w:val="20"/>
          <w:lang w:val="sr-Cyrl-RS"/>
        </w:rPr>
        <w:t xml:space="preserve"> Беране је п</w:t>
      </w:r>
      <w:r w:rsidR="003F04CC" w:rsidRPr="005B4883">
        <w:rPr>
          <w:rFonts w:cstheme="minorHAnsi"/>
          <w:sz w:val="20"/>
          <w:szCs w:val="20"/>
          <w:lang w:val="sr-Cyrl-RS"/>
        </w:rPr>
        <w:t>рипремио извештај о раду за 202</w:t>
      </w:r>
      <w:r w:rsidR="003F04CC" w:rsidRPr="005B4883">
        <w:rPr>
          <w:rFonts w:cstheme="minorHAnsi"/>
          <w:sz w:val="20"/>
          <w:szCs w:val="20"/>
          <w:lang w:val="sr-Latn-ME"/>
        </w:rPr>
        <w:t>4</w:t>
      </w:r>
      <w:r w:rsidRPr="005B4883">
        <w:rPr>
          <w:rFonts w:cstheme="minorHAnsi"/>
          <w:sz w:val="20"/>
          <w:szCs w:val="20"/>
          <w:lang w:val="sr-Cyrl-RS"/>
        </w:rPr>
        <w:t>.годину,</w:t>
      </w:r>
      <w:r w:rsidR="00BD0BBC" w:rsidRPr="005B4883">
        <w:rPr>
          <w:rFonts w:cstheme="minorHAnsi"/>
          <w:sz w:val="20"/>
          <w:szCs w:val="20"/>
          <w:lang w:val="sr-Latn-ME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 xml:space="preserve">којим ће бити </w:t>
      </w:r>
      <w:r w:rsidR="00BD0BBC" w:rsidRPr="005B4883">
        <w:rPr>
          <w:rFonts w:cstheme="minorHAnsi"/>
          <w:sz w:val="20"/>
          <w:szCs w:val="20"/>
          <w:lang w:val="sr-Cyrl-RS"/>
        </w:rPr>
        <w:t>презентоване активности из изве</w:t>
      </w:r>
      <w:r w:rsidR="00BD0BBC" w:rsidRPr="005B4883">
        <w:rPr>
          <w:rFonts w:cstheme="minorHAnsi"/>
          <w:sz w:val="20"/>
          <w:szCs w:val="20"/>
          <w:lang w:val="sr-Cyrl-ME"/>
        </w:rPr>
        <w:t>ш</w:t>
      </w:r>
      <w:r w:rsidRPr="005B4883">
        <w:rPr>
          <w:rFonts w:cstheme="minorHAnsi"/>
          <w:sz w:val="20"/>
          <w:szCs w:val="20"/>
          <w:lang w:val="sr-Cyrl-RS"/>
        </w:rPr>
        <w:t>тајног периода подржане са квантитативним показатељима пословања Друштва,</w:t>
      </w:r>
      <w:r w:rsidR="00BD0BBC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оцјеном стања и предлогом мјера.</w:t>
      </w:r>
    </w:p>
    <w:p w:rsidR="00F9115C" w:rsidRPr="005B4883" w:rsidRDefault="00F9115C" w:rsidP="00B9575D">
      <w:pPr>
        <w:rPr>
          <w:rFonts w:cstheme="minorHAnsi"/>
          <w:sz w:val="24"/>
          <w:szCs w:val="24"/>
          <w:lang w:val="sr-Cyrl-RS"/>
        </w:rPr>
      </w:pPr>
    </w:p>
    <w:p w:rsidR="0089664B" w:rsidRPr="005B4883" w:rsidRDefault="007C2E11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1.1 Основне информације о друштву са ограниченом одговорношћу „Бенерго“ Беране</w:t>
      </w:r>
    </w:p>
    <w:p w:rsidR="0089664B" w:rsidRPr="005B4883" w:rsidRDefault="00F9115C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4"/>
          <w:szCs w:val="24"/>
          <w:lang w:val="sr-Cyrl-RS"/>
        </w:rPr>
        <w:t xml:space="preserve">               </w:t>
      </w:r>
      <w:r w:rsidR="0089664B" w:rsidRPr="005B4883">
        <w:rPr>
          <w:rFonts w:cstheme="minorHAnsi"/>
          <w:sz w:val="20"/>
          <w:szCs w:val="20"/>
          <w:lang w:val="sr-Cyrl-RS"/>
        </w:rPr>
        <w:t>На основу Одлуке Оснивача-Скупштине општине Беране на сједници одржаној 25.06.2015.године основано је Друштво ограничене одговорности под на</w:t>
      </w:r>
      <w:r w:rsidR="007764C9" w:rsidRPr="005B4883">
        <w:rPr>
          <w:rFonts w:cstheme="minorHAnsi"/>
          <w:sz w:val="20"/>
          <w:szCs w:val="20"/>
          <w:lang w:val="sr-Cyrl-RS"/>
        </w:rPr>
        <w:t>зивом “Бенерго“ доо Беране ,чиј</w:t>
      </w:r>
      <w:r w:rsidR="0089664B" w:rsidRPr="005B4883">
        <w:rPr>
          <w:rFonts w:cstheme="minorHAnsi"/>
          <w:sz w:val="20"/>
          <w:szCs w:val="20"/>
          <w:lang w:val="sr-Cyrl-RS"/>
        </w:rPr>
        <w:t>а је примарна дјелатност производња електричне енергије и које је 100% у власништву општине Беране.</w:t>
      </w:r>
    </w:p>
    <w:p w:rsidR="007B5F05" w:rsidRPr="005B4883" w:rsidRDefault="007B5F05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Ос</w:t>
      </w:r>
      <w:r w:rsidR="008564B1">
        <w:rPr>
          <w:rFonts w:cstheme="minorHAnsi"/>
          <w:sz w:val="20"/>
          <w:szCs w:val="20"/>
          <w:lang w:val="sr-Cyrl-RS"/>
        </w:rPr>
        <w:t>новна дјелатност Друштва : 35.12</w:t>
      </w:r>
      <w:r w:rsidRPr="005B4883">
        <w:rPr>
          <w:rFonts w:cstheme="minorHAnsi"/>
          <w:sz w:val="20"/>
          <w:szCs w:val="20"/>
          <w:lang w:val="sr-Cyrl-RS"/>
        </w:rPr>
        <w:t xml:space="preserve"> Производња електричне енергије</w:t>
      </w:r>
      <w:r w:rsidR="008564B1">
        <w:rPr>
          <w:rFonts w:cstheme="minorHAnsi"/>
          <w:sz w:val="20"/>
          <w:szCs w:val="20"/>
          <w:lang w:val="sr-Cyrl-RS"/>
        </w:rPr>
        <w:t xml:space="preserve"> из обновљивих извора</w:t>
      </w:r>
    </w:p>
    <w:p w:rsidR="007B5F05" w:rsidRPr="005B4883" w:rsidRDefault="007B5F05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Чланом 10 Одлуке о оснивању Друштва и чланом 9 Статута Друштва ,поред основне дјелатности ,предвиђено је да друштво може обављати и друге дјелатности и то:</w:t>
      </w:r>
    </w:p>
    <w:p w:rsidR="007B5F05" w:rsidRPr="005B4883" w:rsidRDefault="008564B1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35.13</w:t>
      </w:r>
      <w:r w:rsidR="007B5F05" w:rsidRPr="005B4883">
        <w:rPr>
          <w:rFonts w:cstheme="minorHAnsi"/>
          <w:sz w:val="20"/>
          <w:szCs w:val="20"/>
          <w:lang w:val="sr-Cyrl-RS"/>
        </w:rPr>
        <w:t xml:space="preserve"> Пренос електричне енергије</w:t>
      </w:r>
      <w:r w:rsidR="002B3B2B" w:rsidRPr="005B4883">
        <w:rPr>
          <w:rFonts w:cstheme="minorHAnsi"/>
          <w:sz w:val="20"/>
          <w:szCs w:val="20"/>
          <w:lang w:val="sr-Cyrl-RS"/>
        </w:rPr>
        <w:t>;</w:t>
      </w:r>
    </w:p>
    <w:p w:rsidR="007B5F05" w:rsidRPr="005B4883" w:rsidRDefault="008564B1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35.14</w:t>
      </w:r>
      <w:r w:rsidR="007B5F05" w:rsidRPr="005B4883">
        <w:rPr>
          <w:rFonts w:cstheme="minorHAnsi"/>
          <w:sz w:val="20"/>
          <w:szCs w:val="20"/>
          <w:lang w:val="sr-Cyrl-RS"/>
        </w:rPr>
        <w:t xml:space="preserve"> Дистрибуција електричне енергије</w:t>
      </w:r>
      <w:r w:rsidR="002B3B2B" w:rsidRPr="005B4883">
        <w:rPr>
          <w:rFonts w:cstheme="minorHAnsi"/>
          <w:sz w:val="20"/>
          <w:szCs w:val="20"/>
          <w:lang w:val="sr-Cyrl-RS"/>
        </w:rPr>
        <w:t>;</w:t>
      </w:r>
    </w:p>
    <w:p w:rsidR="007B5F05" w:rsidRPr="005B4883" w:rsidRDefault="008564B1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35.15</w:t>
      </w:r>
      <w:r w:rsidR="007B5F05" w:rsidRPr="005B4883">
        <w:rPr>
          <w:rFonts w:cstheme="minorHAnsi"/>
          <w:sz w:val="20"/>
          <w:szCs w:val="20"/>
          <w:lang w:val="sr-Cyrl-RS"/>
        </w:rPr>
        <w:t xml:space="preserve"> Трговина електричном енергијом</w:t>
      </w:r>
      <w:r w:rsidR="002B3B2B" w:rsidRPr="005B4883">
        <w:rPr>
          <w:rFonts w:cstheme="minorHAnsi"/>
          <w:sz w:val="20"/>
          <w:szCs w:val="20"/>
          <w:lang w:val="sr-Cyrl-RS"/>
        </w:rPr>
        <w:t>;</w:t>
      </w:r>
    </w:p>
    <w:p w:rsidR="007B5F05" w:rsidRPr="005B4883" w:rsidRDefault="005B23EA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36.</w:t>
      </w:r>
      <w:r w:rsidR="0095745C">
        <w:rPr>
          <w:rFonts w:cstheme="minorHAnsi"/>
          <w:sz w:val="20"/>
          <w:szCs w:val="20"/>
          <w:lang w:val="sr-Cyrl-RS"/>
        </w:rPr>
        <w:t>00 Сакупљање ,пречишћавање и дис</w:t>
      </w:r>
      <w:r w:rsidRPr="005B4883">
        <w:rPr>
          <w:rFonts w:cstheme="minorHAnsi"/>
          <w:sz w:val="20"/>
          <w:szCs w:val="20"/>
          <w:lang w:val="sr-Cyrl-RS"/>
        </w:rPr>
        <w:t>трибуција воде;</w:t>
      </w:r>
    </w:p>
    <w:p w:rsidR="005B23EA" w:rsidRPr="005B4883" w:rsidRDefault="005B23EA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37.00 Уклањање отпадних вода;</w:t>
      </w:r>
    </w:p>
    <w:p w:rsidR="005B23EA" w:rsidRPr="005B4883" w:rsidRDefault="005B23EA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41.20 Изградња стамбених и нестамбених зграда;</w:t>
      </w:r>
    </w:p>
    <w:p w:rsidR="005B23EA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42</w:t>
      </w:r>
      <w:r w:rsidR="005B23EA" w:rsidRPr="005B4883">
        <w:rPr>
          <w:rFonts w:cstheme="minorHAnsi"/>
          <w:sz w:val="20"/>
          <w:szCs w:val="20"/>
          <w:lang w:val="sr-Cyrl-RS"/>
        </w:rPr>
        <w:t>.21 Изградња цјевовода;</w:t>
      </w:r>
    </w:p>
    <w:p w:rsidR="005B23EA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42</w:t>
      </w:r>
      <w:r w:rsidR="005B23EA" w:rsidRPr="005B4883">
        <w:rPr>
          <w:rFonts w:cstheme="minorHAnsi"/>
          <w:sz w:val="20"/>
          <w:szCs w:val="20"/>
          <w:lang w:val="sr-Cyrl-RS"/>
        </w:rPr>
        <w:t>.22 Изградња електричних и телекомуникационих водовода;</w:t>
      </w:r>
    </w:p>
    <w:p w:rsidR="005B23EA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42.99 Изградња осталих грађевина;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43.12 Припремна градилишта;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43.21 Поставаљање електричних инсталација;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43.22 Постављање водоводних ,канализационих,климатизазионих система и система за гријање 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43.29 Остали инсталациони радови у грађевинарству;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46.90 Неспецијализована трговина на велико;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lastRenderedPageBreak/>
        <w:t>49.50 Цјевоводни транспорт ;</w:t>
      </w:r>
    </w:p>
    <w:p w:rsidR="002B3B2B" w:rsidRPr="005B4883" w:rsidRDefault="002B3B2B" w:rsidP="00F9115C">
      <w:pPr>
        <w:tabs>
          <w:tab w:val="left" w:pos="851"/>
        </w:tabs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80.10 Дјелатност приватног обезбјеђења;</w:t>
      </w:r>
    </w:p>
    <w:p w:rsidR="0089664B" w:rsidRPr="005B4883" w:rsidRDefault="001650BD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Имајући у виду релативно малу и</w:t>
      </w:r>
      <w:r w:rsidR="0089664B" w:rsidRPr="005B4883">
        <w:rPr>
          <w:rFonts w:cstheme="minorHAnsi"/>
          <w:sz w:val="20"/>
          <w:szCs w:val="20"/>
          <w:lang w:val="sr-Cyrl-RS"/>
        </w:rPr>
        <w:t>скоришћеност хидроенергетског потенцијала Беране ,нарочито за мале хидроелектране,Општина</w:t>
      </w:r>
      <w:r w:rsidR="002E351F" w:rsidRPr="005B4883">
        <w:rPr>
          <w:rFonts w:cstheme="minorHAnsi"/>
          <w:sz w:val="20"/>
          <w:szCs w:val="20"/>
          <w:lang w:val="sr-Cyrl-RS"/>
        </w:rPr>
        <w:t xml:space="preserve"> Беране се одлучује за формира</w:t>
      </w:r>
      <w:r w:rsidR="0089664B" w:rsidRPr="005B4883">
        <w:rPr>
          <w:rFonts w:cstheme="minorHAnsi"/>
          <w:sz w:val="20"/>
          <w:szCs w:val="20"/>
          <w:lang w:val="sr-Cyrl-RS"/>
        </w:rPr>
        <w:t>е посебног привредног друштва ( ДОО ) за кориштење обновљивих извора енергије.</w:t>
      </w:r>
    </w:p>
    <w:p w:rsidR="0089664B" w:rsidRPr="005B4883" w:rsidRDefault="0089664B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У електроенергетски </w:t>
      </w:r>
      <w:r w:rsidR="002E351F" w:rsidRPr="005B4883">
        <w:rPr>
          <w:rFonts w:cstheme="minorHAnsi"/>
          <w:sz w:val="20"/>
          <w:szCs w:val="20"/>
          <w:lang w:val="sr-Cyrl-RS"/>
        </w:rPr>
        <w:t>систем Црне Горе могу да се укљ</w:t>
      </w:r>
      <w:r w:rsidRPr="005B4883">
        <w:rPr>
          <w:rFonts w:cstheme="minorHAnsi"/>
          <w:sz w:val="20"/>
          <w:szCs w:val="20"/>
          <w:lang w:val="sr-Cyrl-RS"/>
        </w:rPr>
        <w:t xml:space="preserve">уче само предузећа која користе обновљиве изборе енергије па је технички </w:t>
      </w:r>
      <w:r w:rsidR="00B22F75" w:rsidRPr="005B4883">
        <w:rPr>
          <w:rFonts w:cstheme="minorHAnsi"/>
          <w:sz w:val="20"/>
          <w:szCs w:val="20"/>
          <w:lang w:val="sr-Cyrl-RS"/>
        </w:rPr>
        <w:t>тешко изводљиво да се направи затворени систем снадбијевања само за регион Општине ,</w:t>
      </w:r>
      <w:r w:rsidR="002E351F" w:rsidRPr="005B4883">
        <w:rPr>
          <w:rFonts w:cstheme="minorHAnsi"/>
          <w:sz w:val="20"/>
          <w:szCs w:val="20"/>
          <w:lang w:val="sr-Cyrl-RS"/>
        </w:rPr>
        <w:t>који би локална</w:t>
      </w:r>
      <w:r w:rsidR="00B22F75" w:rsidRPr="005B4883">
        <w:rPr>
          <w:rFonts w:cstheme="minorHAnsi"/>
          <w:sz w:val="20"/>
          <w:szCs w:val="20"/>
          <w:lang w:val="sr-Cyrl-RS"/>
        </w:rPr>
        <w:t xml:space="preserve"> самоуправа мо</w:t>
      </w:r>
      <w:r w:rsidR="002E351F" w:rsidRPr="005B4883">
        <w:rPr>
          <w:rFonts w:cstheme="minorHAnsi"/>
          <w:sz w:val="20"/>
          <w:szCs w:val="20"/>
          <w:lang w:val="sr-Cyrl-RS"/>
        </w:rPr>
        <w:t>гла</w:t>
      </w:r>
      <w:r w:rsidR="00B22F75" w:rsidRPr="005B4883">
        <w:rPr>
          <w:rFonts w:cstheme="minorHAnsi"/>
          <w:sz w:val="20"/>
          <w:szCs w:val="20"/>
          <w:lang w:val="sr-Cyrl-RS"/>
        </w:rPr>
        <w:t xml:space="preserve"> користити.</w:t>
      </w:r>
    </w:p>
    <w:p w:rsidR="00CE5CE4" w:rsidRPr="005B4883" w:rsidRDefault="007F1186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К</w:t>
      </w:r>
      <w:r w:rsidR="00B22F75" w:rsidRPr="005B4883">
        <w:rPr>
          <w:rFonts w:cstheme="minorHAnsi"/>
          <w:sz w:val="20"/>
          <w:szCs w:val="20"/>
          <w:lang w:val="sr-Cyrl-RS"/>
        </w:rPr>
        <w:t>ориштење енергије из обновљивих извора све је израженији тренд у свијету.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B22F75" w:rsidRPr="005B4883">
        <w:rPr>
          <w:rFonts w:cstheme="minorHAnsi"/>
          <w:sz w:val="20"/>
          <w:szCs w:val="20"/>
          <w:lang w:val="sr-Cyrl-RS"/>
        </w:rPr>
        <w:t>Земље у којима постоји потенцијал обновљивих извора енергије улажу велике напоре како би се повећао њихов удио у задовољењу укупних потреба за енергијом.Употреба обновљивих извора енергије је једна од кључних компоненти одрживог развоја која омогућава рационалне економске 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B22F75" w:rsidRPr="005B4883">
        <w:rPr>
          <w:rFonts w:cstheme="minorHAnsi"/>
          <w:sz w:val="20"/>
          <w:szCs w:val="20"/>
          <w:lang w:val="sr-Cyrl-RS"/>
        </w:rPr>
        <w:t>еколошке и социј</w:t>
      </w:r>
      <w:r w:rsidR="00CE5CE4" w:rsidRPr="005B4883">
        <w:rPr>
          <w:rFonts w:cstheme="minorHAnsi"/>
          <w:sz w:val="20"/>
          <w:szCs w:val="20"/>
          <w:lang w:val="sr-Cyrl-RS"/>
        </w:rPr>
        <w:t>алне ефекте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CE5CE4" w:rsidRPr="005B4883">
        <w:rPr>
          <w:rFonts w:cstheme="minorHAnsi"/>
          <w:sz w:val="20"/>
          <w:szCs w:val="20"/>
          <w:lang w:val="sr-Cyrl-RS"/>
        </w:rPr>
        <w:t>.Доношењем и ступањем на снагу Закона о енергетици започела је реформа енергетског сектора Црне Горе.</w:t>
      </w:r>
    </w:p>
    <w:p w:rsidR="000E0B88" w:rsidRPr="005B4883" w:rsidRDefault="00CE5CE4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Локална управа је препознала енергетски потенцијал који се налази у градском и у сеоским водоводима,тако да је Друштво првенствено формирано у циљу изградње малих хидроелектрана на овим цјевоводима.</w:t>
      </w:r>
    </w:p>
    <w:p w:rsidR="000E0B88" w:rsidRPr="005B4883" w:rsidRDefault="000E0B88" w:rsidP="00B9575D">
      <w:pPr>
        <w:rPr>
          <w:rFonts w:cstheme="minorHAnsi"/>
          <w:sz w:val="24"/>
          <w:szCs w:val="24"/>
          <w:lang w:val="sr-Cyrl-RS"/>
        </w:rPr>
      </w:pPr>
    </w:p>
    <w:p w:rsidR="00C747AC" w:rsidRPr="005B4883" w:rsidRDefault="00C747AC" w:rsidP="00B9575D">
      <w:pPr>
        <w:rPr>
          <w:rFonts w:cstheme="minorHAnsi"/>
          <w:b/>
          <w:sz w:val="20"/>
          <w:szCs w:val="20"/>
          <w:lang w:val="sr-Cyrl-RS"/>
        </w:rPr>
      </w:pPr>
    </w:p>
    <w:p w:rsidR="000E0B88" w:rsidRPr="005B4883" w:rsidRDefault="00F9115C" w:rsidP="00B9575D">
      <w:pPr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 xml:space="preserve">1.2 Основне информације о постројењу </w:t>
      </w:r>
      <w:r w:rsidR="000E0B88" w:rsidRPr="005B4883">
        <w:rPr>
          <w:rFonts w:cstheme="minorHAnsi"/>
          <w:b/>
          <w:sz w:val="20"/>
          <w:szCs w:val="20"/>
          <w:lang w:val="sr-Cyrl-RS"/>
        </w:rPr>
        <w:t xml:space="preserve">МХЕ Миоље Поље </w:t>
      </w:r>
    </w:p>
    <w:p w:rsidR="00B22F75" w:rsidRPr="005B4883" w:rsidRDefault="00C911C1" w:rsidP="00B9575D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Идејно рјешење МХЕ</w:t>
      </w:r>
      <w:r w:rsidR="000E0B88" w:rsidRPr="005B4883">
        <w:rPr>
          <w:rFonts w:cstheme="minorHAnsi"/>
          <w:sz w:val="20"/>
          <w:szCs w:val="20"/>
          <w:lang w:val="sr-Cyrl-RS"/>
        </w:rPr>
        <w:t xml:space="preserve"> “Миоље Поље“</w:t>
      </w:r>
      <w:r w:rsidR="00B22F75" w:rsidRPr="005B4883">
        <w:rPr>
          <w:rFonts w:cstheme="minorHAnsi"/>
          <w:sz w:val="20"/>
          <w:szCs w:val="20"/>
          <w:lang w:val="sr-Cyrl-RS"/>
        </w:rPr>
        <w:t xml:space="preserve"> </w:t>
      </w:r>
      <w:r w:rsidR="000E0B88" w:rsidRPr="005B4883">
        <w:rPr>
          <w:rFonts w:cstheme="minorHAnsi"/>
          <w:sz w:val="20"/>
          <w:szCs w:val="20"/>
          <w:lang w:val="sr-Cyrl-RS"/>
        </w:rPr>
        <w:t>на водоводу Беране израђено је на захтјев општине Беране у циљу почетка процеса инвестиција у обновљиве изворе енергије у овом региону.</w:t>
      </w:r>
    </w:p>
    <w:p w:rsidR="000E0B88" w:rsidRPr="005B4883" w:rsidRDefault="000E0B88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Идејно рјешење за коришћење хидроенергетског потенцијала водовода Беране је израђено је на основу постојећег стања на водоводу Беране,</w:t>
      </w:r>
      <w:r w:rsidR="002252EF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т</w:t>
      </w:r>
      <w:r w:rsidR="002252EF" w:rsidRPr="005B4883">
        <w:rPr>
          <w:rFonts w:cstheme="minorHAnsi"/>
          <w:sz w:val="20"/>
          <w:szCs w:val="20"/>
          <w:lang w:val="sr-Cyrl-RS"/>
        </w:rPr>
        <w:t>еренске</w:t>
      </w:r>
      <w:r w:rsidRPr="005B4883">
        <w:rPr>
          <w:rFonts w:cstheme="minorHAnsi"/>
          <w:sz w:val="20"/>
          <w:szCs w:val="20"/>
          <w:lang w:val="sr-Cyrl-RS"/>
        </w:rPr>
        <w:t xml:space="preserve"> проспекције,</w:t>
      </w:r>
      <w:r w:rsidR="002252EF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геодетских мјерења као и мјерења и процјена напављених током теренске проспекције.Мала хидроелектрана “Миоље Поље“ на водоводу Беране се налази на око 5 км од града Берана у правцу Лубница.</w:t>
      </w:r>
    </w:p>
    <w:p w:rsidR="00DD3813" w:rsidRPr="005B4883" w:rsidRDefault="00DD3813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Мала хидроелектрна “Миоље Поље“ је замишљена као п</w:t>
      </w:r>
      <w:r w:rsidR="00C0707B" w:rsidRPr="005B4883">
        <w:rPr>
          <w:rFonts w:cstheme="minorHAnsi"/>
          <w:sz w:val="20"/>
          <w:szCs w:val="20"/>
          <w:lang w:val="sr-Cyrl-RS"/>
        </w:rPr>
        <w:t>р</w:t>
      </w:r>
      <w:r w:rsidRPr="005B4883">
        <w:rPr>
          <w:rFonts w:cstheme="minorHAnsi"/>
          <w:sz w:val="20"/>
          <w:szCs w:val="20"/>
          <w:lang w:val="sr-Cyrl-RS"/>
        </w:rPr>
        <w:t>оточно постројење на постојећ</w:t>
      </w:r>
      <w:r w:rsidR="00C0707B" w:rsidRPr="005B4883">
        <w:rPr>
          <w:rFonts w:cstheme="minorHAnsi"/>
          <w:sz w:val="20"/>
          <w:szCs w:val="20"/>
          <w:lang w:val="sr-Cyrl-RS"/>
        </w:rPr>
        <w:t>ем укопаном ливено-жељезном (дук</w:t>
      </w:r>
      <w:r w:rsidRPr="005B4883">
        <w:rPr>
          <w:rFonts w:cstheme="minorHAnsi"/>
          <w:sz w:val="20"/>
          <w:szCs w:val="20"/>
          <w:lang w:val="sr-Cyrl-RS"/>
        </w:rPr>
        <w:t>тилном) цјевоводу, а које корист</w:t>
      </w:r>
      <w:r w:rsidR="009E45A8" w:rsidRPr="005B4883">
        <w:rPr>
          <w:rFonts w:cstheme="minorHAnsi"/>
          <w:sz w:val="20"/>
          <w:szCs w:val="20"/>
          <w:lang w:val="sr-Cyrl-RS"/>
        </w:rPr>
        <w:t>и</w:t>
      </w:r>
      <w:r w:rsidRPr="005B4883">
        <w:rPr>
          <w:rFonts w:cstheme="minorHAnsi"/>
          <w:sz w:val="20"/>
          <w:szCs w:val="20"/>
          <w:lang w:val="sr-Cyrl-RS"/>
        </w:rPr>
        <w:t xml:space="preserve"> 184 м пада од постојећег водозахвата на коти 962 мнм до коте 778 мнм на којој се тренутно налази прекидна комора.Након реконструкције водовода на укупној дужини  од 5.587 метара,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јединственог пречника цијеви од 400мм,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пројектовани капацитет овог цјевов</w:t>
      </w:r>
      <w:r w:rsidR="009E45A8" w:rsidRPr="005B4883">
        <w:rPr>
          <w:rFonts w:cstheme="minorHAnsi"/>
          <w:sz w:val="20"/>
          <w:szCs w:val="20"/>
          <w:lang w:val="sr-Cyrl-RS"/>
        </w:rPr>
        <w:t>ода износи 250 литара у секунди.</w:t>
      </w:r>
    </w:p>
    <w:p w:rsidR="00DD3813" w:rsidRPr="005B4883" w:rsidRDefault="00DD3813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Основни параметри при пројектов</w:t>
      </w:r>
      <w:r w:rsidR="009E45A8" w:rsidRPr="005B4883">
        <w:rPr>
          <w:rFonts w:cstheme="minorHAnsi"/>
          <w:sz w:val="20"/>
          <w:szCs w:val="20"/>
          <w:lang w:val="sr-Cyrl-RS"/>
        </w:rPr>
        <w:t>ањз овог постројења су били инстал</w:t>
      </w:r>
      <w:r w:rsidRPr="005B4883">
        <w:rPr>
          <w:rFonts w:cstheme="minorHAnsi"/>
          <w:sz w:val="20"/>
          <w:szCs w:val="20"/>
          <w:lang w:val="sr-Cyrl-RS"/>
        </w:rPr>
        <w:t>исани проток водовода од 0,25 м3/с и дијаметар постојећег цјевовода ДН400 водовода Беране</w:t>
      </w:r>
      <w:r w:rsidR="008B270E" w:rsidRPr="005B4883">
        <w:rPr>
          <w:rFonts w:cstheme="minorHAnsi"/>
          <w:sz w:val="20"/>
          <w:szCs w:val="20"/>
          <w:lang w:val="sr-Cyrl-RS"/>
        </w:rPr>
        <w:t>.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Доводни при</w:t>
      </w:r>
      <w:r w:rsidR="009E45A8" w:rsidRPr="005B4883">
        <w:rPr>
          <w:rFonts w:cstheme="minorHAnsi"/>
          <w:sz w:val="20"/>
          <w:szCs w:val="20"/>
          <w:lang w:val="sr-Cyrl-RS"/>
        </w:rPr>
        <w:t>тисни цјевовод израђен је од дук</w:t>
      </w:r>
      <w:r w:rsidR="008B270E" w:rsidRPr="005B4883">
        <w:rPr>
          <w:rFonts w:cstheme="minorHAnsi"/>
          <w:sz w:val="20"/>
          <w:szCs w:val="20"/>
          <w:lang w:val="sr-Cyrl-RS"/>
        </w:rPr>
        <w:t>тилних цијеви називног притиска 10, 16 и 20 бари и номиналног пречника 400мм дужине 5.587 метара.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Бруто пад овог постројења је 184м ,а нето пад код инсталисаног протока 145 м.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Инсталисана снага овог постројења ,по Идејном рјешењу,</w:t>
      </w:r>
      <w:r w:rsidR="009E45A8" w:rsidRPr="005B4883">
        <w:rPr>
          <w:rFonts w:cstheme="minorHAnsi"/>
          <w:sz w:val="20"/>
          <w:szCs w:val="20"/>
          <w:lang w:val="sr-Cyrl-RS"/>
        </w:rPr>
        <w:t xml:space="preserve"> </w:t>
      </w:r>
      <w:r w:rsidR="008B270E" w:rsidRPr="005B4883">
        <w:rPr>
          <w:rFonts w:cstheme="minorHAnsi"/>
          <w:sz w:val="20"/>
          <w:szCs w:val="20"/>
          <w:lang w:val="sr-Cyrl-RS"/>
        </w:rPr>
        <w:t>је 301 киловат.</w:t>
      </w:r>
    </w:p>
    <w:p w:rsidR="00C53F57" w:rsidRPr="005B4883" w:rsidRDefault="003072F8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МХЕ</w:t>
      </w:r>
      <w:r w:rsidR="00C53F57" w:rsidRPr="005B4883">
        <w:rPr>
          <w:rFonts w:cstheme="minorHAnsi"/>
          <w:sz w:val="20"/>
          <w:szCs w:val="20"/>
          <w:lang w:val="sr-Cyrl-RS"/>
        </w:rPr>
        <w:t xml:space="preserve"> “Миоље Поље“ је дио система за водоснадбијевање града Беране из водоизворишта Мерића Врело.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C53F57" w:rsidRPr="005B4883">
        <w:rPr>
          <w:rFonts w:cstheme="minorHAnsi"/>
          <w:sz w:val="20"/>
          <w:szCs w:val="20"/>
          <w:lang w:val="sr-Cyrl-RS"/>
        </w:rPr>
        <w:t>Хидроулички гледано тај систем се састоји из два независна тока у цијевима под притиском.Први дио система</w:t>
      </w:r>
      <w:r w:rsidRPr="005B4883">
        <w:rPr>
          <w:rFonts w:cstheme="minorHAnsi"/>
          <w:sz w:val="20"/>
          <w:szCs w:val="20"/>
          <w:lang w:val="sr-Cyrl-RS"/>
        </w:rPr>
        <w:t xml:space="preserve"> чини дук</w:t>
      </w:r>
      <w:r w:rsidR="00C53F57" w:rsidRPr="005B4883">
        <w:rPr>
          <w:rFonts w:cstheme="minorHAnsi"/>
          <w:sz w:val="20"/>
          <w:szCs w:val="20"/>
          <w:lang w:val="sr-Cyrl-RS"/>
        </w:rPr>
        <w:t>тилни цјевовод ДН400 мм који се простире од извора до објекта за енергетско искоришћење ( Мхе Миоље Поље ).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C53F57" w:rsidRPr="005B4883">
        <w:rPr>
          <w:rFonts w:cstheme="minorHAnsi"/>
          <w:sz w:val="20"/>
          <w:szCs w:val="20"/>
          <w:lang w:val="sr-Cyrl-RS"/>
        </w:rPr>
        <w:t>Након објекта за енергетско искоришћење се налазе објекти за трет</w:t>
      </w:r>
      <w:r w:rsidRPr="005B4883">
        <w:rPr>
          <w:rFonts w:cstheme="minorHAnsi"/>
          <w:sz w:val="20"/>
          <w:szCs w:val="20"/>
          <w:lang w:val="sr-Cyrl-RS"/>
        </w:rPr>
        <w:t>м</w:t>
      </w:r>
      <w:r w:rsidR="00C911C1">
        <w:rPr>
          <w:rFonts w:cstheme="minorHAnsi"/>
          <w:sz w:val="20"/>
          <w:szCs w:val="20"/>
          <w:lang w:val="sr-Cyrl-RS"/>
        </w:rPr>
        <w:t>ан воде (</w:t>
      </w:r>
      <w:r w:rsidR="00C53F57" w:rsidRPr="005B4883">
        <w:rPr>
          <w:rFonts w:cstheme="minorHAnsi"/>
          <w:sz w:val="20"/>
          <w:szCs w:val="20"/>
          <w:lang w:val="sr-Cyrl-RS"/>
        </w:rPr>
        <w:t>хлоринарница</w:t>
      </w:r>
      <w:r w:rsidR="00C911C1">
        <w:rPr>
          <w:rFonts w:cstheme="minorHAnsi"/>
          <w:sz w:val="20"/>
          <w:szCs w:val="20"/>
          <w:lang w:val="sr-Cyrl-RS"/>
        </w:rPr>
        <w:t xml:space="preserve">). </w:t>
      </w:r>
      <w:r w:rsidR="00C53F57" w:rsidRPr="005B4883">
        <w:rPr>
          <w:rFonts w:cstheme="minorHAnsi"/>
          <w:sz w:val="20"/>
          <w:szCs w:val="20"/>
          <w:lang w:val="sr-Cyrl-RS"/>
        </w:rPr>
        <w:t>Други је хидраулички систем од објекта за третман воде и прекидне коморе из које се наставља ПЕХД ДН400 цјевовод.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A24001" w:rsidRPr="005B4883">
        <w:rPr>
          <w:rFonts w:cstheme="minorHAnsi"/>
          <w:sz w:val="20"/>
          <w:szCs w:val="20"/>
          <w:lang w:val="sr-Cyrl-RS"/>
        </w:rPr>
        <w:t>Прекидна комора се налази на коти 778мнм,</w:t>
      </w:r>
      <w:r w:rsidRPr="005B4883">
        <w:rPr>
          <w:rFonts w:cstheme="minorHAnsi"/>
          <w:sz w:val="20"/>
          <w:szCs w:val="20"/>
          <w:lang w:val="sr-Cyrl-RS"/>
        </w:rPr>
        <w:t xml:space="preserve">  </w:t>
      </w:r>
      <w:r w:rsidR="00A5358C" w:rsidRPr="005B4883">
        <w:rPr>
          <w:rFonts w:cstheme="minorHAnsi"/>
          <w:sz w:val="20"/>
          <w:szCs w:val="20"/>
          <w:lang w:val="sr-Cyrl-RS"/>
        </w:rPr>
        <w:t xml:space="preserve">на тој коти се налази и стројара чије су димензије </w:t>
      </w:r>
      <w:r w:rsidR="00A5358C" w:rsidRPr="005B4883">
        <w:rPr>
          <w:rFonts w:cstheme="minorHAnsi"/>
          <w:sz w:val="20"/>
          <w:szCs w:val="20"/>
          <w:lang w:val="sr-Cyrl-RS"/>
        </w:rPr>
        <w:lastRenderedPageBreak/>
        <w:t xml:space="preserve">11,00 </w:t>
      </w:r>
      <w:r w:rsidR="00A5358C" w:rsidRPr="005B4883">
        <w:rPr>
          <w:rFonts w:cstheme="minorHAnsi"/>
          <w:sz w:val="20"/>
          <w:szCs w:val="20"/>
          <w:lang w:val="en-GB"/>
        </w:rPr>
        <w:t>x</w:t>
      </w:r>
      <w:r w:rsidR="00A5358C" w:rsidRPr="005B4883">
        <w:rPr>
          <w:rFonts w:cstheme="minorHAnsi"/>
          <w:sz w:val="20"/>
          <w:szCs w:val="20"/>
          <w:lang w:val="sr-Cyrl-RS"/>
        </w:rPr>
        <w:t xml:space="preserve"> 9,30 м.</w:t>
      </w:r>
      <w:r w:rsidR="00E613BE" w:rsidRPr="005B4883">
        <w:rPr>
          <w:rFonts w:cstheme="minorHAnsi"/>
          <w:sz w:val="20"/>
          <w:szCs w:val="20"/>
          <w:lang w:val="sr-Cyrl-RS"/>
        </w:rPr>
        <w:t>У стројари је смјештена хоризонтална двомлазна Пелтон турбина,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предтурбински затварач,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хидроулични агрегат за турбине,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суви трансформатор са припадајућом опремом и краном.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E613BE" w:rsidRPr="005B4883">
        <w:rPr>
          <w:rFonts w:cstheme="minorHAnsi"/>
          <w:sz w:val="20"/>
          <w:szCs w:val="20"/>
          <w:lang w:val="sr-Cyrl-RS"/>
        </w:rPr>
        <w:t>Приступ локацији стројаре је са постојећег локалног пура Беране-Лубнице.</w:t>
      </w:r>
    </w:p>
    <w:p w:rsidR="008B270E" w:rsidRPr="005B4883" w:rsidRDefault="008B270E" w:rsidP="00B9575D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Критеријуми и ограничења за избор оптималног концепта хидроенергетског коришћења водовода Беране су:</w:t>
      </w:r>
    </w:p>
    <w:p w:rsidR="008B270E" w:rsidRPr="005B4883" w:rsidRDefault="008B270E" w:rsidP="008B270E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да не ремете квалитет воде после енергетског коришћења и враћања воде у водовод,</w:t>
      </w:r>
    </w:p>
    <w:p w:rsidR="008B270E" w:rsidRPr="005B4883" w:rsidRDefault="008B270E" w:rsidP="008B270E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да не умањи степен заштите и да се ниједним захватом не отежава спровођење мјера заштите од штетног дејства вода,</w:t>
      </w:r>
    </w:p>
    <w:p w:rsidR="008B270E" w:rsidRPr="005B4883" w:rsidRDefault="008B270E" w:rsidP="008B270E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да се ничим не погоршају услови санитарне заштите,</w:t>
      </w:r>
      <w:r w:rsidR="00280175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нити да се на било који начин изврши неки негативан утицај на еколошки старус вода и стање животне средине</w:t>
      </w:r>
    </w:p>
    <w:p w:rsidR="008B270E" w:rsidRPr="005B4883" w:rsidRDefault="008B270E" w:rsidP="008B270E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C70267" w:rsidRPr="005B4883" w:rsidRDefault="00C70267" w:rsidP="008B270E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F9115C" w:rsidRPr="005B4883" w:rsidRDefault="00F9115C" w:rsidP="008B270E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F9115C" w:rsidRPr="005B4883" w:rsidRDefault="00F9115C" w:rsidP="00A80CAF">
      <w:pPr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1.3 Кадровска оспособљеност Друштва</w:t>
      </w:r>
    </w:p>
    <w:p w:rsidR="00B05DE4" w:rsidRPr="005B4883" w:rsidRDefault="00B05DE4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F9115C" w:rsidRPr="005B4883" w:rsidRDefault="00F801E8" w:rsidP="008B270E">
      <w:pPr>
        <w:pStyle w:val="ListParagraph"/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       Сходно правилнику о унутрашњој организацији и систематизацији радних мјеста у</w:t>
      </w:r>
      <w:r w:rsidR="008564B1">
        <w:rPr>
          <w:rFonts w:cstheme="minorHAnsi"/>
          <w:sz w:val="20"/>
          <w:szCs w:val="20"/>
          <w:lang w:val="sr-Cyrl-RS"/>
        </w:rPr>
        <w:t xml:space="preserve"> ДОО „Бенерго“ на дан 31.12.2025</w:t>
      </w:r>
      <w:r w:rsidRPr="005B4883">
        <w:rPr>
          <w:rFonts w:cstheme="minorHAnsi"/>
          <w:sz w:val="20"/>
          <w:szCs w:val="20"/>
          <w:lang w:val="sr-Cyrl-RS"/>
        </w:rPr>
        <w:t xml:space="preserve">. године </w:t>
      </w:r>
      <w:r w:rsidR="008564B1">
        <w:rPr>
          <w:rFonts w:cstheme="minorHAnsi"/>
          <w:sz w:val="20"/>
          <w:szCs w:val="20"/>
          <w:lang w:val="sr-Cyrl-RS"/>
        </w:rPr>
        <w:t>број запослених је био 9 (девет</w:t>
      </w:r>
      <w:r w:rsidR="00880300">
        <w:rPr>
          <w:rFonts w:cstheme="minorHAnsi"/>
          <w:sz w:val="20"/>
          <w:szCs w:val="20"/>
          <w:lang w:val="sr-Cyrl-RS"/>
        </w:rPr>
        <w:t xml:space="preserve">) </w:t>
      </w:r>
      <w:r w:rsidRPr="005B4883">
        <w:rPr>
          <w:rFonts w:cstheme="minorHAnsi"/>
          <w:sz w:val="20"/>
          <w:szCs w:val="20"/>
          <w:lang w:val="sr-Cyrl-RS"/>
        </w:rPr>
        <w:t>лица,и то једно лице на мандату,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 </w:t>
      </w:r>
      <w:r w:rsidR="008564B1">
        <w:rPr>
          <w:rFonts w:cstheme="minorHAnsi"/>
          <w:sz w:val="20"/>
          <w:szCs w:val="20"/>
          <w:lang w:val="sr-Cyrl-RS"/>
        </w:rPr>
        <w:t>8</w:t>
      </w:r>
      <w:r w:rsidR="00880300">
        <w:rPr>
          <w:rFonts w:cstheme="minorHAnsi"/>
          <w:sz w:val="20"/>
          <w:szCs w:val="20"/>
          <w:lang w:val="sr-Cyrl-RS"/>
        </w:rPr>
        <w:t xml:space="preserve"> (</w:t>
      </w:r>
      <w:r w:rsidR="008564B1">
        <w:rPr>
          <w:rFonts w:cstheme="minorHAnsi"/>
          <w:sz w:val="20"/>
          <w:szCs w:val="20"/>
          <w:lang w:val="sr-Cyrl-RS"/>
        </w:rPr>
        <w:t xml:space="preserve">осам </w:t>
      </w:r>
      <w:r w:rsidR="00880300">
        <w:rPr>
          <w:rFonts w:cstheme="minorHAnsi"/>
          <w:sz w:val="20"/>
          <w:szCs w:val="20"/>
          <w:lang w:val="sr-Cyrl-RS"/>
        </w:rPr>
        <w:t>)</w:t>
      </w:r>
      <w:r w:rsidRPr="005B4883">
        <w:rPr>
          <w:rFonts w:cstheme="minorHAnsi"/>
          <w:sz w:val="20"/>
          <w:szCs w:val="20"/>
          <w:lang w:val="sr-Cyrl-RS"/>
        </w:rPr>
        <w:t xml:space="preserve"> лица са 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Уговором на неодређено вријеме </w:t>
      </w:r>
      <w:r w:rsidRPr="005B4883">
        <w:rPr>
          <w:rFonts w:cstheme="minorHAnsi"/>
          <w:sz w:val="20"/>
          <w:szCs w:val="20"/>
          <w:lang w:val="sr-Cyrl-RS"/>
        </w:rPr>
        <w:t xml:space="preserve">.Од укупног броја запослених </w:t>
      </w:r>
      <w:r w:rsidR="008564B1">
        <w:rPr>
          <w:rFonts w:cstheme="minorHAnsi"/>
          <w:sz w:val="20"/>
          <w:szCs w:val="20"/>
          <w:lang w:val="sr-Cyrl-RS"/>
        </w:rPr>
        <w:t>5</w:t>
      </w:r>
      <w:r w:rsidR="00880300">
        <w:rPr>
          <w:rFonts w:cstheme="minorHAnsi"/>
          <w:sz w:val="20"/>
          <w:szCs w:val="20"/>
          <w:lang w:val="sr-Cyrl-RS"/>
        </w:rPr>
        <w:t xml:space="preserve"> (</w:t>
      </w:r>
      <w:r w:rsidR="008564B1">
        <w:rPr>
          <w:rFonts w:cstheme="minorHAnsi"/>
          <w:sz w:val="20"/>
          <w:szCs w:val="20"/>
          <w:lang w:val="sr-Cyrl-RS"/>
        </w:rPr>
        <w:t>пет</w:t>
      </w:r>
      <w:r w:rsidR="00880300">
        <w:rPr>
          <w:rFonts w:cstheme="minorHAnsi"/>
          <w:sz w:val="20"/>
          <w:szCs w:val="20"/>
          <w:lang w:val="sr-Cyrl-RS"/>
        </w:rPr>
        <w:t>)</w:t>
      </w:r>
      <w:r w:rsidRPr="005B4883">
        <w:rPr>
          <w:rFonts w:cstheme="minorHAnsi"/>
          <w:sz w:val="20"/>
          <w:szCs w:val="20"/>
          <w:lang w:val="sr-Cyrl-RS"/>
        </w:rPr>
        <w:t xml:space="preserve"> лица је са 7. степеном стручне спреме који су запослени на административним пословима ,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 xml:space="preserve">осталих </w:t>
      </w:r>
      <w:r w:rsidR="002B1FE6">
        <w:rPr>
          <w:rFonts w:cstheme="minorHAnsi"/>
          <w:sz w:val="20"/>
          <w:szCs w:val="20"/>
          <w:lang w:val="sr-Cyrl-RS"/>
        </w:rPr>
        <w:t>4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880300">
        <w:rPr>
          <w:rFonts w:cstheme="minorHAnsi"/>
          <w:sz w:val="20"/>
          <w:szCs w:val="20"/>
          <w:lang w:val="sr-Cyrl-RS"/>
        </w:rPr>
        <w:t>(четири)</w:t>
      </w:r>
      <w:r w:rsidR="002B1FE6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је са 4.степеном стручне спреме и запошљени су као лица на</w:t>
      </w:r>
      <w:r w:rsidR="00B61AF3" w:rsidRPr="005B4883">
        <w:rPr>
          <w:rFonts w:cstheme="minorHAnsi"/>
          <w:sz w:val="20"/>
          <w:szCs w:val="20"/>
          <w:lang w:val="sr-Cyrl-RS"/>
        </w:rPr>
        <w:t xml:space="preserve"> одржавању и </w:t>
      </w:r>
      <w:r w:rsidR="004540F0">
        <w:rPr>
          <w:rFonts w:cstheme="minorHAnsi"/>
          <w:sz w:val="20"/>
          <w:szCs w:val="20"/>
          <w:lang w:val="sr-Cyrl-RS"/>
        </w:rPr>
        <w:t xml:space="preserve"> обезбеђењу постројења ( МХЕ</w:t>
      </w:r>
      <w:r w:rsidRPr="005B4883">
        <w:rPr>
          <w:rFonts w:cstheme="minorHAnsi"/>
          <w:sz w:val="20"/>
          <w:szCs w:val="20"/>
          <w:lang w:val="sr-Cyrl-RS"/>
        </w:rPr>
        <w:t xml:space="preserve"> „Миоље Поље“ )</w:t>
      </w:r>
    </w:p>
    <w:p w:rsidR="00C70267" w:rsidRPr="005B4883" w:rsidRDefault="00C70267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8133B0" w:rsidRPr="005B4883" w:rsidRDefault="008133B0" w:rsidP="008B270E">
      <w:pPr>
        <w:pStyle w:val="ListParagraph"/>
        <w:rPr>
          <w:rFonts w:cstheme="minorHAnsi"/>
          <w:b/>
          <w:sz w:val="18"/>
          <w:szCs w:val="18"/>
          <w:lang w:val="sr-Cyrl-RS"/>
        </w:rPr>
      </w:pPr>
    </w:p>
    <w:p w:rsidR="00C70267" w:rsidRPr="005B4883" w:rsidRDefault="008133B0" w:rsidP="008B270E">
      <w:pPr>
        <w:pStyle w:val="ListParagraph"/>
        <w:rPr>
          <w:rFonts w:cstheme="minorHAnsi"/>
          <w:sz w:val="18"/>
          <w:szCs w:val="18"/>
          <w:lang w:val="sr-Cyrl-RS"/>
        </w:rPr>
      </w:pPr>
      <w:r w:rsidRPr="005B4883">
        <w:rPr>
          <w:rFonts w:cstheme="minorHAnsi"/>
          <w:b/>
          <w:sz w:val="18"/>
          <w:szCs w:val="18"/>
          <w:lang w:val="sr-Cyrl-RS"/>
        </w:rPr>
        <w:t>Табела 1:</w:t>
      </w:r>
      <w:r w:rsidRPr="005B4883">
        <w:rPr>
          <w:rFonts w:cstheme="minorHAnsi"/>
          <w:sz w:val="18"/>
          <w:szCs w:val="18"/>
          <w:lang w:val="sr-Cyrl-RS"/>
        </w:rPr>
        <w:t xml:space="preserve"> Број и образовна структуа взапослених у ДОО“Бенерго“ Беране</w:t>
      </w:r>
    </w:p>
    <w:p w:rsidR="008133B0" w:rsidRPr="005B4883" w:rsidRDefault="008133B0" w:rsidP="008B270E">
      <w:pPr>
        <w:pStyle w:val="ListParagraph"/>
        <w:rPr>
          <w:rFonts w:cstheme="minorHAnsi"/>
          <w:sz w:val="18"/>
          <w:szCs w:val="18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"/>
        <w:tblW w:w="10172" w:type="dxa"/>
        <w:tblLayout w:type="fixed"/>
        <w:tblLook w:val="04A0" w:firstRow="1" w:lastRow="0" w:firstColumn="1" w:lastColumn="0" w:noHBand="0" w:noVBand="1"/>
      </w:tblPr>
      <w:tblGrid>
        <w:gridCol w:w="937"/>
        <w:gridCol w:w="1097"/>
        <w:gridCol w:w="937"/>
        <w:gridCol w:w="1097"/>
        <w:gridCol w:w="937"/>
        <w:gridCol w:w="1231"/>
        <w:gridCol w:w="847"/>
        <w:gridCol w:w="1055"/>
        <w:gridCol w:w="937"/>
        <w:gridCol w:w="1097"/>
      </w:tblGrid>
      <w:tr w:rsidR="008133B0" w:rsidRPr="005B4883" w:rsidTr="008133B0">
        <w:trPr>
          <w:trHeight w:val="448"/>
        </w:trPr>
        <w:tc>
          <w:tcPr>
            <w:tcW w:w="2034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VII 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>степен стручне спреме</w:t>
            </w:r>
          </w:p>
        </w:tc>
        <w:tc>
          <w:tcPr>
            <w:tcW w:w="2034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VI 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>степен стручне спреме</w:t>
            </w:r>
          </w:p>
        </w:tc>
        <w:tc>
          <w:tcPr>
            <w:tcW w:w="2168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IV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 xml:space="preserve"> степен стручне спреме</w:t>
            </w:r>
          </w:p>
        </w:tc>
        <w:tc>
          <w:tcPr>
            <w:tcW w:w="1902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III</w:t>
            </w:r>
            <w:r w:rsidRPr="005B4883">
              <w:rPr>
                <w:rFonts w:cstheme="minorHAnsi"/>
                <w:b/>
                <w:color w:val="000000" w:themeColor="text1"/>
                <w:sz w:val="18"/>
                <w:szCs w:val="18"/>
                <w:lang w:val="sr-Cyrl-RS"/>
              </w:rPr>
              <w:t xml:space="preserve"> степен стручне спреме</w:t>
            </w:r>
          </w:p>
        </w:tc>
        <w:tc>
          <w:tcPr>
            <w:tcW w:w="2034" w:type="dxa"/>
            <w:gridSpan w:val="2"/>
            <w:shd w:val="clear" w:color="auto" w:fill="BFBFBF" w:themeFill="background1" w:themeFillShade="BF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5B4883">
              <w:rPr>
                <w:rFonts w:cstheme="minorHAnsi"/>
                <w:b/>
                <w:color w:val="000000" w:themeColor="text1"/>
                <w:sz w:val="20"/>
                <w:szCs w:val="20"/>
                <w:lang w:val="sr-Cyrl-RS"/>
              </w:rPr>
              <w:t>НК</w:t>
            </w:r>
          </w:p>
        </w:tc>
      </w:tr>
      <w:tr w:rsidR="008133B0" w:rsidRPr="005B4883" w:rsidTr="008133B0">
        <w:trPr>
          <w:trHeight w:val="393"/>
        </w:trPr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9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9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231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847" w:type="dxa"/>
          </w:tcPr>
          <w:p w:rsidR="008133B0" w:rsidRPr="005B4883" w:rsidRDefault="008133B0" w:rsidP="008133B0">
            <w:pPr>
              <w:pStyle w:val="ListParagraph"/>
              <w:ind w:left="0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55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  <w:tc>
          <w:tcPr>
            <w:tcW w:w="93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Одређено</w:t>
            </w:r>
          </w:p>
        </w:tc>
        <w:tc>
          <w:tcPr>
            <w:tcW w:w="1097" w:type="dxa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b/>
                <w:sz w:val="14"/>
                <w:szCs w:val="14"/>
                <w:lang w:val="sr-Cyrl-RS"/>
              </w:rPr>
            </w:pPr>
            <w:r w:rsidRPr="005B4883">
              <w:rPr>
                <w:rFonts w:cstheme="minorHAnsi"/>
                <w:b/>
                <w:sz w:val="14"/>
                <w:szCs w:val="14"/>
                <w:lang w:val="sr-Cyrl-RS"/>
              </w:rPr>
              <w:t>Неодређено</w:t>
            </w:r>
          </w:p>
        </w:tc>
      </w:tr>
      <w:tr w:rsidR="008133B0" w:rsidRPr="005B4883" w:rsidTr="008133B0">
        <w:trPr>
          <w:trHeight w:val="294"/>
        </w:trPr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646AD1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133B0" w:rsidRPr="005B4883" w:rsidRDefault="00B24991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250E49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133B0" w:rsidRPr="005B4883" w:rsidRDefault="00282447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5B4883">
              <w:rPr>
                <w:rFonts w:cstheme="minorHAnsi"/>
                <w:sz w:val="18"/>
                <w:szCs w:val="18"/>
                <w:lang w:val="sr-Cyrl-RS"/>
              </w:rPr>
              <w:t>-</w:t>
            </w:r>
          </w:p>
        </w:tc>
      </w:tr>
      <w:tr w:rsidR="008133B0" w:rsidRPr="005B4883" w:rsidTr="008133B0">
        <w:trPr>
          <w:trHeight w:val="294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jc w:val="right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b/>
                <w:sz w:val="24"/>
                <w:szCs w:val="24"/>
                <w:lang w:val="sr-Cyrl-RS"/>
              </w:rPr>
              <w:t>ЗАПОСЛЕНИХ: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133B0" w:rsidRPr="005B4883" w:rsidRDefault="00B24991" w:rsidP="008133B0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133B0" w:rsidRPr="005B4883" w:rsidRDefault="008133B0" w:rsidP="008133B0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</w:tbl>
    <w:p w:rsidR="00C70267" w:rsidRPr="005B4883" w:rsidRDefault="00C70267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C70267" w:rsidRPr="005B4883" w:rsidRDefault="008133B0" w:rsidP="008B270E">
      <w:pPr>
        <w:pStyle w:val="ListParagraph"/>
        <w:rPr>
          <w:rFonts w:cstheme="minorHAnsi"/>
          <w:sz w:val="24"/>
          <w:szCs w:val="24"/>
          <w:lang w:val="sr-Cyrl-RS"/>
        </w:rPr>
      </w:pPr>
      <w:r w:rsidRPr="005B4883">
        <w:rPr>
          <w:rFonts w:cstheme="minorHAnsi"/>
          <w:sz w:val="24"/>
          <w:szCs w:val="24"/>
          <w:lang w:val="sr-Cyrl-RS"/>
        </w:rPr>
        <w:t xml:space="preserve">    </w:t>
      </w:r>
    </w:p>
    <w:p w:rsidR="008133B0" w:rsidRPr="005B4883" w:rsidRDefault="008133B0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8133B0" w:rsidRPr="005B4883" w:rsidRDefault="008133B0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B05DE4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57646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57646">
      <w:pPr>
        <w:pStyle w:val="ListParagraph"/>
        <w:rPr>
          <w:rFonts w:cstheme="minorHAnsi"/>
          <w:b/>
          <w:sz w:val="20"/>
          <w:szCs w:val="20"/>
          <w:lang w:val="sr-Cyrl-RS"/>
        </w:rPr>
      </w:pPr>
      <w:r w:rsidRPr="005B4883">
        <w:rPr>
          <w:rFonts w:cstheme="minorHAnsi"/>
          <w:b/>
          <w:sz w:val="20"/>
          <w:szCs w:val="20"/>
          <w:lang w:val="sr-Cyrl-RS"/>
        </w:rPr>
        <w:t>1.4 Извори финансирања Друштва</w:t>
      </w:r>
    </w:p>
    <w:p w:rsidR="00857646" w:rsidRPr="005B4883" w:rsidRDefault="00857646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857646" w:rsidRPr="005B4883" w:rsidRDefault="00857646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464F8E" w:rsidP="00464F8E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У складу са Одлуком СО Беране о давању сагласности на Одлуку о кредитном задужењу  код Прва банке Црне Горе АД- Подгорица реализован је кредит у износу од 750.000 евра дана 14.08.2019. године ,</w:t>
      </w:r>
      <w:r w:rsidR="00747D15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дио кредита у износу од 194,790.00 еура искоришћен је за отплат</w:t>
      </w:r>
      <w:r w:rsidR="00A80CAF" w:rsidRPr="005B4883">
        <w:rPr>
          <w:rFonts w:cstheme="minorHAnsi"/>
          <w:sz w:val="20"/>
          <w:szCs w:val="20"/>
          <w:lang w:val="sr-Cyrl-RS"/>
        </w:rPr>
        <w:t xml:space="preserve">у кредита </w:t>
      </w:r>
      <w:r w:rsidRPr="005B4883">
        <w:rPr>
          <w:rFonts w:cstheme="minorHAnsi"/>
          <w:sz w:val="20"/>
          <w:szCs w:val="20"/>
          <w:lang w:val="sr-Cyrl-RS"/>
        </w:rPr>
        <w:t>у Атлас банци док је преостали износ од 547,710.00 еура утрошен искљ</w:t>
      </w:r>
      <w:r w:rsidR="00C911C1">
        <w:rPr>
          <w:rFonts w:cstheme="minorHAnsi"/>
          <w:sz w:val="20"/>
          <w:szCs w:val="20"/>
          <w:lang w:val="sr-Cyrl-RS"/>
        </w:rPr>
        <w:t>учиво намјенски тј.за изградњу М</w:t>
      </w:r>
      <w:r w:rsidRPr="005B4883">
        <w:rPr>
          <w:rFonts w:cstheme="minorHAnsi"/>
          <w:sz w:val="20"/>
          <w:szCs w:val="20"/>
          <w:lang w:val="sr-Cyrl-RS"/>
        </w:rPr>
        <w:t xml:space="preserve">ХЕ „Миоље Поље“, а све у складу са Уговором о кредиту  и уз </w:t>
      </w:r>
      <w:r w:rsidR="00F02B22" w:rsidRPr="005B4883">
        <w:rPr>
          <w:rFonts w:cstheme="minorHAnsi"/>
          <w:sz w:val="20"/>
          <w:szCs w:val="20"/>
          <w:lang w:val="sr-Cyrl-RS"/>
        </w:rPr>
        <w:t>достављену сву пратећу документацију као потврду о намјенском трошењу средстава.</w:t>
      </w:r>
    </w:p>
    <w:p w:rsidR="00F02B22" w:rsidRPr="00CD47BC" w:rsidRDefault="00A90AFC" w:rsidP="00464F8E">
      <w:pPr>
        <w:rPr>
          <w:rFonts w:cstheme="minorHAnsi"/>
          <w:sz w:val="20"/>
          <w:szCs w:val="20"/>
        </w:rPr>
      </w:pPr>
      <w:r w:rsidRPr="005B4883">
        <w:rPr>
          <w:rFonts w:cstheme="minorHAnsi"/>
          <w:sz w:val="20"/>
          <w:szCs w:val="20"/>
          <w:lang w:val="sr-Cyrl-RS"/>
        </w:rPr>
        <w:lastRenderedPageBreak/>
        <w:t xml:space="preserve">Са обзиром </w:t>
      </w:r>
      <w:r w:rsidR="00C911C1">
        <w:rPr>
          <w:rFonts w:cstheme="minorHAnsi"/>
          <w:sz w:val="20"/>
          <w:szCs w:val="20"/>
          <w:lang w:val="sr-Cyrl-RS"/>
        </w:rPr>
        <w:t>на то да је М</w:t>
      </w:r>
      <w:r w:rsidR="00747D15" w:rsidRPr="005B4883">
        <w:rPr>
          <w:rFonts w:cstheme="minorHAnsi"/>
          <w:sz w:val="20"/>
          <w:szCs w:val="20"/>
          <w:lang w:val="sr-Cyrl-RS"/>
        </w:rPr>
        <w:t>ХЕ „Миоље Поље“ добила</w:t>
      </w:r>
      <w:r w:rsidRPr="005B4883">
        <w:rPr>
          <w:rFonts w:cstheme="minorHAnsi"/>
          <w:sz w:val="20"/>
          <w:szCs w:val="20"/>
          <w:lang w:val="sr-Cyrl-RS"/>
        </w:rPr>
        <w:t xml:space="preserve"> Рјешење о пробном раду 12.02.2021.године  </w:t>
      </w:r>
      <w:r w:rsidR="004C67F3" w:rsidRPr="005B4883">
        <w:rPr>
          <w:rFonts w:cstheme="minorHAnsi"/>
          <w:sz w:val="20"/>
          <w:szCs w:val="20"/>
          <w:lang w:val="sr-Cyrl-RS"/>
        </w:rPr>
        <w:t>тада је и почела</w:t>
      </w:r>
      <w:r w:rsidRPr="005B4883">
        <w:rPr>
          <w:rFonts w:cstheme="minorHAnsi"/>
          <w:sz w:val="20"/>
          <w:szCs w:val="20"/>
          <w:lang w:val="sr-Cyrl-RS"/>
        </w:rPr>
        <w:t xml:space="preserve"> са производњом електричне енергије</w:t>
      </w:r>
      <w:r w:rsidR="004C67F3" w:rsidRPr="005B4883">
        <w:rPr>
          <w:rFonts w:cstheme="minorHAnsi"/>
          <w:sz w:val="20"/>
          <w:szCs w:val="20"/>
          <w:lang w:val="sr-Cyrl-RS"/>
        </w:rPr>
        <w:t xml:space="preserve"> </w:t>
      </w:r>
      <w:r w:rsidR="00747D15" w:rsidRPr="005B4883">
        <w:rPr>
          <w:rFonts w:cstheme="minorHAnsi"/>
          <w:sz w:val="20"/>
          <w:szCs w:val="20"/>
          <w:lang w:val="sr-Cyrl-RS"/>
        </w:rPr>
        <w:t xml:space="preserve">па </w:t>
      </w:r>
      <w:r w:rsidR="004C67F3" w:rsidRPr="005B4883">
        <w:rPr>
          <w:rFonts w:cstheme="minorHAnsi"/>
          <w:sz w:val="20"/>
          <w:szCs w:val="20"/>
          <w:lang w:val="sr-Cyrl-RS"/>
        </w:rPr>
        <w:t xml:space="preserve"> се Друштво </w:t>
      </w:r>
      <w:r w:rsidR="00013ED0">
        <w:rPr>
          <w:rFonts w:cstheme="minorHAnsi"/>
          <w:sz w:val="20"/>
          <w:szCs w:val="20"/>
          <w:lang w:val="sr-Cyrl-RS"/>
        </w:rPr>
        <w:t xml:space="preserve"> од </w:t>
      </w:r>
      <w:r w:rsidR="00A80CAF" w:rsidRPr="005B4883">
        <w:rPr>
          <w:rFonts w:cstheme="minorHAnsi"/>
          <w:sz w:val="20"/>
          <w:szCs w:val="20"/>
          <w:lang w:val="sr-Cyrl-RS"/>
        </w:rPr>
        <w:t>2022</w:t>
      </w:r>
      <w:r w:rsidR="00013ED0">
        <w:rPr>
          <w:rFonts w:cstheme="minorHAnsi"/>
          <w:sz w:val="20"/>
          <w:szCs w:val="20"/>
          <w:lang w:val="sr-Cyrl-RS"/>
        </w:rPr>
        <w:t xml:space="preserve">.године </w:t>
      </w:r>
      <w:r w:rsidRPr="005B4883">
        <w:rPr>
          <w:rFonts w:cstheme="minorHAnsi"/>
          <w:sz w:val="20"/>
          <w:szCs w:val="20"/>
          <w:lang w:val="sr-Cyrl-RS"/>
        </w:rPr>
        <w:t xml:space="preserve"> финансирало од прихода остварених од продаје електричне енергије и из средстава буџета Општи</w:t>
      </w:r>
      <w:r w:rsidR="00013ED0">
        <w:rPr>
          <w:rFonts w:cstheme="minorHAnsi"/>
          <w:sz w:val="20"/>
          <w:szCs w:val="20"/>
          <w:lang w:val="sr-Cyrl-RS"/>
        </w:rPr>
        <w:t>не Беране.</w:t>
      </w:r>
    </w:p>
    <w:p w:rsidR="00B05DE4" w:rsidRPr="005B4883" w:rsidRDefault="00B05DE4" w:rsidP="00B05DE4">
      <w:pPr>
        <w:pStyle w:val="ListParagraph"/>
        <w:jc w:val="center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B05DE4" w:rsidP="008B270E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B05DE4" w:rsidRPr="005B4883" w:rsidRDefault="00B05DE4" w:rsidP="000B0473">
      <w:pPr>
        <w:pStyle w:val="ListParagraph"/>
        <w:rPr>
          <w:rFonts w:cstheme="minorHAnsi"/>
          <w:b/>
          <w:sz w:val="20"/>
          <w:szCs w:val="20"/>
          <w:lang w:val="sr-Cyrl-RS"/>
        </w:rPr>
      </w:pPr>
    </w:p>
    <w:p w:rsidR="00C70267" w:rsidRPr="005B4883" w:rsidRDefault="00A64CAB" w:rsidP="000B0473">
      <w:pPr>
        <w:pStyle w:val="ListParagraph"/>
        <w:rPr>
          <w:rFonts w:cstheme="minorHAnsi"/>
          <w:b/>
          <w:sz w:val="24"/>
          <w:szCs w:val="24"/>
          <w:lang w:val="sr-Cyrl-RS"/>
        </w:rPr>
      </w:pPr>
      <w:r w:rsidRPr="005B4883">
        <w:rPr>
          <w:rFonts w:cstheme="minorHAnsi"/>
          <w:b/>
          <w:sz w:val="24"/>
          <w:szCs w:val="24"/>
          <w:lang w:val="sr-Cyrl-RS"/>
        </w:rPr>
        <w:t xml:space="preserve">2.Спроведене </w:t>
      </w:r>
      <w:r w:rsidR="001A2CBB">
        <w:rPr>
          <w:rFonts w:cstheme="minorHAnsi"/>
          <w:b/>
          <w:sz w:val="24"/>
          <w:szCs w:val="24"/>
          <w:lang w:val="sr-Cyrl-RS"/>
        </w:rPr>
        <w:t xml:space="preserve">активности </w:t>
      </w:r>
    </w:p>
    <w:p w:rsidR="008C558C" w:rsidRDefault="008C558C" w:rsidP="000B0473">
      <w:pPr>
        <w:pStyle w:val="ListParagraph"/>
        <w:rPr>
          <w:rFonts w:cstheme="minorHAnsi"/>
          <w:b/>
          <w:sz w:val="24"/>
          <w:szCs w:val="24"/>
          <w:lang w:val="sr-Cyrl-RS"/>
        </w:rPr>
      </w:pPr>
    </w:p>
    <w:p w:rsidR="00857646" w:rsidRDefault="001A2CBB" w:rsidP="000B0473">
      <w:pPr>
        <w:pStyle w:val="ListParagraph"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>2.1 Активности у 2025.години</w:t>
      </w:r>
    </w:p>
    <w:p w:rsidR="00F067E7" w:rsidRDefault="001A2CBB" w:rsidP="001A2CBB">
      <w:pPr>
        <w:jc w:val="both"/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RS"/>
        </w:rPr>
        <w:t xml:space="preserve">Мини хидроелектана „Миоље Поље“ </w:t>
      </w:r>
      <w:r w:rsidR="008C0077">
        <w:rPr>
          <w:rFonts w:cstheme="minorHAnsi"/>
          <w:sz w:val="20"/>
          <w:szCs w:val="20"/>
          <w:lang w:val="sr-Cyrl-RS"/>
        </w:rPr>
        <w:t>има константну производњу током цијеле године и не зависи од временских прилика јер се налази на Градском водоводу који има константан проток воде ,међутим производња и даље није на нивоу из Идејног рјешења по којем би годишња производња износила 2.200.000 к</w:t>
      </w:r>
      <w:r w:rsidR="008C0077">
        <w:rPr>
          <w:rFonts w:cstheme="minorHAnsi"/>
          <w:sz w:val="20"/>
          <w:szCs w:val="20"/>
          <w:lang w:val="sr-Latn-RS"/>
        </w:rPr>
        <w:t>Wh.To</w:t>
      </w:r>
      <w:r w:rsidR="008C0077">
        <w:rPr>
          <w:rFonts w:cstheme="minorHAnsi"/>
          <w:sz w:val="20"/>
          <w:szCs w:val="20"/>
          <w:lang w:val="sr-Cyrl-ME"/>
        </w:rPr>
        <w:t xml:space="preserve">ком 2025.године спроведено су активности </w:t>
      </w:r>
      <w:r w:rsidR="00BC585C">
        <w:rPr>
          <w:rFonts w:cstheme="minorHAnsi"/>
          <w:sz w:val="20"/>
          <w:szCs w:val="20"/>
          <w:lang w:val="sr-Cyrl-ME"/>
        </w:rPr>
        <w:t>на утврђивању узрока смањене производње па је ангажован професор Машинског факултета Универзитета Црне Горе др.Урош Караџић који је извршио мј</w:t>
      </w:r>
      <w:r w:rsidR="00125CAE">
        <w:rPr>
          <w:rFonts w:cstheme="minorHAnsi"/>
          <w:sz w:val="20"/>
          <w:szCs w:val="20"/>
          <w:lang w:val="sr-Cyrl-ME"/>
        </w:rPr>
        <w:t>ерења на Градском цјевоводу</w:t>
      </w:r>
      <w:r w:rsidR="00BC585C">
        <w:rPr>
          <w:rFonts w:cstheme="minorHAnsi"/>
          <w:sz w:val="20"/>
          <w:szCs w:val="20"/>
          <w:lang w:val="sr-Cyrl-ME"/>
        </w:rPr>
        <w:t xml:space="preserve"> у више ситуација и на различитим мј</w:t>
      </w:r>
      <w:r w:rsidR="00125CAE">
        <w:rPr>
          <w:rFonts w:cstheme="minorHAnsi"/>
          <w:sz w:val="20"/>
          <w:szCs w:val="20"/>
          <w:lang w:val="sr-Cyrl-ME"/>
        </w:rPr>
        <w:t xml:space="preserve">естима </w:t>
      </w:r>
      <w:r w:rsidR="00BC585C">
        <w:rPr>
          <w:rFonts w:cstheme="minorHAnsi"/>
          <w:sz w:val="20"/>
          <w:szCs w:val="20"/>
          <w:lang w:val="sr-Cyrl-ME"/>
        </w:rPr>
        <w:t>.Закључак испитивања др.Караџића односио се на стари дио цјевовода</w:t>
      </w:r>
      <w:r w:rsidR="00F067E7">
        <w:rPr>
          <w:rFonts w:cstheme="minorHAnsi"/>
          <w:sz w:val="20"/>
          <w:szCs w:val="20"/>
          <w:lang w:val="sr-Cyrl-ME"/>
        </w:rPr>
        <w:t xml:space="preserve"> у дужини од 500м који се налази на самом почетку ,од водоизворишта Мерића врела до локалног пута Беране-Лубнице-Јеловица ,гдје се налази главни проблем смањене производње а све највјероватније због застарелости цијеви ( тај дио није био обухваћен реконструкцијом) .У архиви предузећа постоји и детаљан Извештај који је достављен од стране професора Караџића и Машинског факултета.</w:t>
      </w:r>
    </w:p>
    <w:p w:rsidR="009C5AC8" w:rsidRPr="008C0077" w:rsidRDefault="009C5AC8" w:rsidP="001A2CBB">
      <w:pPr>
        <w:jc w:val="both"/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ME"/>
        </w:rPr>
        <w:t>Резултати  мјерења професора Караџића такође су нам помогла и доказала да рад Мини хидроелектране „Миоље Поље“ нема никаквог утицаја на снадбијевање водом грађана и рад локалног Водовода.</w:t>
      </w:r>
    </w:p>
    <w:p w:rsidR="000B0473" w:rsidRPr="005B4883" w:rsidRDefault="001A2CBB" w:rsidP="000B0473">
      <w:pPr>
        <w:pStyle w:val="ListParagraph"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>2.2</w:t>
      </w:r>
      <w:r w:rsidR="000B0473" w:rsidRPr="005B4883">
        <w:rPr>
          <w:rFonts w:cstheme="minorHAnsi"/>
          <w:b/>
          <w:sz w:val="24"/>
          <w:szCs w:val="24"/>
          <w:lang w:val="sr-Cyrl-RS"/>
        </w:rPr>
        <w:t>.Пословна сарадња Друштва</w:t>
      </w:r>
    </w:p>
    <w:p w:rsidR="00D93A05" w:rsidRPr="005B4883" w:rsidRDefault="0082721F" w:rsidP="00B70956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ДОО „ Бенерго“</w:t>
      </w:r>
      <w:r w:rsidR="00FB7E05" w:rsidRPr="005B4883">
        <w:rPr>
          <w:rFonts w:cstheme="minorHAnsi"/>
          <w:sz w:val="20"/>
          <w:szCs w:val="20"/>
          <w:lang w:val="sr-Cyrl-RS"/>
        </w:rPr>
        <w:t xml:space="preserve"> се обратило Управи за инспекцијске послове захтјевом </w:t>
      </w:r>
      <w:r w:rsidRPr="005B4883">
        <w:rPr>
          <w:rFonts w:cstheme="minorHAnsi"/>
          <w:sz w:val="20"/>
          <w:szCs w:val="20"/>
          <w:lang w:val="sr-Cyrl-RS"/>
        </w:rPr>
        <w:t xml:space="preserve"> </w:t>
      </w:r>
      <w:r w:rsidR="00FB7E05" w:rsidRPr="005B4883">
        <w:rPr>
          <w:rFonts w:cstheme="minorHAnsi"/>
          <w:sz w:val="20"/>
          <w:szCs w:val="20"/>
          <w:lang w:val="sr-Cyrl-RS"/>
        </w:rPr>
        <w:t>бр. 404 дана 18.12</w:t>
      </w:r>
      <w:r w:rsidR="00411A35" w:rsidRPr="005B4883">
        <w:rPr>
          <w:rFonts w:cstheme="minorHAnsi"/>
          <w:sz w:val="20"/>
          <w:szCs w:val="20"/>
          <w:lang w:val="sr-Cyrl-RS"/>
        </w:rPr>
        <w:t>.2020.године за издавање Рјешењ</w:t>
      </w:r>
      <w:r w:rsidR="004540F0">
        <w:rPr>
          <w:rFonts w:cstheme="minorHAnsi"/>
          <w:sz w:val="20"/>
          <w:szCs w:val="20"/>
          <w:lang w:val="sr-Cyrl-RS"/>
        </w:rPr>
        <w:t>а за пробни рад МХЕ</w:t>
      </w:r>
      <w:r w:rsidR="00FB7E05" w:rsidRPr="005B4883">
        <w:rPr>
          <w:rFonts w:cstheme="minorHAnsi"/>
          <w:sz w:val="20"/>
          <w:szCs w:val="20"/>
          <w:lang w:val="sr-Cyrl-RS"/>
        </w:rPr>
        <w:t xml:space="preserve"> „Миоље Поље“,на основу кога је Главни енергетски инспектор извршио инспекцијске прегледе  дана 28.12.,31.12.2020. и 03.02.2021.године,при чему је извршен преглед објекта на лицу мјеста и остварен ув</w:t>
      </w:r>
      <w:r w:rsidR="00411A35" w:rsidRPr="005B4883">
        <w:rPr>
          <w:rFonts w:cstheme="minorHAnsi"/>
          <w:sz w:val="20"/>
          <w:szCs w:val="20"/>
          <w:lang w:val="sr-Cyrl-RS"/>
        </w:rPr>
        <w:t>ид у достављену документацију (</w:t>
      </w:r>
      <w:r w:rsidR="00FB7E05" w:rsidRPr="005B4883">
        <w:rPr>
          <w:rFonts w:cstheme="minorHAnsi"/>
          <w:sz w:val="20"/>
          <w:szCs w:val="20"/>
          <w:lang w:val="sr-Cyrl-RS"/>
        </w:rPr>
        <w:t>градилишна,пројектна,атестна и испитна документација,изјаве пројектаната ,надзора и главних и одговорних инжињера на градилишту и да је објекат спреман за пробни рад,план испитивања у пробном раду</w:t>
      </w:r>
      <w:r w:rsidR="005C3768" w:rsidRPr="005B4883">
        <w:rPr>
          <w:rFonts w:cstheme="minorHAnsi"/>
          <w:sz w:val="20"/>
          <w:szCs w:val="20"/>
          <w:lang w:val="sr-Cyrl-RS"/>
        </w:rPr>
        <w:t xml:space="preserve"> усаглашен са Ц</w:t>
      </w:r>
      <w:r w:rsidR="00411A35" w:rsidRPr="005B4883">
        <w:rPr>
          <w:rFonts w:cstheme="minorHAnsi"/>
          <w:sz w:val="20"/>
          <w:szCs w:val="20"/>
          <w:lang w:val="sr-Cyrl-RS"/>
        </w:rPr>
        <w:t>едисом)</w:t>
      </w:r>
      <w:r w:rsidR="00ED7AF8" w:rsidRPr="005B4883">
        <w:rPr>
          <w:rFonts w:cstheme="minorHAnsi"/>
          <w:sz w:val="20"/>
          <w:szCs w:val="20"/>
          <w:lang w:val="sr-Cyrl-RS"/>
        </w:rPr>
        <w:t>.На основу свега наведеног ДОО „Бенерго“ је 05.02.2021.године добило Рјешење од Управе за инспекцијске послове којим се одобрава пробни рад мале хидроелектране „Миоље Поље“</w:t>
      </w:r>
      <w:r w:rsidR="00B70956" w:rsidRPr="005B4883">
        <w:rPr>
          <w:rFonts w:cstheme="minorHAnsi"/>
          <w:sz w:val="20"/>
          <w:szCs w:val="20"/>
          <w:lang w:val="sr-Cyrl-RS"/>
        </w:rPr>
        <w:t xml:space="preserve"> у трајању од 30 дана</w:t>
      </w:r>
      <w:r w:rsidR="00BB6C0F" w:rsidRPr="005B4883">
        <w:rPr>
          <w:rFonts w:cstheme="minorHAnsi"/>
          <w:sz w:val="20"/>
          <w:szCs w:val="20"/>
          <w:lang w:val="sr-Cyrl-RS"/>
        </w:rPr>
        <w:t>.</w:t>
      </w:r>
      <w:r w:rsidR="00D93A05" w:rsidRPr="005B4883">
        <w:rPr>
          <w:rFonts w:cstheme="minorHAnsi"/>
          <w:sz w:val="20"/>
          <w:szCs w:val="20"/>
          <w:lang w:val="sr-Cyrl-RS"/>
        </w:rPr>
        <w:t xml:space="preserve"> </w:t>
      </w:r>
    </w:p>
    <w:p w:rsidR="00C70267" w:rsidRPr="005B4883" w:rsidRDefault="00ED7AF8" w:rsidP="00B70956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Након добијања наведеног Рјешења Друштво је потписало Уговор са ЕПЦГ </w:t>
      </w:r>
      <w:r w:rsidR="00B70956" w:rsidRPr="005B4883">
        <w:rPr>
          <w:rFonts w:cstheme="minorHAnsi"/>
          <w:sz w:val="20"/>
          <w:szCs w:val="20"/>
          <w:lang w:val="sr-Cyrl-RS"/>
        </w:rPr>
        <w:t>о откупу електричне енергије за вријеме трајања пробног рада по цијени од 0,02 еура по киловат сату.Друштво „Бенерго“ доо за период пробног рада 01.03.-25.05.2021.године предало ЕПЦГ 293.393 квх електричне енергије ,</w:t>
      </w:r>
      <w:r w:rsidR="00D93A05" w:rsidRPr="005B4883">
        <w:rPr>
          <w:rFonts w:cstheme="minorHAnsi"/>
          <w:sz w:val="20"/>
          <w:szCs w:val="20"/>
          <w:lang w:val="sr-Cyrl-RS"/>
        </w:rPr>
        <w:t xml:space="preserve"> </w:t>
      </w:r>
      <w:r w:rsidR="00B70956" w:rsidRPr="005B4883">
        <w:rPr>
          <w:rFonts w:cstheme="minorHAnsi"/>
          <w:sz w:val="20"/>
          <w:szCs w:val="20"/>
          <w:lang w:val="sr-Cyrl-RS"/>
        </w:rPr>
        <w:t>што значи да је приход Друштва</w:t>
      </w:r>
      <w:r w:rsidR="00D93A05" w:rsidRPr="005B4883">
        <w:rPr>
          <w:rFonts w:cstheme="minorHAnsi"/>
          <w:sz w:val="20"/>
          <w:szCs w:val="20"/>
          <w:lang w:val="sr-Cyrl-RS"/>
        </w:rPr>
        <w:t xml:space="preserve"> </w:t>
      </w:r>
      <w:r w:rsidR="00B70956" w:rsidRPr="005B4883">
        <w:rPr>
          <w:rFonts w:cstheme="minorHAnsi"/>
          <w:sz w:val="20"/>
          <w:szCs w:val="20"/>
          <w:lang w:val="sr-Cyrl-RS"/>
        </w:rPr>
        <w:t>у том периоду био 5,867,86 еура.</w:t>
      </w:r>
    </w:p>
    <w:p w:rsidR="005C3768" w:rsidRPr="005B4883" w:rsidRDefault="005C3768" w:rsidP="00B70956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Након успјешног пробног рада (уз пар ситних проблема са </w:t>
      </w:r>
      <w:r w:rsidR="0037628E" w:rsidRPr="005B4883">
        <w:rPr>
          <w:rFonts w:cstheme="minorHAnsi"/>
          <w:sz w:val="20"/>
          <w:szCs w:val="20"/>
          <w:lang w:val="sr-Cyrl-RS"/>
        </w:rPr>
        <w:t>дихтунгом на главном вентилу и једним ваздушним вентилом на траси водовода од постројења ка изворишту) ДОО „Бенерго“ је 29.04.2021.године упутило Захтјев за стицање статуса повлашћеног произвођача електричне ененргије према Регулаторној агенцији за енергетику и регулисање</w:t>
      </w:r>
      <w:r w:rsidR="00165D5B" w:rsidRPr="005B4883">
        <w:rPr>
          <w:rFonts w:cstheme="minorHAnsi"/>
          <w:sz w:val="20"/>
          <w:szCs w:val="20"/>
          <w:lang w:val="sr-Cyrl-RS"/>
        </w:rPr>
        <w:t xml:space="preserve"> комуналне дјелатности ( РЕГАГЕН ) уз који је достављена и следаћа документација:</w:t>
      </w:r>
    </w:p>
    <w:p w:rsidR="00165D5B" w:rsidRPr="005B4883" w:rsidRDefault="00165D5B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Уговор о концесији на основу енергетске дозволе о коришћењу воде са водоизворишта </w:t>
      </w:r>
      <w:r w:rsidR="00C911C1">
        <w:rPr>
          <w:rFonts w:cstheme="minorHAnsi"/>
          <w:sz w:val="20"/>
          <w:szCs w:val="20"/>
          <w:lang w:val="sr-Cyrl-RS"/>
        </w:rPr>
        <w:t>„Мерића врело“ у циљу изградње М</w:t>
      </w:r>
      <w:r w:rsidRPr="005B4883">
        <w:rPr>
          <w:rFonts w:cstheme="minorHAnsi"/>
          <w:sz w:val="20"/>
          <w:szCs w:val="20"/>
          <w:lang w:val="sr-Cyrl-RS"/>
        </w:rPr>
        <w:t>ХЕ „Миоље Поље“ ,</w:t>
      </w:r>
      <w:r w:rsidR="00BB6C0F" w:rsidRPr="005B4883">
        <w:rPr>
          <w:rFonts w:cstheme="minorHAnsi"/>
          <w:sz w:val="20"/>
          <w:szCs w:val="20"/>
          <w:lang w:val="sr-Cyrl-RS"/>
        </w:rPr>
        <w:t xml:space="preserve"> </w:t>
      </w:r>
      <w:r w:rsidRPr="005B4883">
        <w:rPr>
          <w:rFonts w:cstheme="minorHAnsi"/>
          <w:sz w:val="20"/>
          <w:szCs w:val="20"/>
          <w:lang w:val="sr-Cyrl-RS"/>
        </w:rPr>
        <w:t>закљу</w:t>
      </w:r>
      <w:r w:rsidR="00A31701" w:rsidRPr="005B4883">
        <w:rPr>
          <w:rFonts w:cstheme="minorHAnsi"/>
          <w:sz w:val="20"/>
          <w:szCs w:val="20"/>
          <w:lang w:val="sr-Cyrl-RS"/>
        </w:rPr>
        <w:t>чен између Владе Црне Горе и „Бе</w:t>
      </w:r>
      <w:r w:rsidR="00BB6C0F" w:rsidRPr="005B4883">
        <w:rPr>
          <w:rFonts w:cstheme="minorHAnsi"/>
          <w:sz w:val="20"/>
          <w:szCs w:val="20"/>
          <w:lang w:val="sr-Cyrl-RS"/>
        </w:rPr>
        <w:t>нерго“ ДОО Беране , бр</w:t>
      </w:r>
      <w:r w:rsidR="00A31701" w:rsidRPr="005B4883">
        <w:rPr>
          <w:rFonts w:cstheme="minorHAnsi"/>
          <w:sz w:val="20"/>
          <w:szCs w:val="20"/>
          <w:lang w:val="sr-Cyrl-RS"/>
        </w:rPr>
        <w:t>ој 310-1628/2018-1 од 21.12.2018.године;</w:t>
      </w:r>
    </w:p>
    <w:p w:rsidR="00A31701" w:rsidRPr="005B4883" w:rsidRDefault="00A31701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 w:rsidRPr="005B4883">
        <w:rPr>
          <w:rFonts w:cstheme="minorHAnsi"/>
          <w:sz w:val="20"/>
          <w:szCs w:val="20"/>
          <w:lang w:val="sr-Cyrl-RS"/>
        </w:rPr>
        <w:t>Лист непокретности 692-Препис ,број 111-919-1532/2021 од 28.04.2021.године ,издат од стране Управе за некретнине ПЈ Беране;</w:t>
      </w:r>
    </w:p>
    <w:p w:rsidR="00A31701" w:rsidRPr="005B4883" w:rsidRDefault="00C911C1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sr-Cyrl-RS"/>
        </w:rPr>
        <w:lastRenderedPageBreak/>
        <w:t>Уговор о прикључењу М</w:t>
      </w:r>
      <w:r w:rsidR="00A31701" w:rsidRPr="005B4883">
        <w:rPr>
          <w:rFonts w:cstheme="minorHAnsi"/>
          <w:sz w:val="20"/>
          <w:szCs w:val="20"/>
          <w:lang w:val="sr-Cyrl-RS"/>
        </w:rPr>
        <w:t>ХЕ „Миоље Поље“ на дистрибутивни систем ,закључен између ДОО „Црногорски електродистрибутивни систем“</w:t>
      </w:r>
      <w:r w:rsidR="009F0473" w:rsidRPr="005B4883">
        <w:rPr>
          <w:rFonts w:cstheme="minorHAnsi"/>
          <w:sz w:val="20"/>
          <w:szCs w:val="20"/>
          <w:lang w:val="sr-Cyrl-RS"/>
        </w:rPr>
        <w:t xml:space="preserve"> Подгорица и „Бенерго“ ДОО Беране,заведен у ЦЕДИС –у под бројем 30-20-14383 од 23.04.2021.године;</w:t>
      </w:r>
    </w:p>
    <w:p w:rsidR="009F0473" w:rsidRPr="005B4883" w:rsidRDefault="009F0473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 w:rsidRPr="005B4883">
        <w:rPr>
          <w:rFonts w:cstheme="minorHAnsi"/>
          <w:sz w:val="20"/>
          <w:szCs w:val="20"/>
          <w:lang w:val="sr-Cyrl-RS"/>
        </w:rPr>
        <w:t>Шематски приказ мјерних мјеста са подацима о уграђеним мјерним уређајима и начином вршења мјерења;</w:t>
      </w:r>
    </w:p>
    <w:p w:rsidR="009F0473" w:rsidRPr="005B4883" w:rsidRDefault="009F0473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 w:rsidRPr="005B4883">
        <w:rPr>
          <w:rFonts w:cstheme="minorHAnsi"/>
          <w:sz w:val="20"/>
          <w:szCs w:val="20"/>
          <w:lang w:val="sr-Cyrl-RS"/>
        </w:rPr>
        <w:t>План производње електричне енергије на годишњем нивоу;</w:t>
      </w:r>
    </w:p>
    <w:p w:rsidR="009F0473" w:rsidRPr="005B4883" w:rsidRDefault="009F0473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 w:rsidRPr="005B4883">
        <w:rPr>
          <w:rFonts w:cstheme="minorHAnsi"/>
          <w:sz w:val="20"/>
          <w:szCs w:val="20"/>
          <w:lang w:val="sr-Cyrl-RS"/>
        </w:rPr>
        <w:t>Извод из Централног регистра привредних субјеката Пореске управе,регистарски број 5-0746172/003 ,издат 19.04.2021.године;</w:t>
      </w:r>
    </w:p>
    <w:p w:rsidR="009F0473" w:rsidRPr="005B4883" w:rsidRDefault="00C911C1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sr-Cyrl-RS"/>
        </w:rPr>
        <w:t>Пријава градње М</w:t>
      </w:r>
      <w:r w:rsidR="009F0473" w:rsidRPr="005B4883">
        <w:rPr>
          <w:rFonts w:cstheme="minorHAnsi"/>
          <w:sz w:val="20"/>
          <w:szCs w:val="20"/>
          <w:lang w:val="sr-Cyrl-RS"/>
        </w:rPr>
        <w:t xml:space="preserve">ХЕ“ Миоље Поље“ </w:t>
      </w:r>
      <w:r w:rsidR="003F50F5" w:rsidRPr="005B4883">
        <w:rPr>
          <w:rFonts w:cstheme="minorHAnsi"/>
          <w:sz w:val="20"/>
          <w:szCs w:val="20"/>
          <w:lang w:val="sr-Cyrl-RS"/>
        </w:rPr>
        <w:t>,заведена код Министарства одрживо</w:t>
      </w:r>
      <w:r w:rsidR="0095645A" w:rsidRPr="005B4883">
        <w:rPr>
          <w:rFonts w:cstheme="minorHAnsi"/>
          <w:sz w:val="20"/>
          <w:szCs w:val="20"/>
          <w:lang w:val="sr-Cyrl-RS"/>
        </w:rPr>
        <w:t xml:space="preserve">г развоја и туризма под бројем </w:t>
      </w:r>
      <w:r w:rsidR="003F50F5" w:rsidRPr="005B4883">
        <w:rPr>
          <w:rFonts w:cstheme="minorHAnsi"/>
          <w:sz w:val="20"/>
          <w:szCs w:val="20"/>
          <w:lang w:val="sr-Cyrl-RS"/>
        </w:rPr>
        <w:t>107/4-460/1 од 06.02.2019.године;</w:t>
      </w:r>
    </w:p>
    <w:p w:rsidR="003F50F5" w:rsidRPr="005B4883" w:rsidRDefault="003F50F5" w:rsidP="00165D5B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  <w:lang w:val="en-GB"/>
        </w:rPr>
      </w:pPr>
      <w:r w:rsidRPr="005B4883">
        <w:rPr>
          <w:rFonts w:cstheme="minorHAnsi"/>
          <w:sz w:val="20"/>
          <w:szCs w:val="20"/>
          <w:lang w:val="sr-Cyrl-RS"/>
        </w:rPr>
        <w:t>Употребна дозвола за прикључни 10 кВ кабл.</w:t>
      </w:r>
    </w:p>
    <w:p w:rsidR="003F50F5" w:rsidRPr="005B4883" w:rsidRDefault="003F50F5" w:rsidP="003F50F5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3F50F5" w:rsidRPr="005B4883" w:rsidRDefault="003F50F5" w:rsidP="00A54E52">
      <w:pPr>
        <w:pStyle w:val="ListParagraph"/>
        <w:ind w:left="0"/>
        <w:jc w:val="both"/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Рјешењем  број 21/1720-6 од 20.05.2021.године од стране Регулаторне агенције за енергетику и регулисане комуналне дјелатности ,ДОО „БЕНЕРГО“ је добило статус повлашћеног произвођача електричне енергије за про</w:t>
      </w:r>
      <w:r w:rsidR="00C911C1">
        <w:rPr>
          <w:rFonts w:cstheme="minorHAnsi"/>
          <w:sz w:val="20"/>
          <w:szCs w:val="20"/>
          <w:lang w:val="sr-Cyrl-RS"/>
        </w:rPr>
        <w:t>изводни објекат М</w:t>
      </w:r>
      <w:r w:rsidRPr="005B4883">
        <w:rPr>
          <w:rFonts w:cstheme="minorHAnsi"/>
          <w:sz w:val="20"/>
          <w:szCs w:val="20"/>
          <w:lang w:val="sr-Cyrl-RS"/>
        </w:rPr>
        <w:t>ХЕ „</w:t>
      </w:r>
      <w:r w:rsidR="00673309" w:rsidRPr="005B4883">
        <w:rPr>
          <w:rFonts w:cstheme="minorHAnsi"/>
          <w:sz w:val="20"/>
          <w:szCs w:val="20"/>
          <w:lang w:val="sr-Cyrl-RS"/>
        </w:rPr>
        <w:t>Миоље Поље“,</w:t>
      </w:r>
      <w:r w:rsidR="00BB6C0F" w:rsidRPr="005B4883">
        <w:rPr>
          <w:rFonts w:cstheme="minorHAnsi"/>
          <w:sz w:val="20"/>
          <w:szCs w:val="20"/>
          <w:lang w:val="sr-Cyrl-RS"/>
        </w:rPr>
        <w:t xml:space="preserve"> </w:t>
      </w:r>
      <w:r w:rsidR="00673309" w:rsidRPr="005B4883">
        <w:rPr>
          <w:rFonts w:cstheme="minorHAnsi"/>
          <w:sz w:val="20"/>
          <w:szCs w:val="20"/>
          <w:lang w:val="sr-Cyrl-RS"/>
        </w:rPr>
        <w:t>у трајању од 12 година.</w:t>
      </w:r>
    </w:p>
    <w:p w:rsidR="00A54E52" w:rsidRPr="005B4883" w:rsidRDefault="00A54E52" w:rsidP="00A54E52">
      <w:pPr>
        <w:pStyle w:val="ListParagraph"/>
        <w:ind w:left="0"/>
        <w:jc w:val="both"/>
        <w:rPr>
          <w:rFonts w:cstheme="minorHAnsi"/>
          <w:sz w:val="20"/>
          <w:szCs w:val="20"/>
          <w:lang w:val="sr-Cyrl-RS"/>
        </w:rPr>
      </w:pPr>
    </w:p>
    <w:p w:rsidR="00A54E52" w:rsidRPr="005B4883" w:rsidRDefault="00271712" w:rsidP="00A54E52">
      <w:pPr>
        <w:pStyle w:val="ListParagraph"/>
        <w:ind w:left="0"/>
        <w:jc w:val="both"/>
        <w:rPr>
          <w:rFonts w:cstheme="minorHAnsi"/>
          <w:sz w:val="20"/>
          <w:szCs w:val="20"/>
          <w:lang w:val="en-GB"/>
        </w:rPr>
      </w:pPr>
      <w:r w:rsidRPr="005B4883">
        <w:rPr>
          <w:rFonts w:cstheme="minorHAnsi"/>
          <w:sz w:val="20"/>
          <w:szCs w:val="20"/>
          <w:lang w:val="sr-Cyrl-RS"/>
        </w:rPr>
        <w:t>На к</w:t>
      </w:r>
      <w:r w:rsidR="00C911C1">
        <w:rPr>
          <w:rFonts w:cstheme="minorHAnsi"/>
          <w:sz w:val="20"/>
          <w:szCs w:val="20"/>
          <w:lang w:val="sr-Cyrl-RS"/>
        </w:rPr>
        <w:t>рају „процеса“ пуштања у рад М</w:t>
      </w:r>
      <w:r w:rsidR="00BB6C0F" w:rsidRPr="005B4883">
        <w:rPr>
          <w:rFonts w:cstheme="minorHAnsi"/>
          <w:sz w:val="20"/>
          <w:szCs w:val="20"/>
          <w:lang w:val="sr-Cyrl-RS"/>
        </w:rPr>
        <w:t>ХЕ</w:t>
      </w:r>
      <w:r w:rsidRPr="005B4883">
        <w:rPr>
          <w:rFonts w:cstheme="minorHAnsi"/>
          <w:sz w:val="20"/>
          <w:szCs w:val="20"/>
          <w:lang w:val="sr-Cyrl-RS"/>
        </w:rPr>
        <w:t xml:space="preserve"> „Миоље Поље“ </w:t>
      </w:r>
      <w:r w:rsidR="00673309" w:rsidRPr="005B4883">
        <w:rPr>
          <w:rFonts w:cstheme="minorHAnsi"/>
          <w:sz w:val="20"/>
          <w:szCs w:val="20"/>
          <w:lang w:val="sr-Cyrl-RS"/>
        </w:rPr>
        <w:t>Друштво је кон</w:t>
      </w:r>
      <w:r w:rsidR="006D7868">
        <w:rPr>
          <w:rFonts w:cstheme="minorHAnsi"/>
          <w:sz w:val="20"/>
          <w:szCs w:val="20"/>
          <w:lang w:val="sr-Cyrl-RS"/>
        </w:rPr>
        <w:t xml:space="preserve">ачно 28.05.2021.године </w:t>
      </w:r>
      <w:r w:rsidR="00673309" w:rsidRPr="005B4883">
        <w:rPr>
          <w:rFonts w:cstheme="minorHAnsi"/>
          <w:sz w:val="20"/>
          <w:szCs w:val="20"/>
          <w:lang w:val="sr-Cyrl-RS"/>
        </w:rPr>
        <w:t xml:space="preserve"> са </w:t>
      </w:r>
      <w:r w:rsidR="00BB6C0F" w:rsidRPr="005B4883">
        <w:rPr>
          <w:rFonts w:cstheme="minorHAnsi"/>
          <w:sz w:val="20"/>
          <w:szCs w:val="20"/>
          <w:lang w:val="sr-Cyrl-RS"/>
        </w:rPr>
        <w:t>ДОО „Црногорски оператор тржишта</w:t>
      </w:r>
      <w:r w:rsidR="00673309" w:rsidRPr="005B4883">
        <w:rPr>
          <w:rFonts w:cstheme="minorHAnsi"/>
          <w:sz w:val="20"/>
          <w:szCs w:val="20"/>
          <w:lang w:val="sr-Cyrl-RS"/>
        </w:rPr>
        <w:t xml:space="preserve"> електричне енергије“ потписало Уговор о откупу електричне енеергије од повлашћеног произвођача бр.21/493-7 по којем је Повлашћени произвођач ( ДОО „БЕНЕРГО“ ) стекао право на подстицајну цијену електричне енергије на основу Закона и Уредбе о начину оствараивања и висини подстицајних цијена за електричну енергију произведену из обновљивих извора и високоефикасне коенгеренције.</w:t>
      </w:r>
      <w:r w:rsidR="001E6582" w:rsidRPr="005B4883">
        <w:rPr>
          <w:rFonts w:cstheme="minorHAnsi"/>
          <w:sz w:val="20"/>
          <w:szCs w:val="20"/>
          <w:lang w:val="sr-Cyrl-RS"/>
        </w:rPr>
        <w:t>Подстицајна цијена електричне енергије по Потписаном Уговору износи 8,352 ц€/к</w:t>
      </w:r>
      <w:r w:rsidR="001E6582" w:rsidRPr="005B4883">
        <w:rPr>
          <w:rFonts w:cstheme="minorHAnsi"/>
          <w:sz w:val="20"/>
          <w:szCs w:val="20"/>
          <w:lang w:val="en-GB"/>
        </w:rPr>
        <w:t>Wh.</w:t>
      </w:r>
    </w:p>
    <w:p w:rsidR="003F50F5" w:rsidRPr="005B4883" w:rsidRDefault="003F50F5" w:rsidP="003F50F5">
      <w:pPr>
        <w:ind w:left="360"/>
        <w:rPr>
          <w:rFonts w:cstheme="minorHAnsi"/>
          <w:sz w:val="24"/>
          <w:szCs w:val="24"/>
          <w:lang w:val="en-GB"/>
        </w:rPr>
      </w:pPr>
    </w:p>
    <w:p w:rsidR="003F50F5" w:rsidRPr="005B4883" w:rsidRDefault="00857646" w:rsidP="003F50F5">
      <w:pPr>
        <w:ind w:left="360"/>
        <w:rPr>
          <w:rFonts w:cstheme="minorHAnsi"/>
          <w:b/>
          <w:sz w:val="24"/>
          <w:szCs w:val="24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</w:t>
      </w:r>
      <w:r w:rsidR="007905A0">
        <w:rPr>
          <w:rFonts w:cstheme="minorHAnsi"/>
          <w:b/>
          <w:sz w:val="24"/>
          <w:szCs w:val="24"/>
          <w:lang w:val="sr-Cyrl-RS"/>
        </w:rPr>
        <w:t>2.3</w:t>
      </w:r>
      <w:r w:rsidR="006F645E">
        <w:rPr>
          <w:rFonts w:cstheme="minorHAnsi"/>
          <w:b/>
          <w:sz w:val="24"/>
          <w:szCs w:val="24"/>
          <w:lang w:val="sr-Cyrl-RS"/>
        </w:rPr>
        <w:t xml:space="preserve"> </w:t>
      </w:r>
      <w:r w:rsidR="006F645E">
        <w:rPr>
          <w:rFonts w:cstheme="minorHAnsi"/>
          <w:b/>
          <w:sz w:val="24"/>
          <w:szCs w:val="24"/>
        </w:rPr>
        <w:t>O</w:t>
      </w:r>
      <w:r w:rsidR="006F645E">
        <w:rPr>
          <w:rFonts w:cstheme="minorHAnsi"/>
          <w:b/>
          <w:sz w:val="24"/>
          <w:szCs w:val="24"/>
          <w:lang w:val="sr-Cyrl-ME"/>
        </w:rPr>
        <w:t xml:space="preserve">сновна </w:t>
      </w:r>
      <w:r w:rsidR="006F645E">
        <w:rPr>
          <w:rFonts w:cstheme="minorHAnsi"/>
          <w:b/>
          <w:sz w:val="24"/>
          <w:szCs w:val="24"/>
          <w:lang w:val="sr-Cyrl-RS"/>
        </w:rPr>
        <w:t>дјелатност</w:t>
      </w:r>
      <w:r w:rsidR="00B24991">
        <w:rPr>
          <w:rFonts w:cstheme="minorHAnsi"/>
          <w:b/>
          <w:sz w:val="24"/>
          <w:szCs w:val="24"/>
          <w:lang w:val="sr-Cyrl-RS"/>
        </w:rPr>
        <w:t xml:space="preserve"> Друштва </w:t>
      </w:r>
    </w:p>
    <w:p w:rsidR="005F58E6" w:rsidRPr="005B4883" w:rsidRDefault="005F58E6" w:rsidP="005F58E6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Основна дјела</w:t>
      </w:r>
      <w:r w:rsidR="001E3174" w:rsidRPr="005B4883">
        <w:rPr>
          <w:rFonts w:cstheme="minorHAnsi"/>
          <w:sz w:val="20"/>
          <w:szCs w:val="20"/>
          <w:lang w:val="sr-Cyrl-RS"/>
        </w:rPr>
        <w:t>тност  Друштва је призводња и дистрибуција електричне енергије</w:t>
      </w:r>
    </w:p>
    <w:p w:rsidR="001E3174" w:rsidRPr="008564B1" w:rsidRDefault="008564B1" w:rsidP="005F58E6">
      <w:pPr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RS"/>
        </w:rPr>
        <w:t>-35.1</w:t>
      </w:r>
      <w:r>
        <w:rPr>
          <w:rFonts w:cstheme="minorHAnsi"/>
          <w:sz w:val="20"/>
          <w:szCs w:val="20"/>
        </w:rPr>
        <w:t>2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 Производња електричне енергије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sr-Cyrl-ME"/>
        </w:rPr>
        <w:t>из обновљивих извора</w:t>
      </w:r>
    </w:p>
    <w:p w:rsidR="001E3174" w:rsidRPr="005B4883" w:rsidRDefault="008564B1" w:rsidP="005F58E6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-35.13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 Пренос електричне енергије</w:t>
      </w:r>
    </w:p>
    <w:p w:rsidR="001E3174" w:rsidRPr="005B4883" w:rsidRDefault="008564B1" w:rsidP="005F58E6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-35.14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 Дистрибуција електричне енергије</w:t>
      </w:r>
    </w:p>
    <w:p w:rsidR="005F58E6" w:rsidRPr="005B4883" w:rsidRDefault="00C911C1" w:rsidP="005F58E6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ДОО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„ Бенерго“ је на основу достављених података од стране Оператора тржишта  периоду од</w:t>
      </w:r>
      <w:r w:rsidR="0095645A" w:rsidRPr="005B4883">
        <w:rPr>
          <w:rFonts w:cstheme="minorHAnsi"/>
          <w:sz w:val="20"/>
          <w:szCs w:val="20"/>
          <w:lang w:val="sr-Cyrl-RS"/>
        </w:rPr>
        <w:t xml:space="preserve">                    </w:t>
      </w:r>
      <w:r w:rsidR="00B24991">
        <w:rPr>
          <w:rFonts w:cstheme="minorHAnsi"/>
          <w:sz w:val="20"/>
          <w:szCs w:val="20"/>
          <w:lang w:val="sr-Cyrl-RS"/>
        </w:rPr>
        <w:t xml:space="preserve"> 01.01.-31.12.2025</w:t>
      </w:r>
      <w:r w:rsidR="001E3174" w:rsidRPr="005B4883">
        <w:rPr>
          <w:rFonts w:cstheme="minorHAnsi"/>
          <w:sz w:val="20"/>
          <w:szCs w:val="20"/>
          <w:lang w:val="sr-Cyrl-RS"/>
        </w:rPr>
        <w:t>. године остварило приузводњу и п</w:t>
      </w:r>
      <w:r>
        <w:rPr>
          <w:rFonts w:cstheme="minorHAnsi"/>
          <w:sz w:val="20"/>
          <w:szCs w:val="20"/>
          <w:lang w:val="sr-Cyrl-RS"/>
        </w:rPr>
        <w:t>родају електричне енергије  из М</w:t>
      </w:r>
      <w:r w:rsidR="001E3174" w:rsidRPr="005B4883">
        <w:rPr>
          <w:rFonts w:cstheme="minorHAnsi"/>
          <w:sz w:val="20"/>
          <w:szCs w:val="20"/>
          <w:lang w:val="sr-Cyrl-RS"/>
        </w:rPr>
        <w:t>ХЕ</w:t>
      </w:r>
      <w:r w:rsidR="00B24991">
        <w:rPr>
          <w:rFonts w:cstheme="minorHAnsi"/>
          <w:sz w:val="20"/>
          <w:szCs w:val="20"/>
          <w:lang w:val="sr-Cyrl-RS"/>
        </w:rPr>
        <w:t xml:space="preserve"> „Миоље Поље“  у износу од 1.903.894</w:t>
      </w:r>
      <w:r w:rsidR="001E3174" w:rsidRPr="005B4883">
        <w:rPr>
          <w:rFonts w:cstheme="minorHAnsi"/>
          <w:sz w:val="20"/>
          <w:szCs w:val="20"/>
          <w:lang w:val="sr-Cyrl-RS"/>
        </w:rPr>
        <w:t xml:space="preserve"> киловат сат</w:t>
      </w:r>
      <w:r w:rsidR="0095645A" w:rsidRPr="005B4883">
        <w:rPr>
          <w:rFonts w:cstheme="minorHAnsi"/>
          <w:sz w:val="20"/>
          <w:szCs w:val="20"/>
          <w:lang w:val="sr-Cyrl-RS"/>
        </w:rPr>
        <w:t>и,овдје ћу напоменути да планирана призводња из Идејног рјешења износи 2.200.000 киловат сати.</w:t>
      </w:r>
    </w:p>
    <w:p w:rsidR="00857646" w:rsidRPr="005B4883" w:rsidRDefault="00857646" w:rsidP="003F50F5">
      <w:pPr>
        <w:ind w:left="360"/>
        <w:rPr>
          <w:rFonts w:cstheme="minorHAnsi"/>
          <w:b/>
          <w:sz w:val="24"/>
          <w:szCs w:val="24"/>
          <w:lang w:val="en-GB"/>
        </w:rPr>
      </w:pPr>
    </w:p>
    <w:p w:rsidR="006B611F" w:rsidRPr="005B4883" w:rsidRDefault="00B24991" w:rsidP="001C4D65">
      <w:pPr>
        <w:ind w:left="567"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 xml:space="preserve"> 3.Финансијско пословање у 2025</w:t>
      </w:r>
      <w:r w:rsidR="0095645A" w:rsidRPr="005B4883">
        <w:rPr>
          <w:rFonts w:cstheme="minorHAnsi"/>
          <w:b/>
          <w:sz w:val="24"/>
          <w:szCs w:val="24"/>
          <w:lang w:val="sr-Cyrl-RS"/>
        </w:rPr>
        <w:t>.години</w:t>
      </w:r>
    </w:p>
    <w:p w:rsidR="0095645A" w:rsidRPr="005B4883" w:rsidRDefault="001C4D65" w:rsidP="001C4D65">
      <w:pPr>
        <w:ind w:left="709" w:hanging="709"/>
        <w:rPr>
          <w:rFonts w:cstheme="minorHAnsi"/>
          <w:b/>
          <w:sz w:val="24"/>
          <w:szCs w:val="24"/>
          <w:lang w:val="sr-Cyrl-RS"/>
        </w:rPr>
      </w:pPr>
      <w:r w:rsidRPr="005B4883">
        <w:rPr>
          <w:rFonts w:cstheme="minorHAnsi"/>
          <w:b/>
          <w:sz w:val="24"/>
          <w:szCs w:val="24"/>
          <w:lang w:val="sr-Cyrl-RS"/>
        </w:rPr>
        <w:t xml:space="preserve">           </w:t>
      </w:r>
      <w:r w:rsidR="0095645A" w:rsidRPr="005B4883">
        <w:rPr>
          <w:rFonts w:cstheme="minorHAnsi"/>
          <w:b/>
          <w:sz w:val="24"/>
          <w:szCs w:val="24"/>
          <w:lang w:val="sr-Cyrl-RS"/>
        </w:rPr>
        <w:t>3.1. Извор сред</w:t>
      </w:r>
      <w:r w:rsidR="00C911C1">
        <w:rPr>
          <w:rFonts w:cstheme="minorHAnsi"/>
          <w:b/>
          <w:sz w:val="24"/>
          <w:szCs w:val="24"/>
          <w:lang w:val="sr-Cyrl-RS"/>
        </w:rPr>
        <w:t>става од којих је направљена МХЕ</w:t>
      </w:r>
      <w:r w:rsidR="0095645A" w:rsidRPr="005B4883">
        <w:rPr>
          <w:rFonts w:cstheme="minorHAnsi"/>
          <w:b/>
          <w:sz w:val="24"/>
          <w:szCs w:val="24"/>
          <w:lang w:val="sr-Cyrl-RS"/>
        </w:rPr>
        <w:t xml:space="preserve"> “Миоље Поље“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У складу са Одлуком СО-Беране о давању сагласности на Одлуку о кредитном задужењу код Прве банке Црне Горе АД-Подгорица реализован је кредит у износу од 750.000 евра.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Услови кредитирања билу су следећи: износ кредита 750,000 евра, каматна стопа 4,3% годишње, грејс период 12 мјесеци са роком отплате од 84 мјесеца, једнократна накнада за обраду кредитног захтјева 1%.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lastRenderedPageBreak/>
        <w:t>Кредит је реализован 14.08.2019.године, од реализованог кредита отплаћен је кредит у Атлас банци у износу од 194</w:t>
      </w:r>
      <w:r w:rsidRPr="005B4883">
        <w:rPr>
          <w:rFonts w:cstheme="minorHAnsi"/>
          <w:sz w:val="20"/>
          <w:szCs w:val="20"/>
          <w:lang w:val="en-GB"/>
        </w:rPr>
        <w:t>,</w:t>
      </w:r>
      <w:r w:rsidR="00C911C1">
        <w:rPr>
          <w:rFonts w:cstheme="minorHAnsi"/>
          <w:sz w:val="20"/>
          <w:szCs w:val="20"/>
          <w:lang w:val="sr-Cyrl-RS"/>
        </w:rPr>
        <w:t>790.00 евра и на рачун ДОО</w:t>
      </w:r>
      <w:r w:rsidRPr="005B4883">
        <w:rPr>
          <w:rFonts w:cstheme="minorHAnsi"/>
          <w:sz w:val="20"/>
          <w:szCs w:val="20"/>
          <w:lang w:val="sr-Cyrl-RS"/>
        </w:rPr>
        <w:t xml:space="preserve">“Бенерго“ 535-19023-46 пренешена средства у износу од 547,710.00 евра. </w:t>
      </w:r>
    </w:p>
    <w:p w:rsidR="00DF6048" w:rsidRPr="005B4883" w:rsidRDefault="00DF6048" w:rsidP="00DF6048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Преостала средста из кредита у узносу од 547,710.00 еврс су трошена искљу</w:t>
      </w:r>
      <w:r w:rsidR="00C911C1">
        <w:rPr>
          <w:rFonts w:cstheme="minorHAnsi"/>
          <w:sz w:val="20"/>
          <w:szCs w:val="20"/>
          <w:lang w:val="sr-Cyrl-RS"/>
        </w:rPr>
        <w:t>чиво намјенски тј. за изградњу М</w:t>
      </w:r>
      <w:r w:rsidRPr="005B4883">
        <w:rPr>
          <w:rFonts w:cstheme="minorHAnsi"/>
          <w:sz w:val="20"/>
          <w:szCs w:val="20"/>
          <w:lang w:val="sr-Cyrl-RS"/>
        </w:rPr>
        <w:t>ХЕ „Миоље Поље“ а све у складу са Уговором о кредиту јер се наглашава да средства МОРАЈУ бити трошена НАМЈЕНСКИ уз достављање пратеће документације која је по форми и суштини задовољавајућа за кредитора.</w:t>
      </w:r>
    </w:p>
    <w:p w:rsidR="00DF6048" w:rsidRPr="005B4883" w:rsidRDefault="00DF6048" w:rsidP="00DF6048">
      <w:pPr>
        <w:pStyle w:val="ListParagraph"/>
        <w:rPr>
          <w:rFonts w:cstheme="minorHAnsi"/>
          <w:sz w:val="20"/>
          <w:szCs w:val="20"/>
          <w:lang w:val="sr-Cyrl-RS"/>
        </w:rPr>
      </w:pPr>
    </w:p>
    <w:p w:rsidR="001C4D65" w:rsidRPr="005B4883" w:rsidRDefault="001C4D65" w:rsidP="001C4D65">
      <w:pPr>
        <w:ind w:left="709" w:hanging="709"/>
        <w:rPr>
          <w:rFonts w:cstheme="minorHAnsi"/>
          <w:b/>
          <w:sz w:val="24"/>
          <w:szCs w:val="24"/>
          <w:lang w:val="en-GB"/>
        </w:rPr>
      </w:pPr>
    </w:p>
    <w:p w:rsidR="0095645A" w:rsidRPr="005B4883" w:rsidRDefault="00345C6C" w:rsidP="00B70956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sr-Cyrl-RS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 </w:t>
      </w:r>
      <w:r w:rsidR="001C4D65" w:rsidRPr="005B4883">
        <w:rPr>
          <w:rFonts w:cstheme="minorHAnsi"/>
          <w:b/>
          <w:sz w:val="24"/>
          <w:szCs w:val="24"/>
          <w:lang w:val="sr-Cyrl-RS"/>
        </w:rPr>
        <w:t xml:space="preserve">  </w:t>
      </w:r>
      <w:r w:rsidR="0095645A" w:rsidRPr="005B4883">
        <w:rPr>
          <w:rFonts w:cstheme="minorHAnsi"/>
          <w:b/>
          <w:sz w:val="24"/>
          <w:szCs w:val="24"/>
          <w:lang w:val="sr-Cyrl-RS"/>
        </w:rPr>
        <w:t>3.2.</w:t>
      </w:r>
      <w:r w:rsidR="00B24991">
        <w:rPr>
          <w:rFonts w:cstheme="minorHAnsi"/>
          <w:b/>
          <w:sz w:val="24"/>
          <w:szCs w:val="24"/>
          <w:lang w:val="sr-Cyrl-RS"/>
        </w:rPr>
        <w:t>Остварени Приходи у 2025</w:t>
      </w:r>
      <w:r w:rsidR="001C4D65" w:rsidRPr="005B4883">
        <w:rPr>
          <w:rFonts w:cstheme="minorHAnsi"/>
          <w:b/>
          <w:sz w:val="24"/>
          <w:szCs w:val="24"/>
          <w:lang w:val="sr-Cyrl-RS"/>
        </w:rPr>
        <w:t>.години</w:t>
      </w:r>
    </w:p>
    <w:p w:rsidR="00DF6048" w:rsidRDefault="00DF6048" w:rsidP="00B70956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>На основу обављања основ</w:t>
      </w:r>
      <w:r w:rsidR="007034C3">
        <w:rPr>
          <w:rFonts w:cstheme="minorHAnsi"/>
          <w:sz w:val="20"/>
          <w:szCs w:val="20"/>
          <w:lang w:val="sr-Cyrl-RS"/>
        </w:rPr>
        <w:t>не дјелотности Друштво је у 2025</w:t>
      </w:r>
      <w:r w:rsidRPr="005B4883">
        <w:rPr>
          <w:rFonts w:cstheme="minorHAnsi"/>
          <w:sz w:val="20"/>
          <w:szCs w:val="20"/>
          <w:lang w:val="sr-Cyrl-RS"/>
        </w:rPr>
        <w:t xml:space="preserve"> години приходовало </w:t>
      </w:r>
      <w:r w:rsidR="000336FF">
        <w:rPr>
          <w:rFonts w:cstheme="minorHAnsi"/>
          <w:sz w:val="20"/>
          <w:szCs w:val="20"/>
          <w:lang w:val="sr-Cyrl-RS"/>
        </w:rPr>
        <w:t>187.048,37</w:t>
      </w:r>
      <w:r w:rsidR="00AD6976" w:rsidRPr="005B4883">
        <w:rPr>
          <w:rFonts w:cstheme="minorHAnsi"/>
          <w:sz w:val="20"/>
          <w:szCs w:val="20"/>
          <w:lang w:val="sr-Cyrl-RS"/>
        </w:rPr>
        <w:t>еура у бруто износ</w:t>
      </w:r>
      <w:r w:rsidR="000336FF">
        <w:rPr>
          <w:rFonts w:cstheme="minorHAnsi"/>
          <w:sz w:val="20"/>
          <w:szCs w:val="20"/>
          <w:lang w:val="sr-Cyrl-RS"/>
        </w:rPr>
        <w:t>у од чега је изноос од 27.792,36</w:t>
      </w:r>
      <w:r w:rsidR="00AD6976" w:rsidRPr="005B4883">
        <w:rPr>
          <w:rFonts w:cstheme="minorHAnsi"/>
          <w:sz w:val="20"/>
          <w:szCs w:val="20"/>
          <w:lang w:val="sr-Cyrl-RS"/>
        </w:rPr>
        <w:t xml:space="preserve"> еура Порез на додату вриједност,шт</w:t>
      </w:r>
      <w:r w:rsidR="007034C3">
        <w:rPr>
          <w:rFonts w:cstheme="minorHAnsi"/>
          <w:sz w:val="20"/>
          <w:szCs w:val="20"/>
          <w:lang w:val="sr-Cyrl-RS"/>
        </w:rPr>
        <w:t>о значи даје нето приход за 2025</w:t>
      </w:r>
      <w:r w:rsidR="00AD6976" w:rsidRPr="005B4883">
        <w:rPr>
          <w:rFonts w:cstheme="minorHAnsi"/>
          <w:sz w:val="20"/>
          <w:szCs w:val="20"/>
          <w:lang w:val="sr-Cyrl-RS"/>
        </w:rPr>
        <w:t xml:space="preserve"> годину од призводње и дистрибуције електри</w:t>
      </w:r>
      <w:r w:rsidR="000336FF">
        <w:rPr>
          <w:rFonts w:cstheme="minorHAnsi"/>
          <w:sz w:val="20"/>
          <w:szCs w:val="20"/>
          <w:lang w:val="sr-Cyrl-RS"/>
        </w:rPr>
        <w:t>чне енергије износио  159.256,01</w:t>
      </w:r>
      <w:r w:rsidR="00AD6976" w:rsidRPr="005B4883">
        <w:rPr>
          <w:rFonts w:cstheme="minorHAnsi"/>
          <w:sz w:val="20"/>
          <w:szCs w:val="20"/>
          <w:lang w:val="sr-Cyrl-RS"/>
        </w:rPr>
        <w:t xml:space="preserve"> еура.</w:t>
      </w:r>
    </w:p>
    <w:p w:rsidR="007B2C8F" w:rsidRPr="005B4883" w:rsidRDefault="007B2C8F" w:rsidP="00B70956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У складу са Законом о порезу на додату вриједност  ( члан 32,став 7 од 30.09.2024.године ) Порески обавезник врши пренос обавеза на наредног учесника у промету,те ДОО“Бенерго“ на својим фактурама за Новембар и Децембар 2025.године није исказивало ПДВ  нити је у обавези на следећим фактурама да га исказује.</w:t>
      </w:r>
    </w:p>
    <w:tbl>
      <w:tblPr>
        <w:tblpPr w:leftFromText="180" w:rightFromText="180" w:vertAnchor="text" w:tblpX="124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2"/>
        <w:gridCol w:w="3138"/>
      </w:tblGrid>
      <w:tr w:rsidR="00A24539" w:rsidRPr="005B4883" w:rsidTr="00151C9C">
        <w:trPr>
          <w:trHeight w:val="270"/>
        </w:trPr>
        <w:tc>
          <w:tcPr>
            <w:tcW w:w="6032" w:type="dxa"/>
          </w:tcPr>
          <w:p w:rsidR="00A24539" w:rsidRPr="005B4883" w:rsidRDefault="00A24539" w:rsidP="000C1E7C">
            <w:pPr>
              <w:spacing w:after="0" w:line="240" w:lineRule="auto"/>
              <w:ind w:right="-3207"/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>Општина Беране</w:t>
            </w:r>
          </w:p>
        </w:tc>
        <w:tc>
          <w:tcPr>
            <w:tcW w:w="3138" w:type="dxa"/>
          </w:tcPr>
          <w:p w:rsidR="00A24539" w:rsidRPr="00FF042E" w:rsidRDefault="00FF042E" w:rsidP="00BC7B3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92.298,40</w:t>
            </w:r>
          </w:p>
        </w:tc>
      </w:tr>
      <w:tr w:rsidR="00A24539" w:rsidRPr="005B4883" w:rsidTr="00151C9C">
        <w:trPr>
          <w:trHeight w:val="371"/>
        </w:trPr>
        <w:tc>
          <w:tcPr>
            <w:tcW w:w="6032" w:type="dxa"/>
          </w:tcPr>
          <w:p w:rsidR="00A24539" w:rsidRPr="005B4883" w:rsidRDefault="00A24539" w:rsidP="00A24539">
            <w:pPr>
              <w:spacing w:after="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>Приходи од производње и продаје елеиктричне енергије</w:t>
            </w:r>
          </w:p>
        </w:tc>
        <w:tc>
          <w:tcPr>
            <w:tcW w:w="3138" w:type="dxa"/>
          </w:tcPr>
          <w:p w:rsidR="00A24539" w:rsidRDefault="000336FF" w:rsidP="00BC7B3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159</w:t>
            </w:r>
            <w:r w:rsidR="00FF042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  <w:lang w:val="sr-Cyrl-ME"/>
              </w:rPr>
              <w:t>256,01</w:t>
            </w:r>
          </w:p>
          <w:p w:rsidR="000336FF" w:rsidRPr="00B24991" w:rsidRDefault="000336FF" w:rsidP="00BC7B3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</w:p>
        </w:tc>
      </w:tr>
      <w:tr w:rsidR="003D7959" w:rsidRPr="005B4883" w:rsidTr="00151C9C">
        <w:trPr>
          <w:trHeight w:val="371"/>
        </w:trPr>
        <w:tc>
          <w:tcPr>
            <w:tcW w:w="6032" w:type="dxa"/>
          </w:tcPr>
          <w:p w:rsidR="003D7959" w:rsidRPr="005B4883" w:rsidRDefault="003D7959" w:rsidP="00A24539">
            <w:pPr>
              <w:spacing w:after="0" w:line="240" w:lineRule="auto"/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Позајмица </w:t>
            </w:r>
          </w:p>
        </w:tc>
        <w:tc>
          <w:tcPr>
            <w:tcW w:w="3138" w:type="dxa"/>
          </w:tcPr>
          <w:p w:rsidR="003D7959" w:rsidRPr="005B4883" w:rsidRDefault="007034C3" w:rsidP="00BC7B3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17.000,00</w:t>
            </w:r>
          </w:p>
        </w:tc>
      </w:tr>
      <w:tr w:rsidR="00A24539" w:rsidRPr="005B4883" w:rsidTr="00151C9C">
        <w:trPr>
          <w:trHeight w:val="270"/>
        </w:trPr>
        <w:tc>
          <w:tcPr>
            <w:tcW w:w="6032" w:type="dxa"/>
            <w:shd w:val="clear" w:color="auto" w:fill="DDD9C3" w:themeFill="background2" w:themeFillShade="E6"/>
          </w:tcPr>
          <w:p w:rsidR="00A24539" w:rsidRPr="005B4883" w:rsidRDefault="00A24539" w:rsidP="00A2453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b/>
                <w:sz w:val="24"/>
                <w:szCs w:val="24"/>
                <w:lang w:val="sr-Cyrl-ME"/>
              </w:rPr>
              <w:t>Укупно :</w:t>
            </w:r>
          </w:p>
        </w:tc>
        <w:tc>
          <w:tcPr>
            <w:tcW w:w="3138" w:type="dxa"/>
            <w:shd w:val="clear" w:color="auto" w:fill="DDD9C3" w:themeFill="background2" w:themeFillShade="E6"/>
          </w:tcPr>
          <w:p w:rsidR="00A24539" w:rsidRPr="005B4883" w:rsidRDefault="00126202" w:rsidP="00BC7B3A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268.555</w:t>
            </w:r>
            <w:r w:rsidR="00B511E0">
              <w:rPr>
                <w:rFonts w:cstheme="minorHAnsi"/>
                <w:b/>
                <w:sz w:val="24"/>
                <w:szCs w:val="24"/>
                <w:lang w:val="sr-Cyrl-RS"/>
              </w:rPr>
              <w:t>,00</w:t>
            </w:r>
          </w:p>
        </w:tc>
      </w:tr>
    </w:tbl>
    <w:p w:rsidR="00A24539" w:rsidRPr="00345C6C" w:rsidRDefault="00345C6C" w:rsidP="00B70956">
      <w:pPr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ME"/>
        </w:rPr>
        <w:t>Приказ прихода за 2025.годину у Табели:</w:t>
      </w:r>
    </w:p>
    <w:p w:rsidR="00A24539" w:rsidRPr="005B4883" w:rsidRDefault="00A24539" w:rsidP="00B70956">
      <w:pPr>
        <w:rPr>
          <w:rFonts w:cstheme="minorHAnsi"/>
          <w:sz w:val="20"/>
          <w:szCs w:val="20"/>
          <w:lang w:val="sr-Cyrl-RS"/>
        </w:rPr>
      </w:pPr>
    </w:p>
    <w:p w:rsidR="005C15A3" w:rsidRPr="005B4883" w:rsidRDefault="00A24539" w:rsidP="00A24539">
      <w:pPr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</w:t>
      </w:r>
    </w:p>
    <w:p w:rsidR="001C4D65" w:rsidRDefault="00A24539" w:rsidP="00A24539">
      <w:pPr>
        <w:rPr>
          <w:rFonts w:cstheme="minorHAnsi"/>
          <w:b/>
          <w:sz w:val="24"/>
          <w:szCs w:val="24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   </w:t>
      </w:r>
      <w:r w:rsidR="001C4D65" w:rsidRPr="005B4883">
        <w:rPr>
          <w:rFonts w:cstheme="minorHAnsi"/>
          <w:b/>
          <w:sz w:val="24"/>
          <w:szCs w:val="24"/>
          <w:lang w:val="sr-Cyrl-RS"/>
        </w:rPr>
        <w:t xml:space="preserve"> </w:t>
      </w:r>
      <w:r w:rsidR="007034C3">
        <w:rPr>
          <w:rFonts w:cstheme="minorHAnsi"/>
          <w:b/>
          <w:sz w:val="24"/>
          <w:szCs w:val="24"/>
          <w:lang w:val="sr-Cyrl-RS"/>
        </w:rPr>
        <w:t>3.3.Остварени Расходи у 2025</w:t>
      </w:r>
      <w:r w:rsidR="001C4D65" w:rsidRPr="005B4883">
        <w:rPr>
          <w:rFonts w:cstheme="minorHAnsi"/>
          <w:b/>
          <w:sz w:val="24"/>
          <w:szCs w:val="24"/>
          <w:lang w:val="sr-Cyrl-RS"/>
        </w:rPr>
        <w:t>.години</w:t>
      </w:r>
    </w:p>
    <w:p w:rsidR="00345C6C" w:rsidRDefault="00345C6C" w:rsidP="00A24539">
      <w:pPr>
        <w:rPr>
          <w:rFonts w:cstheme="minorHAnsi"/>
          <w:sz w:val="20"/>
          <w:szCs w:val="20"/>
          <w:lang w:val="sr-Cyrl-ME"/>
        </w:rPr>
      </w:pPr>
    </w:p>
    <w:p w:rsidR="00345C6C" w:rsidRDefault="00345C6C" w:rsidP="00A24539">
      <w:pPr>
        <w:rPr>
          <w:rFonts w:cstheme="minorHAnsi"/>
          <w:sz w:val="20"/>
          <w:szCs w:val="20"/>
          <w:lang w:val="sr-Cyrl-ME"/>
        </w:rPr>
      </w:pPr>
      <w:r>
        <w:rPr>
          <w:rFonts w:cstheme="minorHAnsi"/>
          <w:sz w:val="20"/>
          <w:szCs w:val="20"/>
          <w:lang w:val="sr-Cyrl-ME"/>
        </w:rPr>
        <w:t>Приказ расхода за 2025.годину у Табели:</w:t>
      </w:r>
    </w:p>
    <w:p w:rsidR="00345C6C" w:rsidRDefault="00345C6C" w:rsidP="00A24539">
      <w:pPr>
        <w:rPr>
          <w:rFonts w:cstheme="minorHAnsi"/>
          <w:sz w:val="20"/>
          <w:szCs w:val="20"/>
          <w:lang w:val="sr-Cyrl-ME"/>
        </w:rPr>
      </w:pPr>
    </w:p>
    <w:p w:rsidR="00345C6C" w:rsidRPr="005B4883" w:rsidRDefault="00345C6C" w:rsidP="00A24539">
      <w:pPr>
        <w:rPr>
          <w:rFonts w:cstheme="minorHAnsi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74"/>
        <w:gridCol w:w="3128"/>
      </w:tblGrid>
      <w:tr w:rsidR="00A24539" w:rsidRPr="005B4883" w:rsidTr="00F7068E">
        <w:trPr>
          <w:trHeight w:val="380"/>
        </w:trPr>
        <w:tc>
          <w:tcPr>
            <w:tcW w:w="5974" w:type="dxa"/>
          </w:tcPr>
          <w:p w:rsidR="00A24539" w:rsidRPr="005B4883" w:rsidRDefault="007B6C50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Трошкови Нето зарада </w:t>
            </w:r>
            <w:r w:rsidR="008811F7">
              <w:rPr>
                <w:rFonts w:cstheme="minorHAnsi"/>
                <w:sz w:val="24"/>
                <w:szCs w:val="24"/>
                <w:lang w:val="sr-Cyrl-ME"/>
              </w:rPr>
              <w:t>за редован рад - 2025</w:t>
            </w:r>
            <w:r w:rsidR="005C15A3" w:rsidRPr="005B4883">
              <w:rPr>
                <w:rFonts w:cstheme="minorHAnsi"/>
                <w:sz w:val="24"/>
                <w:szCs w:val="24"/>
                <w:lang w:val="sr-Cyrl-ME"/>
              </w:rPr>
              <w:t xml:space="preserve"> година</w:t>
            </w:r>
          </w:p>
        </w:tc>
        <w:tc>
          <w:tcPr>
            <w:tcW w:w="3128" w:type="dxa"/>
          </w:tcPr>
          <w:p w:rsidR="00A24539" w:rsidRPr="00C7709E" w:rsidRDefault="008811F7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</w:rPr>
              <w:t>1</w:t>
            </w:r>
            <w:r w:rsidRPr="00C7709E">
              <w:rPr>
                <w:rFonts w:cstheme="minorHAnsi"/>
                <w:sz w:val="24"/>
                <w:szCs w:val="24"/>
                <w:lang w:val="sr-Cyrl-ME"/>
              </w:rPr>
              <w:t>02.648,57</w:t>
            </w:r>
          </w:p>
        </w:tc>
      </w:tr>
      <w:tr w:rsidR="003D7959" w:rsidRPr="005B4883" w:rsidTr="00F7068E">
        <w:trPr>
          <w:trHeight w:val="380"/>
        </w:trPr>
        <w:tc>
          <w:tcPr>
            <w:tcW w:w="5974" w:type="dxa"/>
          </w:tcPr>
          <w:p w:rsidR="003D7959" w:rsidRPr="005B4883" w:rsidRDefault="003D7959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Трошкови по кредиту </w:t>
            </w:r>
          </w:p>
        </w:tc>
        <w:tc>
          <w:tcPr>
            <w:tcW w:w="3128" w:type="dxa"/>
          </w:tcPr>
          <w:p w:rsidR="003D7959" w:rsidRPr="00C7709E" w:rsidRDefault="008811F7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 w:rsidRPr="00C7709E">
              <w:rPr>
                <w:rFonts w:cstheme="minorHAnsi"/>
                <w:sz w:val="24"/>
                <w:szCs w:val="24"/>
                <w:lang w:val="sr-Cyrl-RS"/>
              </w:rPr>
              <w:t>145.496,90</w:t>
            </w:r>
          </w:p>
        </w:tc>
      </w:tr>
      <w:tr w:rsidR="00C57A13" w:rsidRPr="005B4883" w:rsidTr="00F7068E">
        <w:trPr>
          <w:trHeight w:val="380"/>
        </w:trPr>
        <w:tc>
          <w:tcPr>
            <w:tcW w:w="5974" w:type="dxa"/>
          </w:tcPr>
          <w:p w:rsidR="00C57A13" w:rsidRPr="005B4883" w:rsidRDefault="00770E58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 xml:space="preserve">Трошкови контролисања воде </w:t>
            </w:r>
          </w:p>
        </w:tc>
        <w:tc>
          <w:tcPr>
            <w:tcW w:w="3128" w:type="dxa"/>
          </w:tcPr>
          <w:p w:rsidR="00C57A13" w:rsidRPr="00C7709E" w:rsidRDefault="00770E58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 w:rsidRPr="00C7709E">
              <w:rPr>
                <w:rFonts w:cstheme="minorHAnsi"/>
                <w:sz w:val="24"/>
                <w:szCs w:val="24"/>
                <w:lang w:val="sr-Cyrl-RS"/>
              </w:rPr>
              <w:t>400,00</w:t>
            </w:r>
          </w:p>
        </w:tc>
      </w:tr>
      <w:tr w:rsidR="00A24539" w:rsidRPr="005B4883" w:rsidTr="00F7068E">
        <w:trPr>
          <w:trHeight w:val="380"/>
        </w:trPr>
        <w:tc>
          <w:tcPr>
            <w:tcW w:w="5974" w:type="dxa"/>
          </w:tcPr>
          <w:p w:rsidR="00A24539" w:rsidRPr="005B4883" w:rsidRDefault="00A24539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>Трошкови накнаде за рад оператера</w:t>
            </w:r>
          </w:p>
        </w:tc>
        <w:tc>
          <w:tcPr>
            <w:tcW w:w="3128" w:type="dxa"/>
          </w:tcPr>
          <w:p w:rsidR="00A24539" w:rsidRPr="00C7709E" w:rsidRDefault="009F711A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2.412,63</w:t>
            </w:r>
          </w:p>
        </w:tc>
      </w:tr>
      <w:tr w:rsidR="00A24539" w:rsidRPr="005B4883" w:rsidTr="00F7068E">
        <w:trPr>
          <w:trHeight w:val="358"/>
        </w:trPr>
        <w:tc>
          <w:tcPr>
            <w:tcW w:w="5974" w:type="dxa"/>
          </w:tcPr>
          <w:p w:rsidR="00A24539" w:rsidRPr="005B4883" w:rsidRDefault="00A24539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Трошкови концесије </w:t>
            </w:r>
          </w:p>
        </w:tc>
        <w:tc>
          <w:tcPr>
            <w:tcW w:w="3128" w:type="dxa"/>
          </w:tcPr>
          <w:p w:rsidR="00A24539" w:rsidRPr="00C7709E" w:rsidRDefault="00A24539" w:rsidP="00F7068E">
            <w:pPr>
              <w:jc w:val="right"/>
              <w:rPr>
                <w:rFonts w:cstheme="minorHAnsi"/>
                <w:sz w:val="24"/>
                <w:szCs w:val="24"/>
              </w:rPr>
            </w:pPr>
            <w:r w:rsidRPr="00C7709E">
              <w:rPr>
                <w:rFonts w:cstheme="minorHAnsi"/>
                <w:sz w:val="24"/>
                <w:szCs w:val="24"/>
              </w:rPr>
              <w:t>11.208,28</w:t>
            </w:r>
          </w:p>
        </w:tc>
      </w:tr>
      <w:tr w:rsidR="00A24539" w:rsidRPr="005B4883" w:rsidTr="00F7068E">
        <w:trPr>
          <w:trHeight w:val="358"/>
        </w:trPr>
        <w:tc>
          <w:tcPr>
            <w:tcW w:w="5974" w:type="dxa"/>
          </w:tcPr>
          <w:p w:rsidR="00770E58" w:rsidRPr="00770E58" w:rsidRDefault="00770E58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proofErr w:type="spellStart"/>
            <w:r w:rsidRPr="005B4883">
              <w:rPr>
                <w:rFonts w:cstheme="minorHAnsi"/>
                <w:sz w:val="24"/>
                <w:szCs w:val="24"/>
              </w:rPr>
              <w:t>Tro</w:t>
            </w:r>
            <w:proofErr w:type="spellEnd"/>
            <w:r w:rsidRPr="005B4883">
              <w:rPr>
                <w:rFonts w:cstheme="minorHAnsi"/>
                <w:sz w:val="24"/>
                <w:szCs w:val="24"/>
                <w:lang w:val="sr-Cyrl-RS"/>
              </w:rPr>
              <w:t>шкови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истраживања</w:t>
            </w:r>
          </w:p>
        </w:tc>
        <w:tc>
          <w:tcPr>
            <w:tcW w:w="3128" w:type="dxa"/>
          </w:tcPr>
          <w:p w:rsidR="00A24539" w:rsidRPr="00C7709E" w:rsidRDefault="00770E58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2.200,00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Трошкови закупа погонскке опреме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12,47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lastRenderedPageBreak/>
              <w:t>Трошкови за  комуналне услуге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91,49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</w:rPr>
              <w:t>T</w:t>
            </w:r>
            <w:r w:rsidRPr="005B4883">
              <w:rPr>
                <w:rFonts w:cstheme="minorHAnsi"/>
                <w:sz w:val="24"/>
                <w:szCs w:val="24"/>
                <w:lang w:val="sr-Cyrl-RS"/>
              </w:rPr>
              <w:t>рошкови телекомуникационих услуга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3.557,87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Трошкови репрезентације у земљи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121,74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Трошкови материјала за реновирање канцеларије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162,51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770E58" w:rsidRDefault="007B02E6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  <w:lang w:val="sr-Cyrl-ME"/>
              </w:rPr>
              <w:t>рошкови резервних дјелова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403,64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770E58" w:rsidRDefault="007B02E6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t>Трошкови канцеларискох материјала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RS"/>
              </w:rPr>
              <w:t>915,97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770E58" w:rsidRDefault="007B02E6" w:rsidP="00F7068E">
            <w:pPr>
              <w:rPr>
                <w:rFonts w:cstheme="minorHAnsi"/>
                <w:sz w:val="24"/>
                <w:szCs w:val="24"/>
                <w:lang w:val="sr-Cyrl-ME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t>Трошкови матријала за одржавање хиги</w:t>
            </w:r>
            <w:r>
              <w:rPr>
                <w:rFonts w:cstheme="minorHAnsi"/>
                <w:sz w:val="24"/>
                <w:szCs w:val="24"/>
                <w:lang w:val="sr-Cyrl-RS"/>
              </w:rPr>
              <w:t>ј</w:t>
            </w:r>
            <w:r w:rsidRPr="005B4883">
              <w:rPr>
                <w:rFonts w:cstheme="minorHAnsi"/>
                <w:sz w:val="24"/>
                <w:szCs w:val="24"/>
                <w:lang w:val="sr-Cyrl-RS"/>
              </w:rPr>
              <w:t>ене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ME"/>
              </w:rPr>
            </w:pPr>
            <w:r w:rsidRPr="00C7709E">
              <w:rPr>
                <w:rFonts w:cstheme="minorHAnsi"/>
                <w:sz w:val="24"/>
                <w:szCs w:val="24"/>
                <w:lang w:val="sr-Cyrl-RS"/>
              </w:rPr>
              <w:t>17,40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  <w:lang w:val="sr-Cyrl-RS"/>
              </w:rPr>
              <w:t xml:space="preserve">Други трошкови услуга одржавања 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737,00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B4883">
              <w:rPr>
                <w:rFonts w:cstheme="minorHAnsi"/>
                <w:sz w:val="24"/>
                <w:szCs w:val="24"/>
                <w:lang w:val="sr-Cyrl-ME"/>
              </w:rPr>
              <w:t xml:space="preserve">Трошкови службених путовања у земљи 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  <w:lang w:val="sr-Cyrl-RS"/>
              </w:rPr>
            </w:pPr>
            <w:r w:rsidRPr="00C7709E">
              <w:rPr>
                <w:rFonts w:cstheme="minorHAnsi"/>
                <w:sz w:val="24"/>
                <w:szCs w:val="24"/>
                <w:lang w:val="sr-Cyrl-ME"/>
              </w:rPr>
              <w:t>313,50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ME"/>
              </w:rPr>
              <w:t>Трошкови награде за рођење дјетета запосленог</w:t>
            </w:r>
          </w:p>
        </w:tc>
        <w:tc>
          <w:tcPr>
            <w:tcW w:w="3128" w:type="dxa"/>
          </w:tcPr>
          <w:p w:rsidR="007B02E6" w:rsidRPr="00C7709E" w:rsidRDefault="007B02E6" w:rsidP="00F7068E">
            <w:pPr>
              <w:jc w:val="right"/>
              <w:rPr>
                <w:rFonts w:cstheme="minorHAnsi"/>
                <w:sz w:val="24"/>
                <w:szCs w:val="24"/>
              </w:rPr>
            </w:pPr>
            <w:r w:rsidRPr="00C7709E">
              <w:rPr>
                <w:rFonts w:cstheme="minorHAnsi"/>
                <w:sz w:val="24"/>
                <w:szCs w:val="24"/>
                <w:lang w:val="sr-Cyrl-RS"/>
              </w:rPr>
              <w:t>100,00</w:t>
            </w:r>
          </w:p>
        </w:tc>
      </w:tr>
      <w:tr w:rsidR="007B02E6" w:rsidRPr="005B4883" w:rsidTr="006D70F6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7B02E6" w:rsidRPr="005B4883" w:rsidRDefault="007B02E6" w:rsidP="00F7068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>Трошкови наканаде трошкова запосленима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7B02E6" w:rsidRPr="007B02E6" w:rsidRDefault="007B02E6" w:rsidP="00F7068E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7B02E6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 xml:space="preserve">                                         100,00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7B02E6" w:rsidRPr="00F7068E" w:rsidRDefault="007B02E6" w:rsidP="00F7068E">
            <w:pPr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 xml:space="preserve">Трошкови савјетовања 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7B02E6" w:rsidRPr="007B02E6" w:rsidRDefault="007B02E6" w:rsidP="00F7068E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</w:pPr>
            <w:r w:rsidRPr="007B02E6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 xml:space="preserve">                                           81,92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7B02E6" w:rsidRPr="00F7068E" w:rsidRDefault="007B02E6" w:rsidP="00F7068E">
            <w:pPr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 xml:space="preserve">Трошкови административне таксе 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7B02E6" w:rsidRPr="007B02E6" w:rsidRDefault="007B02E6" w:rsidP="007B02E6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7B02E6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7B02E6" w:rsidRPr="00F7068E" w:rsidRDefault="007B02E6" w:rsidP="00F7068E">
            <w:pPr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>Трошкови платног промета у земљи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7B02E6" w:rsidRPr="007B02E6" w:rsidRDefault="007B02E6" w:rsidP="009D3FD7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7B02E6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512,34</w:t>
            </w:r>
          </w:p>
        </w:tc>
      </w:tr>
      <w:tr w:rsidR="007B02E6" w:rsidRPr="005B4883" w:rsidTr="00F7068E">
        <w:trPr>
          <w:trHeight w:val="380"/>
        </w:trPr>
        <w:tc>
          <w:tcPr>
            <w:tcW w:w="5974" w:type="dxa"/>
            <w:shd w:val="clear" w:color="auto" w:fill="FFFFFF" w:themeFill="background1"/>
          </w:tcPr>
          <w:p w:rsidR="007B02E6" w:rsidRPr="00F7068E" w:rsidRDefault="007B02E6" w:rsidP="00F7068E">
            <w:pPr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</w:pPr>
            <w:r w:rsidRPr="00F7068E">
              <w:rPr>
                <w:rFonts w:cstheme="minorHAnsi"/>
                <w:color w:val="000000" w:themeColor="text1"/>
                <w:sz w:val="24"/>
                <w:szCs w:val="24"/>
                <w:lang w:val="sr-Cyrl-ME"/>
              </w:rPr>
              <w:t>Трошкови преноса за РКР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7B02E6" w:rsidRPr="007B02E6" w:rsidRDefault="007B02E6" w:rsidP="007B02E6">
            <w:pPr>
              <w:jc w:val="right"/>
            </w:pPr>
            <w:r w:rsidRPr="007B02E6">
              <w:rPr>
                <w:lang w:val="sr-Cyrl-RS"/>
              </w:rPr>
              <w:t>13,00</w:t>
            </w:r>
          </w:p>
        </w:tc>
      </w:tr>
      <w:tr w:rsidR="007B02E6" w:rsidRPr="005B4883" w:rsidTr="006D70F6">
        <w:trPr>
          <w:trHeight w:val="380"/>
        </w:trPr>
        <w:tc>
          <w:tcPr>
            <w:tcW w:w="5974" w:type="dxa"/>
            <w:shd w:val="clear" w:color="auto" w:fill="DDD9C3" w:themeFill="background2" w:themeFillShade="E6"/>
          </w:tcPr>
          <w:p w:rsidR="007B02E6" w:rsidRPr="00C7709E" w:rsidRDefault="007B02E6" w:rsidP="00F7068E">
            <w:pPr>
              <w:rPr>
                <w:rFonts w:cstheme="minorHAnsi"/>
                <w:color w:val="000000" w:themeColor="text1"/>
                <w:sz w:val="24"/>
                <w:szCs w:val="24"/>
                <w:highlight w:val="lightGray"/>
                <w:lang w:val="sr-Cyrl-ME"/>
              </w:rPr>
            </w:pPr>
            <w:r w:rsidRPr="00C7709E">
              <w:rPr>
                <w:rFonts w:cstheme="minorHAnsi"/>
                <w:b/>
                <w:color w:val="000000" w:themeColor="text1"/>
                <w:sz w:val="24"/>
                <w:szCs w:val="24"/>
                <w:highlight w:val="lightGray"/>
                <w:lang w:val="sr-Cyrl-ME"/>
              </w:rPr>
              <w:t>Укупно :</w:t>
            </w:r>
          </w:p>
        </w:tc>
        <w:tc>
          <w:tcPr>
            <w:tcW w:w="3128" w:type="dxa"/>
            <w:shd w:val="clear" w:color="auto" w:fill="DDD9C3" w:themeFill="background2" w:themeFillShade="E6"/>
          </w:tcPr>
          <w:p w:rsidR="007B02E6" w:rsidRPr="008C558C" w:rsidRDefault="007B02E6" w:rsidP="009D3FD7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  <w:highlight w:val="lightGray"/>
                <w:lang w:val="sr-Cyrl-ME"/>
              </w:rPr>
            </w:pPr>
            <w:r w:rsidRPr="00C7709E">
              <w:rPr>
                <w:rFonts w:cstheme="minorHAnsi"/>
                <w:b/>
                <w:color w:val="000000" w:themeColor="text1"/>
                <w:sz w:val="24"/>
                <w:szCs w:val="24"/>
                <w:highlight w:val="lightGray"/>
                <w:lang w:val="sr-Cyrl-RS"/>
              </w:rPr>
              <w:t>271.</w:t>
            </w:r>
            <w:r w:rsidR="00B21D9C">
              <w:rPr>
                <w:rFonts w:cstheme="minorHAnsi"/>
                <w:b/>
                <w:color w:val="000000" w:themeColor="text1"/>
                <w:sz w:val="24"/>
                <w:szCs w:val="24"/>
                <w:highlight w:val="lightGray"/>
                <w:lang w:val="sr-Cyrl-ME"/>
              </w:rPr>
              <w:t>512,33</w:t>
            </w:r>
            <w:bookmarkStart w:id="0" w:name="_GoBack"/>
            <w:bookmarkEnd w:id="0"/>
          </w:p>
        </w:tc>
      </w:tr>
    </w:tbl>
    <w:p w:rsidR="00C70267" w:rsidRPr="005B4883" w:rsidRDefault="00BC6535" w:rsidP="00C5377C">
      <w:pPr>
        <w:spacing w:line="240" w:lineRule="auto"/>
        <w:ind w:left="142" w:hanging="567"/>
        <w:rPr>
          <w:rFonts w:cstheme="minorHAnsi"/>
          <w:sz w:val="20"/>
          <w:szCs w:val="20"/>
          <w:lang w:val="sr-Cyrl-RS"/>
        </w:rPr>
      </w:pPr>
      <w:r w:rsidRPr="005B4883">
        <w:rPr>
          <w:rFonts w:cstheme="minorHAnsi"/>
          <w:sz w:val="20"/>
          <w:szCs w:val="20"/>
          <w:lang w:val="sr-Cyrl-RS"/>
        </w:rPr>
        <w:t xml:space="preserve">          </w:t>
      </w:r>
    </w:p>
    <w:p w:rsidR="007B02E6" w:rsidRDefault="007B02E6" w:rsidP="00C36AA0">
      <w:pPr>
        <w:rPr>
          <w:rFonts w:cstheme="minorHAnsi"/>
          <w:b/>
          <w:sz w:val="24"/>
          <w:szCs w:val="24"/>
          <w:lang w:val="sr-Cyrl-RS"/>
        </w:rPr>
      </w:pPr>
    </w:p>
    <w:p w:rsidR="007B02E6" w:rsidRDefault="007B02E6" w:rsidP="00C36AA0">
      <w:pPr>
        <w:rPr>
          <w:rFonts w:cstheme="minorHAnsi"/>
          <w:b/>
          <w:sz w:val="24"/>
          <w:szCs w:val="24"/>
          <w:lang w:val="sr-Cyrl-RS"/>
        </w:rPr>
      </w:pPr>
    </w:p>
    <w:p w:rsidR="007B02E6" w:rsidRDefault="007B02E6" w:rsidP="00C36AA0">
      <w:pPr>
        <w:rPr>
          <w:rFonts w:cstheme="minorHAnsi"/>
          <w:b/>
          <w:sz w:val="24"/>
          <w:szCs w:val="24"/>
          <w:lang w:val="sr-Cyrl-RS"/>
        </w:rPr>
      </w:pPr>
    </w:p>
    <w:p w:rsidR="00D82056" w:rsidRPr="00C36AA0" w:rsidRDefault="00187B42" w:rsidP="00C36AA0">
      <w:pPr>
        <w:rPr>
          <w:rFonts w:cstheme="minorHAnsi"/>
          <w:b/>
          <w:sz w:val="24"/>
          <w:szCs w:val="24"/>
          <w:lang w:val="sr-Cyrl-RS"/>
        </w:rPr>
      </w:pPr>
      <w:r w:rsidRPr="00C36AA0">
        <w:rPr>
          <w:rFonts w:cstheme="minorHAnsi"/>
          <w:b/>
          <w:sz w:val="24"/>
          <w:szCs w:val="24"/>
          <w:lang w:val="sr-Cyrl-RS"/>
        </w:rPr>
        <w:t>4.ЗАКЉУЧАК</w:t>
      </w:r>
    </w:p>
    <w:p w:rsidR="00BB4FA7" w:rsidRPr="007E3A99" w:rsidRDefault="00BB4FA7" w:rsidP="008B270E">
      <w:pPr>
        <w:pStyle w:val="ListParagraph"/>
        <w:rPr>
          <w:rFonts w:cstheme="minorHAnsi"/>
          <w:b/>
          <w:sz w:val="24"/>
          <w:szCs w:val="24"/>
        </w:rPr>
      </w:pPr>
    </w:p>
    <w:p w:rsidR="00CD7B85" w:rsidRDefault="00CD7B85" w:rsidP="008B270E">
      <w:pPr>
        <w:pStyle w:val="ListParagraph"/>
        <w:rPr>
          <w:rFonts w:cstheme="minorHAnsi"/>
          <w:sz w:val="24"/>
          <w:szCs w:val="24"/>
          <w:lang w:val="sr-Cyrl-RS"/>
        </w:rPr>
      </w:pPr>
    </w:p>
    <w:p w:rsidR="00BB4FA7" w:rsidRPr="0091255C" w:rsidRDefault="00BB4FA7" w:rsidP="0091255C">
      <w:p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>Из свега наведеног може се закључити да је МХЕ</w:t>
      </w:r>
      <w:r w:rsidR="00E13896" w:rsidRPr="0091255C">
        <w:rPr>
          <w:rFonts w:cstheme="minorHAnsi"/>
          <w:sz w:val="20"/>
          <w:szCs w:val="20"/>
          <w:lang w:val="sr-Cyrl-RS"/>
        </w:rPr>
        <w:t xml:space="preserve"> </w:t>
      </w:r>
      <w:r w:rsidRPr="0091255C">
        <w:rPr>
          <w:rFonts w:cstheme="minorHAnsi"/>
          <w:sz w:val="20"/>
          <w:szCs w:val="20"/>
          <w:lang w:val="sr-Cyrl-RS"/>
        </w:rPr>
        <w:t>“Ми</w:t>
      </w:r>
      <w:r w:rsidR="00C911C1" w:rsidRPr="0091255C">
        <w:rPr>
          <w:rFonts w:cstheme="minorHAnsi"/>
          <w:sz w:val="20"/>
          <w:szCs w:val="20"/>
          <w:lang w:val="sr-Cyrl-RS"/>
        </w:rPr>
        <w:t>оље Поље“ а тиме и „Бенерго“ ДОО</w:t>
      </w:r>
      <w:r w:rsidRPr="0091255C">
        <w:rPr>
          <w:rFonts w:cstheme="minorHAnsi"/>
          <w:sz w:val="20"/>
          <w:szCs w:val="20"/>
          <w:lang w:val="sr-Cyrl-RS"/>
        </w:rPr>
        <w:t xml:space="preserve"> пројекат у складу са трендом у производњи електричне енергије који је у порасту нарочито када је ријеч о производњи из </w:t>
      </w:r>
      <w:r w:rsidRPr="003C63B8">
        <w:rPr>
          <w:rFonts w:cstheme="minorHAnsi"/>
          <w:sz w:val="20"/>
          <w:szCs w:val="20"/>
          <w:lang w:val="sr-Cyrl-RS"/>
        </w:rPr>
        <w:t>обновљивих извора.  Г</w:t>
      </w:r>
      <w:r w:rsidR="00B34F8E" w:rsidRPr="003C63B8">
        <w:rPr>
          <w:rFonts w:cstheme="minorHAnsi"/>
          <w:sz w:val="20"/>
          <w:szCs w:val="20"/>
          <w:lang w:val="sr-Cyrl-RS"/>
        </w:rPr>
        <w:t>лобални циљ је да се до 20</w:t>
      </w:r>
      <w:r w:rsidRPr="003C63B8">
        <w:rPr>
          <w:rFonts w:cstheme="minorHAnsi"/>
          <w:sz w:val="20"/>
          <w:szCs w:val="20"/>
          <w:lang w:val="sr-Cyrl-RS"/>
        </w:rPr>
        <w:t>30.године утростручи производња електричне енергије из</w:t>
      </w:r>
      <w:r w:rsidRPr="0091255C">
        <w:rPr>
          <w:rFonts w:cstheme="minorHAnsi"/>
          <w:sz w:val="20"/>
          <w:szCs w:val="20"/>
          <w:lang w:val="sr-Cyrl-RS"/>
        </w:rPr>
        <w:t xml:space="preserve"> чистих извора.</w:t>
      </w:r>
    </w:p>
    <w:p w:rsidR="00E13896" w:rsidRPr="00151C9C" w:rsidRDefault="00E13896" w:rsidP="00151C9C">
      <w:pPr>
        <w:rPr>
          <w:rFonts w:cstheme="minorHAnsi"/>
          <w:sz w:val="20"/>
          <w:szCs w:val="20"/>
          <w:lang w:val="sr-Cyrl-RS"/>
        </w:rPr>
      </w:pPr>
      <w:r w:rsidRPr="00151C9C">
        <w:rPr>
          <w:rFonts w:cstheme="minorHAnsi"/>
          <w:sz w:val="20"/>
          <w:szCs w:val="20"/>
          <w:lang w:val="sr-Cyrl-RS"/>
        </w:rPr>
        <w:t>ДОО „Бенерго“ је у протеклом периоду имало нед</w:t>
      </w:r>
      <w:r w:rsidR="007A1532" w:rsidRPr="00151C9C">
        <w:rPr>
          <w:rFonts w:cstheme="minorHAnsi"/>
          <w:sz w:val="20"/>
          <w:szCs w:val="20"/>
          <w:lang w:val="sr-Cyrl-RS"/>
        </w:rPr>
        <w:t>о</w:t>
      </w:r>
      <w:r w:rsidRPr="00151C9C">
        <w:rPr>
          <w:rFonts w:cstheme="minorHAnsi"/>
          <w:sz w:val="20"/>
          <w:szCs w:val="20"/>
          <w:lang w:val="sr-Cyrl-RS"/>
        </w:rPr>
        <w:t>статак финансијских средстава из 2 раз</w:t>
      </w:r>
      <w:r w:rsidR="00C876E7" w:rsidRPr="00151C9C">
        <w:rPr>
          <w:rFonts w:cstheme="minorHAnsi"/>
          <w:sz w:val="20"/>
          <w:szCs w:val="20"/>
          <w:lang w:val="sr-Cyrl-RS"/>
        </w:rPr>
        <w:t>лога</w:t>
      </w:r>
      <w:r w:rsidRPr="00151C9C">
        <w:rPr>
          <w:rFonts w:cstheme="minorHAnsi"/>
          <w:sz w:val="20"/>
          <w:szCs w:val="20"/>
          <w:lang w:val="sr-Cyrl-RS"/>
        </w:rPr>
        <w:t xml:space="preserve"> и то: </w:t>
      </w:r>
    </w:p>
    <w:p w:rsidR="00E13896" w:rsidRPr="0091255C" w:rsidRDefault="00E13896" w:rsidP="0091255C">
      <w:pPr>
        <w:pStyle w:val="ListParagraph"/>
        <w:numPr>
          <w:ilvl w:val="0"/>
          <w:numId w:val="18"/>
        </w:num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>средства из кредита нису била довољна за реализацију пројекта, а прије почетка производње и продаје електричне енергије друштво је би</w:t>
      </w:r>
      <w:r w:rsidR="00E91059" w:rsidRPr="0091255C">
        <w:rPr>
          <w:rFonts w:cstheme="minorHAnsi"/>
          <w:sz w:val="20"/>
          <w:szCs w:val="20"/>
          <w:lang w:val="sr-Cyrl-RS"/>
        </w:rPr>
        <w:t>л</w:t>
      </w:r>
      <w:r w:rsidRPr="0091255C">
        <w:rPr>
          <w:rFonts w:cstheme="minorHAnsi"/>
          <w:sz w:val="20"/>
          <w:szCs w:val="20"/>
          <w:lang w:val="sr-Cyrl-RS"/>
        </w:rPr>
        <w:t>о у обавези да поред текућих трошкова врши и измирење мјесечног ануитета по кредиту у износу од цца 12.000 еура</w:t>
      </w:r>
    </w:p>
    <w:p w:rsidR="00E13896" w:rsidRPr="0091255C" w:rsidRDefault="00C911C1" w:rsidP="0091255C">
      <w:pPr>
        <w:pStyle w:val="ListParagraph"/>
        <w:numPr>
          <w:ilvl w:val="0"/>
          <w:numId w:val="18"/>
        </w:num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 xml:space="preserve"> производња М</w:t>
      </w:r>
      <w:r w:rsidR="00E13896" w:rsidRPr="0091255C">
        <w:rPr>
          <w:rFonts w:cstheme="minorHAnsi"/>
          <w:sz w:val="20"/>
          <w:szCs w:val="20"/>
          <w:lang w:val="sr-Cyrl-RS"/>
        </w:rPr>
        <w:t>ХЕ није на очекиваном н</w:t>
      </w:r>
      <w:r w:rsidR="00E91059" w:rsidRPr="0091255C">
        <w:rPr>
          <w:rFonts w:cstheme="minorHAnsi"/>
          <w:sz w:val="20"/>
          <w:szCs w:val="20"/>
          <w:lang w:val="sr-Cyrl-RS"/>
        </w:rPr>
        <w:t>и</w:t>
      </w:r>
      <w:r w:rsidR="00E13896" w:rsidRPr="0091255C">
        <w:rPr>
          <w:rFonts w:cstheme="minorHAnsi"/>
          <w:sz w:val="20"/>
          <w:szCs w:val="20"/>
          <w:lang w:val="sr-Cyrl-RS"/>
        </w:rPr>
        <w:t xml:space="preserve">воу а као разлог за мању производњу </w:t>
      </w:r>
      <w:r w:rsidR="007A1532" w:rsidRPr="0091255C">
        <w:rPr>
          <w:rFonts w:cstheme="minorHAnsi"/>
          <w:sz w:val="20"/>
          <w:szCs w:val="20"/>
          <w:lang w:val="sr-Cyrl-RS"/>
        </w:rPr>
        <w:t xml:space="preserve"> наводи се лоше стање цјевовода у дужини од цца 500 метара</w:t>
      </w:r>
      <w:r w:rsidR="00E91059" w:rsidRPr="0091255C">
        <w:rPr>
          <w:rFonts w:cstheme="minorHAnsi"/>
          <w:sz w:val="20"/>
          <w:szCs w:val="20"/>
          <w:lang w:val="sr-Cyrl-RS"/>
        </w:rPr>
        <w:t xml:space="preserve"> (почетак цјев</w:t>
      </w:r>
      <w:r w:rsidR="007A1532" w:rsidRPr="0091255C">
        <w:rPr>
          <w:rFonts w:cstheme="minorHAnsi"/>
          <w:sz w:val="20"/>
          <w:szCs w:val="20"/>
          <w:lang w:val="sr-Cyrl-RS"/>
        </w:rPr>
        <w:t>овода)</w:t>
      </w:r>
      <w:r w:rsidR="00E13896" w:rsidRPr="0091255C">
        <w:rPr>
          <w:rFonts w:cstheme="minorHAnsi"/>
          <w:sz w:val="20"/>
          <w:szCs w:val="20"/>
          <w:lang w:val="sr-Cyrl-RS"/>
        </w:rPr>
        <w:t xml:space="preserve"> </w:t>
      </w:r>
      <w:r w:rsidR="007A1532" w:rsidRPr="0091255C">
        <w:rPr>
          <w:rFonts w:cstheme="minorHAnsi"/>
          <w:sz w:val="20"/>
          <w:szCs w:val="20"/>
          <w:lang w:val="sr-Cyrl-RS"/>
        </w:rPr>
        <w:t>који није обухваћен реконструкцијом те умјесто  просјечне планиране  производње од 290 киловат часова остварена просјечна производња је 238 киловат часова.</w:t>
      </w:r>
    </w:p>
    <w:p w:rsidR="00E91059" w:rsidRPr="003C63B8" w:rsidRDefault="00E91059" w:rsidP="0091255C">
      <w:pPr>
        <w:jc w:val="both"/>
        <w:rPr>
          <w:rFonts w:cstheme="minorHAnsi"/>
          <w:i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lastRenderedPageBreak/>
        <w:t xml:space="preserve"> </w:t>
      </w:r>
      <w:r w:rsidRPr="003C63B8">
        <w:rPr>
          <w:rFonts w:cstheme="minorHAnsi"/>
          <w:i/>
          <w:sz w:val="20"/>
          <w:szCs w:val="20"/>
          <w:lang w:val="sr-Cyrl-RS"/>
        </w:rPr>
        <w:t>ДОО„Бенерго“ ће 11.10.2026.године завршити отплату кредита у Првој банци и од тог дана ослобађа се цца 12.000 еура средстава којима ће друштво располагати.</w:t>
      </w:r>
    </w:p>
    <w:p w:rsidR="00E8602A" w:rsidRPr="0091255C" w:rsidRDefault="00570F7B" w:rsidP="0091255C">
      <w:pPr>
        <w:jc w:val="both"/>
        <w:rPr>
          <w:rFonts w:cstheme="minorHAnsi"/>
          <w:sz w:val="20"/>
          <w:szCs w:val="20"/>
          <w:lang w:val="sr-Cyrl-RS"/>
        </w:rPr>
      </w:pPr>
      <w:r w:rsidRPr="0091255C">
        <w:rPr>
          <w:rFonts w:cstheme="minorHAnsi"/>
          <w:sz w:val="20"/>
          <w:szCs w:val="20"/>
          <w:lang w:val="sr-Cyrl-RS"/>
        </w:rPr>
        <w:t xml:space="preserve">Осим </w:t>
      </w:r>
      <w:r w:rsidR="00E60593" w:rsidRPr="0091255C">
        <w:rPr>
          <w:rFonts w:cstheme="minorHAnsi"/>
          <w:sz w:val="20"/>
          <w:szCs w:val="20"/>
          <w:lang w:val="sr-Cyrl-RS"/>
        </w:rPr>
        <w:t xml:space="preserve">пројекта </w:t>
      </w:r>
      <w:r w:rsidR="004540F0">
        <w:rPr>
          <w:rFonts w:cstheme="minorHAnsi"/>
          <w:sz w:val="20"/>
          <w:szCs w:val="20"/>
          <w:lang w:val="sr-Cyrl-RS"/>
        </w:rPr>
        <w:t>М</w:t>
      </w:r>
      <w:r w:rsidRPr="0091255C">
        <w:rPr>
          <w:rFonts w:cstheme="minorHAnsi"/>
          <w:sz w:val="20"/>
          <w:szCs w:val="20"/>
          <w:lang w:val="sr-Cyrl-RS"/>
        </w:rPr>
        <w:t>ХЕ“Миоље Поље“</w:t>
      </w:r>
      <w:r w:rsidR="004540F0">
        <w:rPr>
          <w:rFonts w:cstheme="minorHAnsi"/>
          <w:sz w:val="20"/>
          <w:szCs w:val="20"/>
          <w:lang w:val="sr-Cyrl-RS"/>
        </w:rPr>
        <w:t xml:space="preserve"> одрађено је идејно рјешење за М</w:t>
      </w:r>
      <w:r w:rsidRPr="0091255C">
        <w:rPr>
          <w:rFonts w:cstheme="minorHAnsi"/>
          <w:sz w:val="20"/>
          <w:szCs w:val="20"/>
          <w:lang w:val="sr-Cyrl-RS"/>
        </w:rPr>
        <w:t>ХЕ на Ржанском врелу и доби</w:t>
      </w:r>
      <w:r w:rsidR="00B34F8E" w:rsidRPr="0091255C">
        <w:rPr>
          <w:rFonts w:cstheme="minorHAnsi"/>
          <w:sz w:val="20"/>
          <w:szCs w:val="20"/>
          <w:lang w:val="sr-Cyrl-RS"/>
        </w:rPr>
        <w:t>јена енергетска дозвола али усл</w:t>
      </w:r>
      <w:r w:rsidRPr="0091255C">
        <w:rPr>
          <w:rFonts w:cstheme="minorHAnsi"/>
          <w:sz w:val="20"/>
          <w:szCs w:val="20"/>
          <w:lang w:val="sr-Cyrl-RS"/>
        </w:rPr>
        <w:t>ед недостатка средстава</w:t>
      </w:r>
      <w:r w:rsidR="00B34F8E" w:rsidRPr="0091255C">
        <w:rPr>
          <w:rFonts w:cstheme="minorHAnsi"/>
          <w:sz w:val="20"/>
          <w:szCs w:val="20"/>
          <w:lang w:val="sr-Cyrl-RS"/>
        </w:rPr>
        <w:t xml:space="preserve"> за наставак пројекта Ржанско врело</w:t>
      </w:r>
      <w:r w:rsidR="007F281E" w:rsidRPr="0091255C">
        <w:rPr>
          <w:rFonts w:cstheme="minorHAnsi"/>
          <w:sz w:val="20"/>
          <w:szCs w:val="20"/>
          <w:lang w:val="sr-Cyrl-RS"/>
        </w:rPr>
        <w:t xml:space="preserve"> и уредбе</w:t>
      </w:r>
      <w:r w:rsidRPr="0091255C">
        <w:rPr>
          <w:rFonts w:cstheme="minorHAnsi"/>
          <w:sz w:val="20"/>
          <w:szCs w:val="20"/>
          <w:lang w:val="sr-Cyrl-RS"/>
        </w:rPr>
        <w:t xml:space="preserve"> Владе о </w:t>
      </w:r>
      <w:r w:rsidR="00042FF4" w:rsidRPr="0091255C">
        <w:rPr>
          <w:rFonts w:cstheme="minorHAnsi"/>
          <w:sz w:val="20"/>
          <w:szCs w:val="20"/>
          <w:lang w:val="sr-Cyrl-RS"/>
        </w:rPr>
        <w:t>мораторијум</w:t>
      </w:r>
      <w:r w:rsidR="00B34F8E" w:rsidRPr="0091255C">
        <w:rPr>
          <w:rFonts w:cstheme="minorHAnsi"/>
          <w:sz w:val="20"/>
          <w:szCs w:val="20"/>
          <w:lang w:val="sr-Cyrl-RS"/>
        </w:rPr>
        <w:t>у</w:t>
      </w:r>
      <w:r w:rsidR="004540F0">
        <w:rPr>
          <w:rFonts w:cstheme="minorHAnsi"/>
          <w:sz w:val="20"/>
          <w:szCs w:val="20"/>
          <w:lang w:val="sr-Cyrl-RS"/>
        </w:rPr>
        <w:t xml:space="preserve"> на изградњу М</w:t>
      </w:r>
      <w:r w:rsidR="00042FF4" w:rsidRPr="0091255C">
        <w:rPr>
          <w:rFonts w:cstheme="minorHAnsi"/>
          <w:sz w:val="20"/>
          <w:szCs w:val="20"/>
          <w:lang w:val="sr-Cyrl-RS"/>
        </w:rPr>
        <w:t>ХЕ овај пројекат је заустављен.</w:t>
      </w:r>
    </w:p>
    <w:p w:rsidR="00485153" w:rsidRPr="00485153" w:rsidRDefault="00485153" w:rsidP="0091255C">
      <w:pPr>
        <w:jc w:val="both"/>
        <w:rPr>
          <w:rFonts w:cstheme="minorHAnsi"/>
          <w:sz w:val="24"/>
          <w:szCs w:val="24"/>
          <w:lang w:val="sr-Cyrl-ME"/>
        </w:rPr>
      </w:pPr>
      <w:r w:rsidRPr="0091255C">
        <w:rPr>
          <w:rFonts w:cstheme="minorHAnsi"/>
          <w:sz w:val="20"/>
          <w:szCs w:val="20"/>
          <w:lang w:val="sr-Cyrl-ME"/>
        </w:rPr>
        <w:t xml:space="preserve"> Надамо се да ће у будућности доћ</w:t>
      </w:r>
      <w:r w:rsidR="00C911C1" w:rsidRPr="0091255C">
        <w:rPr>
          <w:rFonts w:cstheme="minorHAnsi"/>
          <w:sz w:val="20"/>
          <w:szCs w:val="20"/>
          <w:lang w:val="sr-Cyrl-ME"/>
        </w:rPr>
        <w:t>и до промјене става о изградњи М</w:t>
      </w:r>
      <w:r w:rsidRPr="0091255C">
        <w:rPr>
          <w:rFonts w:cstheme="minorHAnsi"/>
          <w:sz w:val="20"/>
          <w:szCs w:val="20"/>
          <w:lang w:val="sr-Cyrl-ME"/>
        </w:rPr>
        <w:t>ХЕ</w:t>
      </w:r>
      <w:r w:rsidR="00C911C1" w:rsidRPr="0091255C">
        <w:rPr>
          <w:rFonts w:cstheme="minorHAnsi"/>
          <w:sz w:val="20"/>
          <w:szCs w:val="20"/>
          <w:lang w:val="sr-Cyrl-ME"/>
        </w:rPr>
        <w:t xml:space="preserve"> чиме ће се за „Бенерго“ ДОО</w:t>
      </w:r>
      <w:r w:rsidR="00B74F4F" w:rsidRPr="0091255C">
        <w:rPr>
          <w:rFonts w:cstheme="minorHAnsi"/>
          <w:sz w:val="20"/>
          <w:szCs w:val="20"/>
          <w:lang w:val="sr-Cyrl-ME"/>
        </w:rPr>
        <w:t xml:space="preserve"> отворити нове могућности за раст и развој предузећа</w:t>
      </w:r>
      <w:r w:rsidR="00B74F4F">
        <w:rPr>
          <w:rFonts w:cstheme="minorHAnsi"/>
          <w:sz w:val="24"/>
          <w:szCs w:val="24"/>
          <w:lang w:val="sr-Cyrl-ME"/>
        </w:rPr>
        <w:t>.</w:t>
      </w:r>
    </w:p>
    <w:p w:rsidR="00E91059" w:rsidRPr="00C36AA0" w:rsidRDefault="00E91059" w:rsidP="00E91059">
      <w:pPr>
        <w:rPr>
          <w:rFonts w:cstheme="minorHAnsi"/>
          <w:sz w:val="20"/>
          <w:szCs w:val="20"/>
          <w:lang w:val="sr-Cyrl-RS"/>
        </w:rPr>
      </w:pPr>
    </w:p>
    <w:p w:rsidR="007A1532" w:rsidRPr="00C36AA0" w:rsidRDefault="00C36AA0" w:rsidP="00C36AA0">
      <w:pPr>
        <w:jc w:val="right"/>
        <w:rPr>
          <w:rFonts w:cstheme="minorHAnsi"/>
          <w:sz w:val="20"/>
          <w:szCs w:val="20"/>
          <w:lang w:val="sr-Cyrl-RS"/>
        </w:rPr>
      </w:pPr>
      <w:r w:rsidRPr="00C36AA0">
        <w:rPr>
          <w:rFonts w:cstheme="minorHAnsi"/>
          <w:sz w:val="20"/>
          <w:szCs w:val="20"/>
          <w:lang w:val="sr-Cyrl-RS"/>
        </w:rPr>
        <w:t xml:space="preserve">ВД Извршног директора </w:t>
      </w:r>
    </w:p>
    <w:p w:rsidR="00E13896" w:rsidRDefault="00C36AA0" w:rsidP="00C36AA0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C36AA0">
        <w:rPr>
          <w:rFonts w:cstheme="minorHAnsi"/>
          <w:sz w:val="20"/>
          <w:szCs w:val="20"/>
          <w:lang w:val="sr-Cyrl-RS"/>
        </w:rPr>
        <w:t xml:space="preserve">       Соња Кнежевић</w:t>
      </w:r>
    </w:p>
    <w:p w:rsidR="00C36AA0" w:rsidRPr="00C36AA0" w:rsidRDefault="00C36AA0" w:rsidP="00C36AA0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</w:t>
      </w:r>
    </w:p>
    <w:p w:rsidR="00250E49" w:rsidRPr="005B4883" w:rsidRDefault="00250E49" w:rsidP="00250E49">
      <w:pPr>
        <w:pStyle w:val="ListParagraph"/>
        <w:ind w:left="0"/>
        <w:rPr>
          <w:rFonts w:cstheme="minorHAnsi"/>
          <w:b/>
          <w:sz w:val="24"/>
          <w:szCs w:val="24"/>
          <w:lang w:val="sr-Cyrl-RS"/>
        </w:rPr>
      </w:pPr>
    </w:p>
    <w:p w:rsidR="00D82056" w:rsidRPr="00485153" w:rsidRDefault="00D82056" w:rsidP="008B270E">
      <w:pPr>
        <w:pStyle w:val="ListParagraph"/>
        <w:rPr>
          <w:rFonts w:cstheme="minorHAnsi"/>
          <w:sz w:val="24"/>
          <w:szCs w:val="24"/>
          <w:lang w:val="sr-Latn-ME"/>
        </w:rPr>
      </w:pPr>
    </w:p>
    <w:sectPr w:rsidR="00D82056" w:rsidRPr="00485153" w:rsidSect="005B15E2">
      <w:headerReference w:type="default" r:id="rId8"/>
      <w:headerReference w:type="first" r:id="rId9"/>
      <w:pgSz w:w="11907" w:h="16839" w:code="9"/>
      <w:pgMar w:top="2007" w:right="1197" w:bottom="446" w:left="1170" w:header="8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FE" w:rsidRDefault="004F7BFE" w:rsidP="00043CEF">
      <w:pPr>
        <w:spacing w:after="0" w:line="240" w:lineRule="auto"/>
      </w:pPr>
      <w:r>
        <w:separator/>
      </w:r>
    </w:p>
  </w:endnote>
  <w:endnote w:type="continuationSeparator" w:id="0">
    <w:p w:rsidR="004F7BFE" w:rsidRDefault="004F7BFE" w:rsidP="0004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FE" w:rsidRDefault="004F7BFE" w:rsidP="00043CEF">
      <w:pPr>
        <w:spacing w:after="0" w:line="240" w:lineRule="auto"/>
      </w:pPr>
      <w:r>
        <w:separator/>
      </w:r>
    </w:p>
  </w:footnote>
  <w:footnote w:type="continuationSeparator" w:id="0">
    <w:p w:rsidR="004F7BFE" w:rsidRDefault="004F7BFE" w:rsidP="0004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99" w:rsidRDefault="007E3A99">
    <w:pPr>
      <w:pStyle w:val="Header"/>
      <w:rPr>
        <w:lang w:val="sr-Cyrl-RS"/>
      </w:rPr>
    </w:pPr>
    <w:r>
      <w:rPr>
        <w:lang w:val="sr-Cyrl-RS"/>
      </w:rPr>
      <w:t>ДОО“БЕНЕРГО“-БЕРАНЕ</w:t>
    </w:r>
  </w:p>
  <w:p w:rsidR="007E3A99" w:rsidRDefault="007E3A99">
    <w:pPr>
      <w:pStyle w:val="Header"/>
      <w:rPr>
        <w:lang w:val="sr-Cyrl-RS"/>
      </w:rPr>
    </w:pPr>
  </w:p>
  <w:p w:rsidR="007E3A99" w:rsidRDefault="007E3A99">
    <w:pPr>
      <w:pStyle w:val="Header"/>
      <w:rPr>
        <w:lang w:val="sr-Cyrl-RS"/>
      </w:rPr>
    </w:pPr>
  </w:p>
  <w:p w:rsidR="007E3A99" w:rsidRDefault="007E3A99">
    <w:pPr>
      <w:pStyle w:val="Header"/>
      <w:rPr>
        <w:lang w:val="sr-Cyrl-RS"/>
      </w:rPr>
    </w:pPr>
  </w:p>
  <w:p w:rsidR="007E3A99" w:rsidRDefault="007E3A99">
    <w:pPr>
      <w:pStyle w:val="Header"/>
    </w:pPr>
    <w:r>
      <w:rPr>
        <w:lang w:val="sr-Cyrl-RS"/>
      </w:rPr>
      <w:t xml:space="preserve"> </w:t>
    </w:r>
  </w:p>
  <w:p w:rsidR="007E3A99" w:rsidRDefault="007E3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99" w:rsidRPr="00AC63DF" w:rsidRDefault="007E3A99" w:rsidP="00086D76">
    <w:pPr>
      <w:pStyle w:val="Header"/>
      <w:rPr>
        <w:b/>
        <w:color w:val="17365D" w:themeColor="text2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-142875</wp:posOffset>
          </wp:positionV>
          <wp:extent cx="1762125" cy="628650"/>
          <wp:effectExtent l="19050" t="0" r="9525" b="0"/>
          <wp:wrapNone/>
          <wp:docPr id="1" name="Picture 1" descr="Memorandu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732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          </w:t>
    </w:r>
    <w:r>
      <w:rPr>
        <w:b/>
        <w:sz w:val="24"/>
        <w:szCs w:val="24"/>
      </w:rPr>
      <w:tab/>
    </w:r>
    <w:r w:rsidRPr="00AC63DF">
      <w:rPr>
        <w:b/>
        <w:sz w:val="24"/>
        <w:szCs w:val="24"/>
      </w:rPr>
      <w:t xml:space="preserve">                </w:t>
    </w:r>
    <w:proofErr w:type="spellStart"/>
    <w:r w:rsidRPr="00AC63DF">
      <w:rPr>
        <w:b/>
        <w:color w:val="17365D" w:themeColor="text2" w:themeShade="BF"/>
        <w:sz w:val="28"/>
        <w:szCs w:val="28"/>
      </w:rPr>
      <w:t>Друштво</w:t>
    </w:r>
    <w:proofErr w:type="spell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са</w:t>
    </w:r>
    <w:proofErr w:type="spell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ограниченом</w:t>
    </w:r>
    <w:proofErr w:type="spell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одговорношћу</w:t>
    </w:r>
    <w:proofErr w:type="spellEnd"/>
  </w:p>
  <w:p w:rsidR="007E3A99" w:rsidRPr="00AC63DF" w:rsidRDefault="007E3A99" w:rsidP="00086D76">
    <w:pPr>
      <w:pStyle w:val="Header"/>
      <w:rPr>
        <w:b/>
        <w:color w:val="17365D" w:themeColor="text2" w:themeShade="BF"/>
        <w:sz w:val="28"/>
        <w:szCs w:val="28"/>
      </w:rPr>
    </w:pPr>
    <w:r w:rsidRPr="00AC63DF">
      <w:rPr>
        <w:b/>
        <w:color w:val="17365D" w:themeColor="text2" w:themeShade="BF"/>
        <w:sz w:val="28"/>
        <w:szCs w:val="28"/>
      </w:rPr>
      <w:tab/>
      <w:t xml:space="preserve">                                                     „</w:t>
    </w:r>
    <w:proofErr w:type="spellStart"/>
    <w:proofErr w:type="gramStart"/>
    <w:r w:rsidRPr="00AC63DF">
      <w:rPr>
        <w:b/>
        <w:color w:val="17365D" w:themeColor="text2" w:themeShade="BF"/>
        <w:sz w:val="28"/>
        <w:szCs w:val="28"/>
      </w:rPr>
      <w:t>Бенерго</w:t>
    </w:r>
    <w:proofErr w:type="spellEnd"/>
    <w:r w:rsidRPr="00AC63DF">
      <w:rPr>
        <w:b/>
        <w:color w:val="17365D" w:themeColor="text2" w:themeShade="BF"/>
        <w:sz w:val="28"/>
        <w:szCs w:val="28"/>
      </w:rPr>
      <w:t>“ –</w:t>
    </w:r>
    <w:proofErr w:type="gramEnd"/>
    <w:r w:rsidRPr="00AC63DF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AC63DF">
      <w:rPr>
        <w:b/>
        <w:color w:val="17365D" w:themeColor="text2" w:themeShade="BF"/>
        <w:sz w:val="28"/>
        <w:szCs w:val="28"/>
      </w:rPr>
      <w:t>Беране</w:t>
    </w:r>
    <w:proofErr w:type="spellEnd"/>
  </w:p>
  <w:p w:rsidR="007E3A99" w:rsidRPr="00D443C1" w:rsidRDefault="007E3A99" w:rsidP="00086D76">
    <w:pPr>
      <w:pStyle w:val="Header"/>
    </w:pPr>
  </w:p>
  <w:p w:rsidR="007E3A99" w:rsidRPr="00AC63DF" w:rsidRDefault="007E3A99" w:rsidP="00086D76">
    <w:pPr>
      <w:pStyle w:val="Header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5080</wp:posOffset>
              </wp:positionV>
              <wp:extent cx="6210300" cy="0"/>
              <wp:effectExtent l="9525" t="5080" r="9525" b="139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026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5pt;margin-top:.4pt;width:48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ji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7GWTpJ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"/>
          </w:pict>
        </mc:Fallback>
      </mc:AlternateContent>
    </w:r>
    <w:proofErr w:type="spellStart"/>
    <w:r w:rsidRPr="00AC63DF">
      <w:rPr>
        <w:sz w:val="24"/>
        <w:szCs w:val="24"/>
      </w:rPr>
      <w:t>Ул</w:t>
    </w:r>
    <w:proofErr w:type="spellEnd"/>
    <w:r w:rsidRPr="00AC63DF">
      <w:rPr>
        <w:sz w:val="24"/>
        <w:szCs w:val="24"/>
      </w:rPr>
      <w:t xml:space="preserve">. IV. </w:t>
    </w:r>
    <w:proofErr w:type="spellStart"/>
    <w:r w:rsidRPr="00AC63DF">
      <w:rPr>
        <w:sz w:val="24"/>
        <w:szCs w:val="24"/>
      </w:rPr>
      <w:t>црногорске</w:t>
    </w:r>
    <w:proofErr w:type="spellEnd"/>
    <w:r w:rsidRPr="00AC63DF">
      <w:rPr>
        <w:sz w:val="24"/>
        <w:szCs w:val="24"/>
      </w:rPr>
      <w:t xml:space="preserve"> 1, 84300 </w:t>
    </w:r>
    <w:proofErr w:type="spellStart"/>
    <w:r w:rsidRPr="00AC63DF">
      <w:rPr>
        <w:sz w:val="24"/>
        <w:szCs w:val="24"/>
      </w:rPr>
      <w:t>Беране</w:t>
    </w:r>
    <w:proofErr w:type="spellEnd"/>
    <w:r w:rsidRPr="00AC63DF">
      <w:rPr>
        <w:sz w:val="24"/>
        <w:szCs w:val="24"/>
      </w:rPr>
      <w:t xml:space="preserve">, </w:t>
    </w:r>
    <w:proofErr w:type="spellStart"/>
    <w:r w:rsidRPr="00AC63DF">
      <w:rPr>
        <w:sz w:val="24"/>
        <w:szCs w:val="24"/>
      </w:rPr>
      <w:t>Црна</w:t>
    </w:r>
    <w:proofErr w:type="spellEnd"/>
    <w:r w:rsidRPr="00AC63DF">
      <w:rPr>
        <w:sz w:val="24"/>
        <w:szCs w:val="24"/>
      </w:rPr>
      <w:t xml:space="preserve"> </w:t>
    </w:r>
    <w:proofErr w:type="spellStart"/>
    <w:proofErr w:type="gramStart"/>
    <w:r w:rsidRPr="00AC63DF">
      <w:rPr>
        <w:sz w:val="24"/>
        <w:szCs w:val="24"/>
      </w:rPr>
      <w:t>Гора</w:t>
    </w:r>
    <w:proofErr w:type="spellEnd"/>
    <w:r>
      <w:rPr>
        <w:sz w:val="24"/>
        <w:szCs w:val="24"/>
      </w:rPr>
      <w:t xml:space="preserve"> </w:t>
    </w:r>
    <w:r w:rsidRPr="00AC63DF">
      <w:rPr>
        <w:sz w:val="24"/>
        <w:szCs w:val="24"/>
      </w:rPr>
      <w:t>;</w:t>
    </w:r>
    <w:proofErr w:type="gramEnd"/>
    <w:r w:rsidRPr="00AC63DF">
      <w:rPr>
        <w:sz w:val="24"/>
        <w:szCs w:val="24"/>
      </w:rPr>
      <w:t xml:space="preserve">  </w:t>
    </w:r>
    <w:proofErr w:type="spellStart"/>
    <w:r w:rsidRPr="00AC63DF">
      <w:rPr>
        <w:sz w:val="24"/>
        <w:szCs w:val="24"/>
      </w:rPr>
      <w:t>тел</w:t>
    </w:r>
    <w:proofErr w:type="spellEnd"/>
    <w:r w:rsidRPr="00AC63DF">
      <w:rPr>
        <w:sz w:val="24"/>
        <w:szCs w:val="24"/>
      </w:rPr>
      <w:t xml:space="preserve">. +382 </w:t>
    </w:r>
    <w:r>
      <w:rPr>
        <w:sz w:val="24"/>
        <w:szCs w:val="24"/>
      </w:rPr>
      <w:t>5</w:t>
    </w:r>
    <w:r w:rsidRPr="00AC63DF">
      <w:rPr>
        <w:sz w:val="24"/>
        <w:szCs w:val="24"/>
      </w:rPr>
      <w:t>1 23</w:t>
    </w:r>
    <w:r>
      <w:rPr>
        <w:sz w:val="24"/>
        <w:szCs w:val="24"/>
      </w:rPr>
      <w:t>3</w:t>
    </w:r>
    <w:r w:rsidRPr="00AC63DF">
      <w:rPr>
        <w:sz w:val="24"/>
        <w:szCs w:val="24"/>
      </w:rPr>
      <w:t xml:space="preserve"> </w:t>
    </w:r>
    <w:r>
      <w:rPr>
        <w:sz w:val="24"/>
        <w:szCs w:val="24"/>
      </w:rPr>
      <w:t>518</w:t>
    </w:r>
    <w:r w:rsidRPr="00AC63DF">
      <w:rPr>
        <w:sz w:val="24"/>
        <w:szCs w:val="24"/>
      </w:rPr>
      <w:t xml:space="preserve">, </w:t>
    </w:r>
  </w:p>
  <w:p w:rsidR="007E3A99" w:rsidRPr="00AC63DF" w:rsidRDefault="007E3A99" w:rsidP="00086D76">
    <w:pPr>
      <w:pStyle w:val="Header"/>
      <w:jc w:val="center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366395</wp:posOffset>
              </wp:positionV>
              <wp:extent cx="6210300" cy="0"/>
              <wp:effectExtent l="9525" t="13970" r="9525" b="508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719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.85pt;width:48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u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3maxA8x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"/>
          </w:pict>
        </mc:Fallback>
      </mc:AlternateContent>
    </w:r>
    <w:r w:rsidRPr="00AC63DF">
      <w:rPr>
        <w:sz w:val="24"/>
        <w:szCs w:val="24"/>
      </w:rPr>
      <w:t>ПИБ: 03069753</w:t>
    </w:r>
    <w:r>
      <w:rPr>
        <w:sz w:val="24"/>
        <w:szCs w:val="24"/>
      </w:rPr>
      <w:t xml:space="preserve"> </w:t>
    </w:r>
    <w:r w:rsidRPr="00AC63DF">
      <w:rPr>
        <w:sz w:val="24"/>
        <w:szCs w:val="24"/>
      </w:rPr>
      <w:t>; ПДВ: 60/31-01094-0</w:t>
    </w:r>
    <w:r>
      <w:rPr>
        <w:sz w:val="24"/>
        <w:szCs w:val="24"/>
      </w:rPr>
      <w:t xml:space="preserve"> </w:t>
    </w:r>
    <w:r w:rsidRPr="00AC63DF">
      <w:rPr>
        <w:sz w:val="24"/>
        <w:szCs w:val="24"/>
      </w:rPr>
      <w:t xml:space="preserve">; </w:t>
    </w:r>
    <w:proofErr w:type="spellStart"/>
    <w:r w:rsidRPr="00AC63DF">
      <w:rPr>
        <w:sz w:val="24"/>
        <w:szCs w:val="24"/>
      </w:rPr>
      <w:t>Жиро</w:t>
    </w:r>
    <w:proofErr w:type="spellEnd"/>
    <w:r>
      <w:rPr>
        <w:sz w:val="24"/>
        <w:szCs w:val="24"/>
      </w:rPr>
      <w:t xml:space="preserve"> </w:t>
    </w:r>
    <w:proofErr w:type="spellStart"/>
    <w:r w:rsidRPr="00AC63DF">
      <w:rPr>
        <w:sz w:val="24"/>
        <w:szCs w:val="24"/>
      </w:rPr>
      <w:t>рачун</w:t>
    </w:r>
    <w:proofErr w:type="spellEnd"/>
    <w:r w:rsidRPr="00AC63DF">
      <w:rPr>
        <w:sz w:val="24"/>
        <w:szCs w:val="24"/>
      </w:rPr>
      <w:t>:</w:t>
    </w:r>
    <w:r>
      <w:rPr>
        <w:sz w:val="24"/>
        <w:szCs w:val="24"/>
        <w:lang w:val="sr-Cyrl-RS"/>
      </w:rPr>
      <w:t xml:space="preserve"> 535-19023-46 Прва банка Црнe</w:t>
    </w:r>
    <w:r>
      <w:rPr>
        <w:sz w:val="24"/>
        <w:szCs w:val="24"/>
        <w:lang w:val="en-GB"/>
      </w:rPr>
      <w:t xml:space="preserve"> </w:t>
    </w:r>
    <w:r>
      <w:rPr>
        <w:sz w:val="24"/>
        <w:szCs w:val="24"/>
        <w:lang w:val="sr-Cyrl-RS"/>
      </w:rPr>
      <w:t>Гор</w:t>
    </w:r>
    <w:r w:rsidRPr="00AC63DF">
      <w:rPr>
        <w:color w:val="000000" w:themeColor="text1"/>
        <w:sz w:val="24"/>
        <w:szCs w:val="24"/>
      </w:rPr>
      <w:t>е</w:t>
    </w:r>
    <w:r>
      <w:rPr>
        <w:color w:val="000000" w:themeColor="text1"/>
        <w:sz w:val="24"/>
        <w:szCs w:val="24"/>
      </w:rPr>
      <w:t xml:space="preserve"> </w:t>
    </w:r>
    <w:proofErr w:type="spellStart"/>
    <w:r>
      <w:rPr>
        <w:color w:val="000000" w:themeColor="text1"/>
        <w:sz w:val="24"/>
        <w:szCs w:val="24"/>
      </w:rPr>
      <w:t>eлектронска</w:t>
    </w:r>
    <w:proofErr w:type="spellEnd"/>
    <w:r>
      <w:rPr>
        <w:color w:val="000000" w:themeColor="text1"/>
        <w:sz w:val="24"/>
        <w:szCs w:val="24"/>
      </w:rPr>
      <w:t xml:space="preserve"> </w:t>
    </w:r>
    <w:proofErr w:type="spellStart"/>
    <w:r w:rsidRPr="00AC63DF">
      <w:rPr>
        <w:color w:val="000000" w:themeColor="text1"/>
        <w:sz w:val="24"/>
        <w:szCs w:val="24"/>
      </w:rPr>
      <w:t>пошта</w:t>
    </w:r>
    <w:proofErr w:type="spellEnd"/>
    <w:r w:rsidRPr="00AC63DF">
      <w:rPr>
        <w:color w:val="000000" w:themeColor="text1"/>
        <w:sz w:val="24"/>
        <w:szCs w:val="24"/>
      </w:rPr>
      <w:t xml:space="preserve">: </w:t>
    </w:r>
    <w:hyperlink r:id="rId2" w:history="1">
      <w:r w:rsidRPr="0098160C">
        <w:rPr>
          <w:rStyle w:val="Hyperlink"/>
          <w:sz w:val="24"/>
          <w:szCs w:val="24"/>
        </w:rPr>
        <w:t>benergo@t-com.me</w:t>
      </w:r>
    </w:hyperlink>
    <w:r w:rsidRPr="00AC63DF">
      <w:rPr>
        <w:color w:val="000000" w:themeColor="text1"/>
        <w:sz w:val="24"/>
        <w:szCs w:val="24"/>
      </w:rPr>
      <w:t xml:space="preserve"> ;  </w:t>
    </w:r>
    <w:proofErr w:type="spellStart"/>
    <w:r w:rsidRPr="00AC63DF">
      <w:rPr>
        <w:color w:val="000000" w:themeColor="text1"/>
        <w:sz w:val="24"/>
        <w:szCs w:val="24"/>
      </w:rPr>
      <w:t>веб-сајт</w:t>
    </w:r>
    <w:proofErr w:type="spellEnd"/>
    <w:r w:rsidRPr="00AC63DF">
      <w:rPr>
        <w:color w:val="000000" w:themeColor="text1"/>
        <w:sz w:val="24"/>
        <w:szCs w:val="24"/>
      </w:rPr>
      <w:t xml:space="preserve">: </w:t>
    </w:r>
    <w:hyperlink r:id="rId3" w:history="1">
      <w:r w:rsidRPr="00AC63DF">
        <w:rPr>
          <w:rStyle w:val="Hyperlink"/>
          <w:color w:val="000000" w:themeColor="text1"/>
          <w:sz w:val="24"/>
          <w:szCs w:val="24"/>
        </w:rPr>
        <w:t>www.benergo.me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8AB"/>
    <w:multiLevelType w:val="hybridMultilevel"/>
    <w:tmpl w:val="DEDC44DA"/>
    <w:lvl w:ilvl="0" w:tplc="C4E06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181"/>
    <w:multiLevelType w:val="hybridMultilevel"/>
    <w:tmpl w:val="E1229186"/>
    <w:lvl w:ilvl="0" w:tplc="302A4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29DE"/>
    <w:multiLevelType w:val="hybridMultilevel"/>
    <w:tmpl w:val="72C2EE94"/>
    <w:lvl w:ilvl="0" w:tplc="F4BA372E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072B29"/>
    <w:multiLevelType w:val="hybridMultilevel"/>
    <w:tmpl w:val="C9FC5058"/>
    <w:lvl w:ilvl="0" w:tplc="56D82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4549"/>
    <w:multiLevelType w:val="hybridMultilevel"/>
    <w:tmpl w:val="43E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4C7F"/>
    <w:multiLevelType w:val="hybridMultilevel"/>
    <w:tmpl w:val="E078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56C81"/>
    <w:multiLevelType w:val="hybridMultilevel"/>
    <w:tmpl w:val="6A9EB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399D"/>
    <w:multiLevelType w:val="hybridMultilevel"/>
    <w:tmpl w:val="F178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2154"/>
    <w:multiLevelType w:val="hybridMultilevel"/>
    <w:tmpl w:val="A948C3CC"/>
    <w:lvl w:ilvl="0" w:tplc="8C58A72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92336B"/>
    <w:multiLevelType w:val="hybridMultilevel"/>
    <w:tmpl w:val="B584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E2E9F"/>
    <w:multiLevelType w:val="hybridMultilevel"/>
    <w:tmpl w:val="6CEE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778"/>
    <w:multiLevelType w:val="hybridMultilevel"/>
    <w:tmpl w:val="CC9C3C92"/>
    <w:lvl w:ilvl="0" w:tplc="E822E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D49"/>
    <w:multiLevelType w:val="hybridMultilevel"/>
    <w:tmpl w:val="CCF2093E"/>
    <w:lvl w:ilvl="0" w:tplc="4CA27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3380C"/>
    <w:multiLevelType w:val="hybridMultilevel"/>
    <w:tmpl w:val="CDAE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876BA"/>
    <w:multiLevelType w:val="hybridMultilevel"/>
    <w:tmpl w:val="72602CBE"/>
    <w:lvl w:ilvl="0" w:tplc="F1AA8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252E5"/>
    <w:multiLevelType w:val="hybridMultilevel"/>
    <w:tmpl w:val="AD56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250B6"/>
    <w:multiLevelType w:val="hybridMultilevel"/>
    <w:tmpl w:val="2304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7447A"/>
    <w:multiLevelType w:val="hybridMultilevel"/>
    <w:tmpl w:val="8CFAC060"/>
    <w:lvl w:ilvl="0" w:tplc="225A23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4"/>
  </w:num>
  <w:num w:numId="14">
    <w:abstractNumId w:val="16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EC"/>
    <w:rsid w:val="00013ED0"/>
    <w:rsid w:val="0002111C"/>
    <w:rsid w:val="00025A50"/>
    <w:rsid w:val="000336FF"/>
    <w:rsid w:val="00035CF0"/>
    <w:rsid w:val="00042FF4"/>
    <w:rsid w:val="00043CEF"/>
    <w:rsid w:val="00045977"/>
    <w:rsid w:val="00054D92"/>
    <w:rsid w:val="0006415C"/>
    <w:rsid w:val="00066E81"/>
    <w:rsid w:val="00074B19"/>
    <w:rsid w:val="00075763"/>
    <w:rsid w:val="00080074"/>
    <w:rsid w:val="00086D76"/>
    <w:rsid w:val="000B0473"/>
    <w:rsid w:val="000B451D"/>
    <w:rsid w:val="000C1E7C"/>
    <w:rsid w:val="000C4EE4"/>
    <w:rsid w:val="000D2CD0"/>
    <w:rsid w:val="000E0B88"/>
    <w:rsid w:val="00102C1E"/>
    <w:rsid w:val="0011343D"/>
    <w:rsid w:val="001225D2"/>
    <w:rsid w:val="0012260B"/>
    <w:rsid w:val="00125CAE"/>
    <w:rsid w:val="00126202"/>
    <w:rsid w:val="00132CE1"/>
    <w:rsid w:val="00151C9C"/>
    <w:rsid w:val="001650BD"/>
    <w:rsid w:val="00165D5B"/>
    <w:rsid w:val="00177132"/>
    <w:rsid w:val="00181BA8"/>
    <w:rsid w:val="00187B42"/>
    <w:rsid w:val="00196CA3"/>
    <w:rsid w:val="001A2CBB"/>
    <w:rsid w:val="001A3572"/>
    <w:rsid w:val="001B0971"/>
    <w:rsid w:val="001C3815"/>
    <w:rsid w:val="001C3DD0"/>
    <w:rsid w:val="001C4D65"/>
    <w:rsid w:val="001D42F2"/>
    <w:rsid w:val="001E3174"/>
    <w:rsid w:val="001E4904"/>
    <w:rsid w:val="001E5C69"/>
    <w:rsid w:val="001E6582"/>
    <w:rsid w:val="001E665B"/>
    <w:rsid w:val="001F2871"/>
    <w:rsid w:val="00212C37"/>
    <w:rsid w:val="002252EF"/>
    <w:rsid w:val="002328EC"/>
    <w:rsid w:val="00241A1D"/>
    <w:rsid w:val="00243DF6"/>
    <w:rsid w:val="00250E49"/>
    <w:rsid w:val="002542D5"/>
    <w:rsid w:val="00271712"/>
    <w:rsid w:val="00275EB8"/>
    <w:rsid w:val="00280175"/>
    <w:rsid w:val="00282447"/>
    <w:rsid w:val="00294673"/>
    <w:rsid w:val="002A420D"/>
    <w:rsid w:val="002A46C1"/>
    <w:rsid w:val="002B1FE6"/>
    <w:rsid w:val="002B3B2B"/>
    <w:rsid w:val="002B535E"/>
    <w:rsid w:val="002C1CE0"/>
    <w:rsid w:val="002D3813"/>
    <w:rsid w:val="002E351F"/>
    <w:rsid w:val="003072F8"/>
    <w:rsid w:val="00307EBD"/>
    <w:rsid w:val="00323B81"/>
    <w:rsid w:val="00323E2C"/>
    <w:rsid w:val="003339D3"/>
    <w:rsid w:val="00334C99"/>
    <w:rsid w:val="00340CA4"/>
    <w:rsid w:val="00345C6C"/>
    <w:rsid w:val="00354F51"/>
    <w:rsid w:val="00374ECA"/>
    <w:rsid w:val="0037628E"/>
    <w:rsid w:val="00384F29"/>
    <w:rsid w:val="00387C92"/>
    <w:rsid w:val="00396101"/>
    <w:rsid w:val="003A1ABE"/>
    <w:rsid w:val="003A25D0"/>
    <w:rsid w:val="003B35D8"/>
    <w:rsid w:val="003C1435"/>
    <w:rsid w:val="003C3331"/>
    <w:rsid w:val="003C63B8"/>
    <w:rsid w:val="003D7959"/>
    <w:rsid w:val="003E3035"/>
    <w:rsid w:val="003E4954"/>
    <w:rsid w:val="003E699A"/>
    <w:rsid w:val="003F04CC"/>
    <w:rsid w:val="003F2237"/>
    <w:rsid w:val="003F429C"/>
    <w:rsid w:val="003F50F5"/>
    <w:rsid w:val="0040429F"/>
    <w:rsid w:val="004056EB"/>
    <w:rsid w:val="00411A35"/>
    <w:rsid w:val="004152BE"/>
    <w:rsid w:val="00415D2E"/>
    <w:rsid w:val="00431DB8"/>
    <w:rsid w:val="00452B01"/>
    <w:rsid w:val="004540F0"/>
    <w:rsid w:val="004642DE"/>
    <w:rsid w:val="00464F8E"/>
    <w:rsid w:val="004720D5"/>
    <w:rsid w:val="004847BC"/>
    <w:rsid w:val="00485153"/>
    <w:rsid w:val="00496643"/>
    <w:rsid w:val="004C67F3"/>
    <w:rsid w:val="004D3588"/>
    <w:rsid w:val="004D4342"/>
    <w:rsid w:val="004E0397"/>
    <w:rsid w:val="004E329B"/>
    <w:rsid w:val="004F7BFE"/>
    <w:rsid w:val="004F7FB1"/>
    <w:rsid w:val="00504CB0"/>
    <w:rsid w:val="00510C5D"/>
    <w:rsid w:val="00515C78"/>
    <w:rsid w:val="005345B6"/>
    <w:rsid w:val="00545446"/>
    <w:rsid w:val="00546A06"/>
    <w:rsid w:val="0055065C"/>
    <w:rsid w:val="00550675"/>
    <w:rsid w:val="00552E04"/>
    <w:rsid w:val="00563CF1"/>
    <w:rsid w:val="0056702C"/>
    <w:rsid w:val="00570F7B"/>
    <w:rsid w:val="005A1108"/>
    <w:rsid w:val="005A2266"/>
    <w:rsid w:val="005B01EB"/>
    <w:rsid w:val="005B0513"/>
    <w:rsid w:val="005B15E2"/>
    <w:rsid w:val="005B23EA"/>
    <w:rsid w:val="005B482E"/>
    <w:rsid w:val="005B4883"/>
    <w:rsid w:val="005C15A3"/>
    <w:rsid w:val="005C3768"/>
    <w:rsid w:val="005C7191"/>
    <w:rsid w:val="005D1534"/>
    <w:rsid w:val="005E6D55"/>
    <w:rsid w:val="005F12C2"/>
    <w:rsid w:val="005F157E"/>
    <w:rsid w:val="005F58E6"/>
    <w:rsid w:val="0060454A"/>
    <w:rsid w:val="00605CA4"/>
    <w:rsid w:val="00630B7E"/>
    <w:rsid w:val="00632822"/>
    <w:rsid w:val="00640CA7"/>
    <w:rsid w:val="006432CB"/>
    <w:rsid w:val="00643777"/>
    <w:rsid w:val="0064381A"/>
    <w:rsid w:val="00644003"/>
    <w:rsid w:val="00646AD1"/>
    <w:rsid w:val="00651AF8"/>
    <w:rsid w:val="00660752"/>
    <w:rsid w:val="00672A36"/>
    <w:rsid w:val="00673309"/>
    <w:rsid w:val="00673CAF"/>
    <w:rsid w:val="0067462D"/>
    <w:rsid w:val="006B3E08"/>
    <w:rsid w:val="006B611F"/>
    <w:rsid w:val="006B6FFF"/>
    <w:rsid w:val="006C1316"/>
    <w:rsid w:val="006D7868"/>
    <w:rsid w:val="006E1735"/>
    <w:rsid w:val="006F645E"/>
    <w:rsid w:val="006F769E"/>
    <w:rsid w:val="007034C3"/>
    <w:rsid w:val="007049F1"/>
    <w:rsid w:val="0072054E"/>
    <w:rsid w:val="00721BEA"/>
    <w:rsid w:val="00727ECD"/>
    <w:rsid w:val="007460B4"/>
    <w:rsid w:val="00747D15"/>
    <w:rsid w:val="00767F2B"/>
    <w:rsid w:val="00770E58"/>
    <w:rsid w:val="00772F43"/>
    <w:rsid w:val="007764C9"/>
    <w:rsid w:val="007905A0"/>
    <w:rsid w:val="007A1532"/>
    <w:rsid w:val="007A53E8"/>
    <w:rsid w:val="007A7310"/>
    <w:rsid w:val="007B02E6"/>
    <w:rsid w:val="007B1E58"/>
    <w:rsid w:val="007B2C8F"/>
    <w:rsid w:val="007B5F05"/>
    <w:rsid w:val="007B6C50"/>
    <w:rsid w:val="007C0863"/>
    <w:rsid w:val="007C0A08"/>
    <w:rsid w:val="007C2BC9"/>
    <w:rsid w:val="007C2E11"/>
    <w:rsid w:val="007D1ACE"/>
    <w:rsid w:val="007D40E0"/>
    <w:rsid w:val="007D4FC4"/>
    <w:rsid w:val="007E3269"/>
    <w:rsid w:val="007E3A99"/>
    <w:rsid w:val="007E6628"/>
    <w:rsid w:val="007F1186"/>
    <w:rsid w:val="007F281E"/>
    <w:rsid w:val="007F40A9"/>
    <w:rsid w:val="007F7738"/>
    <w:rsid w:val="0081101A"/>
    <w:rsid w:val="008133B0"/>
    <w:rsid w:val="00820CF5"/>
    <w:rsid w:val="00826E0D"/>
    <w:rsid w:val="0082721F"/>
    <w:rsid w:val="00827FA2"/>
    <w:rsid w:val="0083284E"/>
    <w:rsid w:val="008507AF"/>
    <w:rsid w:val="008511E5"/>
    <w:rsid w:val="00853BBF"/>
    <w:rsid w:val="008564B1"/>
    <w:rsid w:val="00857646"/>
    <w:rsid w:val="00862B84"/>
    <w:rsid w:val="00864C13"/>
    <w:rsid w:val="00866C38"/>
    <w:rsid w:val="00871577"/>
    <w:rsid w:val="008721A0"/>
    <w:rsid w:val="00877AB4"/>
    <w:rsid w:val="00880300"/>
    <w:rsid w:val="008811F7"/>
    <w:rsid w:val="00884957"/>
    <w:rsid w:val="008911FC"/>
    <w:rsid w:val="00894E60"/>
    <w:rsid w:val="0089664B"/>
    <w:rsid w:val="00897899"/>
    <w:rsid w:val="008A2FFE"/>
    <w:rsid w:val="008B044C"/>
    <w:rsid w:val="008B1999"/>
    <w:rsid w:val="008B270E"/>
    <w:rsid w:val="008B3B17"/>
    <w:rsid w:val="008C0077"/>
    <w:rsid w:val="008C2CC1"/>
    <w:rsid w:val="008C47D7"/>
    <w:rsid w:val="008C558C"/>
    <w:rsid w:val="008D1466"/>
    <w:rsid w:val="008D369C"/>
    <w:rsid w:val="008D7368"/>
    <w:rsid w:val="008E72CF"/>
    <w:rsid w:val="00901704"/>
    <w:rsid w:val="009056BE"/>
    <w:rsid w:val="0091255C"/>
    <w:rsid w:val="00927245"/>
    <w:rsid w:val="009327E3"/>
    <w:rsid w:val="009357E4"/>
    <w:rsid w:val="0095101A"/>
    <w:rsid w:val="0095645A"/>
    <w:rsid w:val="0095745C"/>
    <w:rsid w:val="009633AD"/>
    <w:rsid w:val="00966C9E"/>
    <w:rsid w:val="009768A9"/>
    <w:rsid w:val="0098392A"/>
    <w:rsid w:val="00986976"/>
    <w:rsid w:val="009947FE"/>
    <w:rsid w:val="009A0590"/>
    <w:rsid w:val="009A40A0"/>
    <w:rsid w:val="009A726F"/>
    <w:rsid w:val="009B06F7"/>
    <w:rsid w:val="009B3211"/>
    <w:rsid w:val="009C4BA2"/>
    <w:rsid w:val="009C567C"/>
    <w:rsid w:val="009C5AC8"/>
    <w:rsid w:val="009D0500"/>
    <w:rsid w:val="009D1F6E"/>
    <w:rsid w:val="009D3FD7"/>
    <w:rsid w:val="009D538E"/>
    <w:rsid w:val="009D70C6"/>
    <w:rsid w:val="009E4592"/>
    <w:rsid w:val="009E45A8"/>
    <w:rsid w:val="009E4657"/>
    <w:rsid w:val="009F0473"/>
    <w:rsid w:val="009F0C05"/>
    <w:rsid w:val="009F711A"/>
    <w:rsid w:val="00A04696"/>
    <w:rsid w:val="00A07104"/>
    <w:rsid w:val="00A24001"/>
    <w:rsid w:val="00A24539"/>
    <w:rsid w:val="00A2683D"/>
    <w:rsid w:val="00A31701"/>
    <w:rsid w:val="00A35196"/>
    <w:rsid w:val="00A5358C"/>
    <w:rsid w:val="00A53A17"/>
    <w:rsid w:val="00A541C7"/>
    <w:rsid w:val="00A54E52"/>
    <w:rsid w:val="00A553AC"/>
    <w:rsid w:val="00A64CAB"/>
    <w:rsid w:val="00A77397"/>
    <w:rsid w:val="00A80CAF"/>
    <w:rsid w:val="00A81241"/>
    <w:rsid w:val="00A90AFC"/>
    <w:rsid w:val="00AA2717"/>
    <w:rsid w:val="00AB52D8"/>
    <w:rsid w:val="00AC4FED"/>
    <w:rsid w:val="00AC6318"/>
    <w:rsid w:val="00AD3A4F"/>
    <w:rsid w:val="00AD6976"/>
    <w:rsid w:val="00AE0D1D"/>
    <w:rsid w:val="00AF14DB"/>
    <w:rsid w:val="00B05DE4"/>
    <w:rsid w:val="00B21D9C"/>
    <w:rsid w:val="00B22F75"/>
    <w:rsid w:val="00B24991"/>
    <w:rsid w:val="00B34F8E"/>
    <w:rsid w:val="00B4399B"/>
    <w:rsid w:val="00B43BF9"/>
    <w:rsid w:val="00B476E5"/>
    <w:rsid w:val="00B511E0"/>
    <w:rsid w:val="00B61AF3"/>
    <w:rsid w:val="00B70956"/>
    <w:rsid w:val="00B74F4F"/>
    <w:rsid w:val="00B801BD"/>
    <w:rsid w:val="00B866DA"/>
    <w:rsid w:val="00B91160"/>
    <w:rsid w:val="00B94CD5"/>
    <w:rsid w:val="00B9575D"/>
    <w:rsid w:val="00B95DD3"/>
    <w:rsid w:val="00BB4FA7"/>
    <w:rsid w:val="00BB6C0F"/>
    <w:rsid w:val="00BC585C"/>
    <w:rsid w:val="00BC6535"/>
    <w:rsid w:val="00BC7B3A"/>
    <w:rsid w:val="00BC7F43"/>
    <w:rsid w:val="00BD0BBC"/>
    <w:rsid w:val="00BD2BD8"/>
    <w:rsid w:val="00BE0266"/>
    <w:rsid w:val="00BF4BE6"/>
    <w:rsid w:val="00BF64FC"/>
    <w:rsid w:val="00C065FA"/>
    <w:rsid w:val="00C0707B"/>
    <w:rsid w:val="00C10AC2"/>
    <w:rsid w:val="00C23F77"/>
    <w:rsid w:val="00C31439"/>
    <w:rsid w:val="00C32201"/>
    <w:rsid w:val="00C36AA0"/>
    <w:rsid w:val="00C41C1B"/>
    <w:rsid w:val="00C41D0B"/>
    <w:rsid w:val="00C437E6"/>
    <w:rsid w:val="00C52B31"/>
    <w:rsid w:val="00C5377C"/>
    <w:rsid w:val="00C53F57"/>
    <w:rsid w:val="00C57129"/>
    <w:rsid w:val="00C57A13"/>
    <w:rsid w:val="00C603B1"/>
    <w:rsid w:val="00C70267"/>
    <w:rsid w:val="00C747AC"/>
    <w:rsid w:val="00C7709E"/>
    <w:rsid w:val="00C87060"/>
    <w:rsid w:val="00C876E7"/>
    <w:rsid w:val="00C904C5"/>
    <w:rsid w:val="00C911C1"/>
    <w:rsid w:val="00CA5FF1"/>
    <w:rsid w:val="00CB01F0"/>
    <w:rsid w:val="00CB7F81"/>
    <w:rsid w:val="00CC1375"/>
    <w:rsid w:val="00CC765E"/>
    <w:rsid w:val="00CD2C6D"/>
    <w:rsid w:val="00CD47BC"/>
    <w:rsid w:val="00CD7B85"/>
    <w:rsid w:val="00CE2776"/>
    <w:rsid w:val="00CE5CE4"/>
    <w:rsid w:val="00CF7723"/>
    <w:rsid w:val="00D04DD0"/>
    <w:rsid w:val="00D2320A"/>
    <w:rsid w:val="00D31F53"/>
    <w:rsid w:val="00D329A7"/>
    <w:rsid w:val="00D36160"/>
    <w:rsid w:val="00D4096C"/>
    <w:rsid w:val="00D426DF"/>
    <w:rsid w:val="00D43A97"/>
    <w:rsid w:val="00D45DA6"/>
    <w:rsid w:val="00D47080"/>
    <w:rsid w:val="00D7705C"/>
    <w:rsid w:val="00D81F06"/>
    <w:rsid w:val="00D82056"/>
    <w:rsid w:val="00D93A05"/>
    <w:rsid w:val="00DA1E74"/>
    <w:rsid w:val="00DA6C97"/>
    <w:rsid w:val="00DA74DA"/>
    <w:rsid w:val="00DC169C"/>
    <w:rsid w:val="00DD3408"/>
    <w:rsid w:val="00DD3813"/>
    <w:rsid w:val="00DE472F"/>
    <w:rsid w:val="00DF444D"/>
    <w:rsid w:val="00DF6048"/>
    <w:rsid w:val="00E07989"/>
    <w:rsid w:val="00E1283A"/>
    <w:rsid w:val="00E13896"/>
    <w:rsid w:val="00E140F5"/>
    <w:rsid w:val="00E41A6F"/>
    <w:rsid w:val="00E46C6F"/>
    <w:rsid w:val="00E60593"/>
    <w:rsid w:val="00E613BE"/>
    <w:rsid w:val="00E731FC"/>
    <w:rsid w:val="00E7508D"/>
    <w:rsid w:val="00E8602A"/>
    <w:rsid w:val="00E91059"/>
    <w:rsid w:val="00EA6D9A"/>
    <w:rsid w:val="00EC33B1"/>
    <w:rsid w:val="00ED7AF8"/>
    <w:rsid w:val="00EE48A8"/>
    <w:rsid w:val="00EE73B1"/>
    <w:rsid w:val="00EF78EC"/>
    <w:rsid w:val="00F01D8C"/>
    <w:rsid w:val="00F02B22"/>
    <w:rsid w:val="00F03F5E"/>
    <w:rsid w:val="00F05783"/>
    <w:rsid w:val="00F0661E"/>
    <w:rsid w:val="00F067E7"/>
    <w:rsid w:val="00F10BF7"/>
    <w:rsid w:val="00F11282"/>
    <w:rsid w:val="00F13590"/>
    <w:rsid w:val="00F14EA1"/>
    <w:rsid w:val="00F25104"/>
    <w:rsid w:val="00F275C8"/>
    <w:rsid w:val="00F32461"/>
    <w:rsid w:val="00F40856"/>
    <w:rsid w:val="00F4278C"/>
    <w:rsid w:val="00F42A72"/>
    <w:rsid w:val="00F44AD9"/>
    <w:rsid w:val="00F44D5C"/>
    <w:rsid w:val="00F606D3"/>
    <w:rsid w:val="00F6617F"/>
    <w:rsid w:val="00F7068E"/>
    <w:rsid w:val="00F72A6C"/>
    <w:rsid w:val="00F800F3"/>
    <w:rsid w:val="00F801E8"/>
    <w:rsid w:val="00F818FB"/>
    <w:rsid w:val="00F9115C"/>
    <w:rsid w:val="00FB09D6"/>
    <w:rsid w:val="00FB3D25"/>
    <w:rsid w:val="00FB7E05"/>
    <w:rsid w:val="00FD2820"/>
    <w:rsid w:val="00FD4DA2"/>
    <w:rsid w:val="00FD6321"/>
    <w:rsid w:val="00FD7622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231E2"/>
  <w15:docId w15:val="{0A7C95BB-4360-4611-A779-DE2E83A4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E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E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F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EC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EF78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44D"/>
    <w:pPr>
      <w:ind w:left="720"/>
      <w:contextualSpacing/>
    </w:pPr>
  </w:style>
  <w:style w:type="table" w:styleId="TableGrid">
    <w:name w:val="Table Grid"/>
    <w:basedOn w:val="TableNormal"/>
    <w:uiPriority w:val="59"/>
    <w:rsid w:val="002328E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bld">
    <w:name w:val="head bld"/>
    <w:basedOn w:val="DefaultParagraphFont"/>
    <w:rsid w:val="001F2871"/>
  </w:style>
  <w:style w:type="character" w:customStyle="1" w:styleId="bld1">
    <w:name w:val="bld1"/>
    <w:rsid w:val="001F2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nergo.me" TargetMode="External"/><Relationship Id="rId2" Type="http://schemas.openxmlformats.org/officeDocument/2006/relationships/hyperlink" Target="mailto:benergo@t-com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9E68-32F8-4852-9556-715E226E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10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2026-03-23T09:45:00Z</cp:lastPrinted>
  <dcterms:created xsi:type="dcterms:W3CDTF">2026-03-18T07:36:00Z</dcterms:created>
  <dcterms:modified xsi:type="dcterms:W3CDTF">2026-03-23T09:53:00Z</dcterms:modified>
</cp:coreProperties>
</file>