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both"/>
      </w:pPr>
      <w:r>
        <w:tab/>
        <w:t>Na osnovu člana 23 stav 13 Zakona o legalizaciji bespravnih obekata (“Službeni list Crne Gore”, broj 91/25 i 18/26), člana 38 stav 1 tačka 2 i  8 Zakona o lokalnoj samoupravi (“Službeni list Crne Gore”, broj 2/18, 34/19, 38/20, 50/22, 84/22, 81/25, 98/25) člana 36 stav 1 tačka 2 i člana 39 Statuta opštine Berane (“Službeni list Crne Gore – Opštinski propisi”, broj 42/18), uz prethodnu saglasnost Vlade Crne Gore broj _________ od  ___________ godine, Skupština Opštine Berane, na sjednici održanoj dana  _________ godine, donijela je</w:t>
      </w:r>
    </w:p>
    <w:p>
      <w:pPr>
        <w:spacing w:after="0"/>
        <w:jc w:val="both"/>
      </w:pPr>
    </w:p>
    <w:p>
      <w:pPr>
        <w:spacing w:after="0"/>
        <w:jc w:val="center"/>
        <w:rPr>
          <w:b/>
          <w:sz w:val="32"/>
          <w:szCs w:val="32"/>
        </w:rPr>
      </w:pPr>
      <w:r>
        <w:rPr>
          <w:b/>
          <w:sz w:val="32"/>
          <w:szCs w:val="32"/>
        </w:rPr>
        <w:t>NACRT</w:t>
      </w:r>
    </w:p>
    <w:p>
      <w:pPr>
        <w:spacing w:after="0"/>
        <w:jc w:val="center"/>
        <w:rPr>
          <w:b/>
          <w:sz w:val="32"/>
          <w:szCs w:val="32"/>
        </w:rPr>
      </w:pPr>
      <w:r>
        <w:rPr>
          <w:b/>
          <w:sz w:val="32"/>
          <w:szCs w:val="32"/>
        </w:rPr>
        <w:t>ODLUKE</w:t>
      </w:r>
    </w:p>
    <w:p>
      <w:pPr>
        <w:spacing w:after="0"/>
        <w:jc w:val="center"/>
        <w:rPr>
          <w:b/>
          <w:sz w:val="28"/>
          <w:szCs w:val="28"/>
        </w:rPr>
      </w:pPr>
      <w:r>
        <w:rPr>
          <w:b/>
          <w:sz w:val="28"/>
          <w:szCs w:val="28"/>
        </w:rPr>
        <w:t>o naknadi za urbanu sanaciju</w:t>
      </w:r>
    </w:p>
    <w:p>
      <w:pPr>
        <w:spacing w:after="0"/>
        <w:jc w:val="center"/>
        <w:rPr>
          <w:b/>
          <w:sz w:val="28"/>
          <w:szCs w:val="28"/>
        </w:rPr>
      </w:pPr>
    </w:p>
    <w:p>
      <w:pPr>
        <w:spacing w:after="0"/>
        <w:jc w:val="center"/>
        <w:rPr>
          <w:b/>
        </w:rPr>
      </w:pPr>
      <w:r>
        <w:rPr>
          <w:b/>
        </w:rPr>
        <w:t>I  OSNOVNA ODREDBA</w:t>
      </w:r>
    </w:p>
    <w:p>
      <w:pPr>
        <w:spacing w:after="0"/>
        <w:jc w:val="center"/>
        <w:rPr>
          <w:b/>
        </w:rPr>
      </w:pPr>
    </w:p>
    <w:p>
      <w:pPr>
        <w:spacing w:after="0"/>
        <w:jc w:val="center"/>
        <w:rPr>
          <w:b/>
        </w:rPr>
      </w:pPr>
      <w:r>
        <w:rPr>
          <w:b/>
        </w:rPr>
        <w:t>Član 1</w:t>
      </w:r>
    </w:p>
    <w:p>
      <w:pPr>
        <w:spacing w:after="0"/>
        <w:jc w:val="center"/>
        <w:rPr>
          <w:b/>
        </w:rPr>
      </w:pPr>
    </w:p>
    <w:p>
      <w:pPr>
        <w:spacing w:after="0"/>
        <w:jc w:val="both"/>
      </w:pPr>
      <w:r>
        <w:t>Ovom odlukom utvrđuju se uslovi, visina, način, rokovi plaćanja naknade za urbanu sanaciju (u daljem tekstu: naknada) u opštini Berane (u daljem tekstu: opština) i druga pitanja od značaja za naknadu.</w:t>
      </w:r>
    </w:p>
    <w:p>
      <w:pPr>
        <w:spacing w:after="0"/>
        <w:jc w:val="both"/>
      </w:pPr>
    </w:p>
    <w:p>
      <w:pPr>
        <w:spacing w:after="0"/>
        <w:jc w:val="center"/>
        <w:rPr>
          <w:b/>
        </w:rPr>
      </w:pPr>
      <w:r>
        <w:rPr>
          <w:b/>
        </w:rPr>
        <w:t>Rodna senzitivnost</w:t>
      </w:r>
    </w:p>
    <w:p>
      <w:pPr>
        <w:spacing w:after="0"/>
        <w:jc w:val="center"/>
        <w:rPr>
          <w:b/>
        </w:rPr>
      </w:pPr>
    </w:p>
    <w:p>
      <w:pPr>
        <w:spacing w:after="0"/>
        <w:jc w:val="center"/>
        <w:rPr>
          <w:b/>
        </w:rPr>
      </w:pPr>
      <w:r>
        <w:rPr>
          <w:b/>
        </w:rPr>
        <w:t>Član 2</w:t>
      </w:r>
    </w:p>
    <w:p>
      <w:pPr>
        <w:spacing w:after="0"/>
        <w:jc w:val="center"/>
      </w:pPr>
    </w:p>
    <w:p>
      <w:pPr>
        <w:spacing w:after="0"/>
        <w:jc w:val="both"/>
      </w:pPr>
      <w:r>
        <w:t>Izrazi koji se u ovoj odluci koriste za fizička lica u muškom rodu podrazumijevanju iste izraze u ženskom rodu.</w:t>
      </w:r>
    </w:p>
    <w:p>
      <w:pPr>
        <w:spacing w:after="0"/>
        <w:jc w:val="both"/>
      </w:pPr>
    </w:p>
    <w:p>
      <w:pPr>
        <w:spacing w:after="0"/>
        <w:jc w:val="both"/>
      </w:pPr>
    </w:p>
    <w:p>
      <w:pPr>
        <w:spacing w:after="0"/>
        <w:jc w:val="both"/>
      </w:pPr>
    </w:p>
    <w:p>
      <w:pPr>
        <w:spacing w:after="0"/>
        <w:jc w:val="center"/>
        <w:rPr>
          <w:b/>
        </w:rPr>
      </w:pPr>
      <w:r>
        <w:rPr>
          <w:b/>
        </w:rPr>
        <w:t>II  USLOVI ZA UTVRĐIVANJE NAKNADE</w:t>
      </w:r>
    </w:p>
    <w:p>
      <w:pPr>
        <w:spacing w:after="0"/>
        <w:jc w:val="center"/>
        <w:rPr>
          <w:b/>
        </w:rPr>
      </w:pPr>
    </w:p>
    <w:p>
      <w:pPr>
        <w:spacing w:after="0"/>
        <w:jc w:val="center"/>
        <w:rPr>
          <w:b/>
        </w:rPr>
      </w:pPr>
      <w:r>
        <w:rPr>
          <w:b/>
        </w:rPr>
        <w:t>Član 3</w:t>
      </w:r>
    </w:p>
    <w:p>
      <w:pPr>
        <w:spacing w:after="0"/>
        <w:jc w:val="center"/>
        <w:rPr>
          <w:b/>
        </w:rPr>
      </w:pPr>
    </w:p>
    <w:p>
      <w:pPr>
        <w:spacing w:after="0"/>
        <w:jc w:val="both"/>
      </w:pPr>
      <w:r>
        <w:t>Vlasnik bespravnog objekta plaća naknadu pod uslovom da:</w:t>
      </w:r>
    </w:p>
    <w:p>
      <w:pPr>
        <w:pStyle w:val="15"/>
        <w:numPr>
          <w:ilvl w:val="0"/>
          <w:numId w:val="1"/>
        </w:numPr>
        <w:spacing w:after="0"/>
        <w:jc w:val="both"/>
      </w:pPr>
      <w:r>
        <w:t>je pokrenut postupak legalizacije,</w:t>
      </w:r>
    </w:p>
    <w:p>
      <w:pPr>
        <w:pStyle w:val="15"/>
        <w:numPr>
          <w:ilvl w:val="0"/>
          <w:numId w:val="1"/>
        </w:numPr>
        <w:spacing w:after="0"/>
        <w:jc w:val="both"/>
      </w:pPr>
      <w:r>
        <w:t>su riješeni imovinsko pravni odnosi na bespravnom objektu i zemljištu na kome je izgrađen,</w:t>
      </w:r>
    </w:p>
    <w:p>
      <w:pPr>
        <w:pStyle w:val="15"/>
        <w:numPr>
          <w:ilvl w:val="0"/>
          <w:numId w:val="1"/>
        </w:numPr>
        <w:spacing w:after="0"/>
        <w:jc w:val="both"/>
      </w:pPr>
      <w:r>
        <w:t xml:space="preserve">je bespravni objekat evidentiran na satelitskom i aerofotogametrijskom snimku u skladu sa zakonom kojim se uređuje legalizacija bespravnih objekata, </w:t>
      </w:r>
    </w:p>
    <w:p>
      <w:pPr>
        <w:pStyle w:val="15"/>
        <w:numPr>
          <w:ilvl w:val="0"/>
          <w:numId w:val="1"/>
        </w:numPr>
        <w:spacing w:after="0"/>
        <w:jc w:val="both"/>
      </w:pPr>
      <w:r>
        <w:t>je bespravni objekat izgrađen na prostoru koji planskim dokumentom nije namijenjen za izgradnju infrastrukturnih i drugih objekata od opšteg interesa,</w:t>
      </w:r>
    </w:p>
    <w:p>
      <w:pPr>
        <w:pStyle w:val="15"/>
        <w:numPr>
          <w:ilvl w:val="0"/>
          <w:numId w:val="1"/>
        </w:numPr>
        <w:spacing w:after="0"/>
        <w:jc w:val="both"/>
      </w:pPr>
      <w:r>
        <w:t>bespravni objekat ne prelazi regulacionu liniju ili liniju vlasničke parcele ako je izgrađen na prostoru za koji ne postoji važeći planski dokument.</w:t>
      </w:r>
    </w:p>
    <w:p>
      <w:pPr>
        <w:spacing w:after="0"/>
        <w:jc w:val="both"/>
      </w:pPr>
    </w:p>
    <w:p>
      <w:pPr>
        <w:spacing w:after="0"/>
        <w:jc w:val="both"/>
      </w:pPr>
    </w:p>
    <w:p>
      <w:pPr>
        <w:spacing w:after="0"/>
        <w:jc w:val="center"/>
        <w:rPr>
          <w:b/>
        </w:rPr>
      </w:pPr>
      <w:r>
        <w:rPr>
          <w:b/>
        </w:rPr>
        <w:t>III  VISINA NAKNADE</w:t>
      </w:r>
    </w:p>
    <w:p>
      <w:pPr>
        <w:spacing w:after="0"/>
        <w:jc w:val="center"/>
        <w:rPr>
          <w:b/>
        </w:rPr>
      </w:pPr>
    </w:p>
    <w:p>
      <w:pPr>
        <w:spacing w:after="0"/>
        <w:jc w:val="center"/>
        <w:rPr>
          <w:b/>
        </w:rPr>
      </w:pPr>
      <w:r>
        <w:rPr>
          <w:b/>
        </w:rPr>
        <w:t>Član 4</w:t>
      </w:r>
    </w:p>
    <w:p>
      <w:pPr>
        <w:spacing w:after="0"/>
        <w:jc w:val="center"/>
        <w:rPr>
          <w:b/>
        </w:rPr>
      </w:pPr>
    </w:p>
    <w:p>
      <w:pPr>
        <w:spacing w:after="0"/>
        <w:jc w:val="both"/>
      </w:pPr>
      <w:r>
        <w:t>Naknada po m</w:t>
      </w:r>
      <w:r>
        <w:rPr>
          <w:rFonts w:cs="Calibri"/>
        </w:rPr>
        <w:t>²</w:t>
      </w:r>
      <w:r>
        <w:t xml:space="preserve"> neto površine bespravnog objekta utvrđuje se u zavisnosti od:</w:t>
      </w:r>
    </w:p>
    <w:p>
      <w:pPr>
        <w:pStyle w:val="15"/>
        <w:numPr>
          <w:ilvl w:val="0"/>
          <w:numId w:val="1"/>
        </w:numPr>
        <w:spacing w:after="0"/>
        <w:jc w:val="both"/>
      </w:pPr>
      <w:r>
        <w:t>zone u kojoj se bespravni objekat nalazi,</w:t>
      </w:r>
    </w:p>
    <w:p>
      <w:pPr>
        <w:pStyle w:val="15"/>
        <w:numPr>
          <w:ilvl w:val="0"/>
          <w:numId w:val="1"/>
        </w:numPr>
        <w:spacing w:after="0"/>
        <w:jc w:val="both"/>
      </w:pPr>
      <w:r>
        <w:t>ekonomsko tržišne projekcije planskog dokumenta za komunalno opremanje prostora (u daljem tekstu: ekonomsko tržišna projekcija),</w:t>
      </w:r>
    </w:p>
    <w:p>
      <w:pPr>
        <w:pStyle w:val="15"/>
        <w:numPr>
          <w:ilvl w:val="0"/>
          <w:numId w:val="1"/>
        </w:numPr>
        <w:spacing w:after="0"/>
        <w:jc w:val="both"/>
      </w:pPr>
      <w:r>
        <w:t>stepena opremljenosti građevinskog zemljišta,</w:t>
      </w:r>
    </w:p>
    <w:p>
      <w:pPr>
        <w:pStyle w:val="15"/>
        <w:numPr>
          <w:ilvl w:val="0"/>
          <w:numId w:val="1"/>
        </w:numPr>
        <w:spacing w:after="0"/>
        <w:jc w:val="both"/>
      </w:pPr>
      <w:r>
        <w:t>prosječnih troškova opremanja građevinskog zemljišta,</w:t>
      </w:r>
    </w:p>
    <w:p>
      <w:pPr>
        <w:pStyle w:val="15"/>
        <w:numPr>
          <w:ilvl w:val="0"/>
          <w:numId w:val="1"/>
        </w:numPr>
        <w:spacing w:after="0"/>
        <w:jc w:val="both"/>
      </w:pPr>
      <w:r>
        <w:t>troškova sprovođenja mjera urbane sanacije prostora devastiranih bespravnom gradnjom,</w:t>
      </w:r>
    </w:p>
    <w:p>
      <w:pPr>
        <w:pStyle w:val="15"/>
        <w:numPr>
          <w:ilvl w:val="0"/>
          <w:numId w:val="1"/>
        </w:numPr>
        <w:spacing w:after="0"/>
        <w:jc w:val="both"/>
      </w:pPr>
      <w:r>
        <w:t xml:space="preserve">načina plaćanja utvrđenog iznosa naknade i </w:t>
      </w:r>
    </w:p>
    <w:p>
      <w:pPr>
        <w:pStyle w:val="15"/>
        <w:numPr>
          <w:ilvl w:val="0"/>
          <w:numId w:val="1"/>
        </w:numPr>
        <w:spacing w:after="0"/>
        <w:jc w:val="both"/>
      </w:pPr>
      <w:r>
        <w:t>vrste, namjene i starosti objekta.</w:t>
      </w:r>
    </w:p>
    <w:p>
      <w:pPr>
        <w:spacing w:after="0"/>
        <w:jc w:val="both"/>
      </w:pPr>
    </w:p>
    <w:p>
      <w:pPr>
        <w:spacing w:after="0"/>
        <w:jc w:val="both"/>
      </w:pPr>
      <w:r>
        <w:t>Podaci o neto površini, vrsti, namjeni i starosti bespravnog objekta iz stava 1 ovog člana utvrđuju se na osnovu elaborata premjera izvedenog stanja izgrađenog bespravnog objekta ili dijela objekta, sačinjenog od strane licencirane geodetske organizacije i ovjerenog od strane organa uprave nadležnog za poslove katastra.</w:t>
      </w:r>
    </w:p>
    <w:p>
      <w:pPr>
        <w:spacing w:after="0"/>
        <w:jc w:val="center"/>
        <w:rPr>
          <w:b/>
        </w:rPr>
      </w:pPr>
    </w:p>
    <w:p>
      <w:pPr>
        <w:spacing w:after="0"/>
        <w:jc w:val="center"/>
        <w:rPr>
          <w:b/>
        </w:rPr>
      </w:pPr>
    </w:p>
    <w:p>
      <w:pPr>
        <w:spacing w:after="0"/>
        <w:jc w:val="center"/>
        <w:rPr>
          <w:b/>
        </w:rPr>
      </w:pPr>
      <w:r>
        <w:rPr>
          <w:b/>
        </w:rPr>
        <w:t>ZONE</w:t>
      </w:r>
    </w:p>
    <w:p>
      <w:pPr>
        <w:spacing w:after="0"/>
        <w:jc w:val="center"/>
        <w:rPr>
          <w:b/>
        </w:rPr>
      </w:pPr>
    </w:p>
    <w:p>
      <w:pPr>
        <w:spacing w:after="0"/>
        <w:jc w:val="center"/>
        <w:rPr>
          <w:b/>
        </w:rPr>
      </w:pPr>
      <w:r>
        <w:rPr>
          <w:b/>
        </w:rPr>
        <w:t>Član 5</w:t>
      </w:r>
    </w:p>
    <w:p>
      <w:pPr>
        <w:spacing w:after="0"/>
        <w:jc w:val="center"/>
        <w:rPr>
          <w:b/>
        </w:rPr>
      </w:pPr>
    </w:p>
    <w:p>
      <w:pPr>
        <w:spacing w:after="0"/>
        <w:jc w:val="both"/>
      </w:pPr>
      <w:r>
        <w:t>Teritorija opštine Berane dijeli se u šest zona, na osnovu zahvata planskih dokumenata, odnosno prema mjestu na kome se bespravni objekat nalazi, i to:</w:t>
      </w:r>
    </w:p>
    <w:p>
      <w:pPr>
        <w:spacing w:after="0"/>
        <w:jc w:val="both"/>
      </w:pPr>
    </w:p>
    <w:p>
      <w:pPr>
        <w:spacing w:after="0"/>
        <w:jc w:val="center"/>
      </w:pPr>
      <w:r>
        <w:t>PRVA ZONA</w:t>
      </w:r>
    </w:p>
    <w:p>
      <w:pPr>
        <w:spacing w:after="0"/>
        <w:jc w:val="center"/>
      </w:pPr>
    </w:p>
    <w:p>
      <w:pPr>
        <w:spacing w:after="0"/>
        <w:jc w:val="both"/>
      </w:pPr>
      <w:r>
        <w:t>Obuhvata prostor koji zahvata:  DUP „Stari Grad“, DUP „Centar“, DUP „Park“, DUP „Gimnazija i autobuska stanica“, DUP „Lijeva obala Lima“ i DUP „Agropolimlje“.</w:t>
      </w:r>
    </w:p>
    <w:p>
      <w:pPr>
        <w:spacing w:after="0"/>
        <w:jc w:val="both"/>
      </w:pPr>
    </w:p>
    <w:p>
      <w:pPr>
        <w:spacing w:after="0"/>
        <w:jc w:val="center"/>
      </w:pPr>
      <w:r>
        <w:t>DRUGA ZONA</w:t>
      </w:r>
    </w:p>
    <w:p>
      <w:pPr>
        <w:spacing w:after="0"/>
        <w:jc w:val="center"/>
      </w:pPr>
    </w:p>
    <w:p>
      <w:pPr>
        <w:spacing w:after="0"/>
        <w:jc w:val="both"/>
      </w:pPr>
      <w:r>
        <w:t>Obuhvata prostor koji zahvata:  DUP „Stadion i škola Vuk Karadžić“, DUP „Šaćina Bara“, DUP „Medicinski Centar“, DUP „Novo Naselje“, DUP „Izgradnja“, DUP „Školski centar Vukadin Vukadinović“, DUP „Rasadnik“ i DUP „Obalsko Naselje“.</w:t>
      </w:r>
    </w:p>
    <w:p>
      <w:pPr>
        <w:spacing w:after="0"/>
        <w:jc w:val="both"/>
      </w:pPr>
    </w:p>
    <w:p>
      <w:pPr>
        <w:spacing w:after="0"/>
        <w:jc w:val="center"/>
      </w:pPr>
      <w:r>
        <w:t>TREĆA ZONA</w:t>
      </w:r>
    </w:p>
    <w:p>
      <w:pPr>
        <w:spacing w:after="0"/>
        <w:jc w:val="center"/>
      </w:pPr>
    </w:p>
    <w:p>
      <w:pPr>
        <w:spacing w:after="0"/>
        <w:jc w:val="both"/>
      </w:pPr>
      <w:r>
        <w:t>Obuhvata prostor koji zahvata: DUP „Luge“, DUP „Gornji Talum“, DUP „Komunalno“, DUP „Desna obala Lima“.</w:t>
      </w:r>
    </w:p>
    <w:p>
      <w:pPr>
        <w:spacing w:after="0"/>
        <w:jc w:val="both"/>
      </w:pPr>
    </w:p>
    <w:p>
      <w:pPr>
        <w:spacing w:after="0"/>
        <w:jc w:val="both"/>
      </w:pPr>
    </w:p>
    <w:p>
      <w:pPr>
        <w:spacing w:after="0"/>
        <w:jc w:val="both"/>
      </w:pPr>
    </w:p>
    <w:p>
      <w:pPr>
        <w:spacing w:after="0"/>
        <w:jc w:val="center"/>
      </w:pPr>
      <w:r>
        <w:t>ČETVRTA  ZONA</w:t>
      </w:r>
    </w:p>
    <w:p>
      <w:pPr>
        <w:spacing w:after="0"/>
        <w:jc w:val="center"/>
      </w:pPr>
    </w:p>
    <w:p>
      <w:pPr>
        <w:spacing w:after="0"/>
        <w:jc w:val="both"/>
      </w:pPr>
      <w:r>
        <w:t>Obuhvata prostor koji zahvata: LSL „Aerodrom“, DUP „Bistrica“, DUP „Ostrovi“, DUP „Hareme“, DUP „Lugovi i Donji Talum“, DUP „Groblje“, DUP „Krkače“, DUP „Škrljevica“, DUP „Spomen kompleks Jasikovac“, LSL „Postrojenje za prečišćavanje otpadnih voda“, DUP „Sušica“ i UP „Manastir Đurđevi Stupovi“.</w:t>
      </w:r>
    </w:p>
    <w:p>
      <w:pPr>
        <w:spacing w:after="0"/>
        <w:jc w:val="both"/>
      </w:pPr>
    </w:p>
    <w:p>
      <w:pPr>
        <w:spacing w:after="0"/>
        <w:jc w:val="center"/>
      </w:pPr>
      <w:r>
        <w:t>PETA  ZONA</w:t>
      </w:r>
    </w:p>
    <w:p>
      <w:pPr>
        <w:spacing w:after="0"/>
        <w:jc w:val="center"/>
      </w:pPr>
    </w:p>
    <w:p>
      <w:pPr>
        <w:spacing w:after="0"/>
        <w:jc w:val="both"/>
      </w:pPr>
      <w:r>
        <w:t>Obuhvata prostor koji zahvata:  DUP „Golubinjci“, DUP „Šćepanica“, DUP „Beranselo“, DUP „Rudeš I“, DUP „Rudeš II“, DUP „Rudeš III“, DUP „Votnjik“, DUP „Jasikovac Polje“, DUP „Brnjica“ i LSL „Biznis zona“.</w:t>
      </w:r>
    </w:p>
    <w:p>
      <w:pPr>
        <w:spacing w:after="0"/>
        <w:jc w:val="both"/>
      </w:pPr>
    </w:p>
    <w:p>
      <w:pPr>
        <w:spacing w:after="0"/>
        <w:jc w:val="center"/>
      </w:pPr>
      <w:r>
        <w:t>ŠESTA  ZONA</w:t>
      </w:r>
    </w:p>
    <w:p>
      <w:pPr>
        <w:spacing w:after="0"/>
        <w:jc w:val="center"/>
      </w:pPr>
    </w:p>
    <w:p>
      <w:pPr>
        <w:spacing w:after="0"/>
        <w:jc w:val="both"/>
      </w:pPr>
      <w:r>
        <w:t>Obuhvata sva ostala naselja i područja u okviru Prostorno urbanističkog plana Berana.</w:t>
      </w:r>
    </w:p>
    <w:p>
      <w:pPr>
        <w:spacing w:after="0"/>
        <w:jc w:val="both"/>
      </w:pPr>
    </w:p>
    <w:p>
      <w:pPr>
        <w:spacing w:after="0"/>
        <w:jc w:val="both"/>
      </w:pPr>
      <w:r>
        <w:t>Grafički prikaz zona iz ovog člana je sastavni dio ove odluke.</w:t>
      </w:r>
    </w:p>
    <w:p>
      <w:pPr>
        <w:spacing w:after="0"/>
        <w:jc w:val="both"/>
      </w:pPr>
    </w:p>
    <w:p>
      <w:pPr>
        <w:spacing w:after="0"/>
        <w:jc w:val="both"/>
      </w:pPr>
    </w:p>
    <w:p>
      <w:pPr>
        <w:spacing w:after="0"/>
        <w:jc w:val="center"/>
        <w:rPr>
          <w:b/>
        </w:rPr>
      </w:pPr>
      <w:r>
        <w:rPr>
          <w:b/>
        </w:rPr>
        <w:t>Član 6</w:t>
      </w:r>
    </w:p>
    <w:p>
      <w:pPr>
        <w:spacing w:after="0"/>
        <w:jc w:val="center"/>
        <w:rPr>
          <w:b/>
        </w:rPr>
      </w:pPr>
    </w:p>
    <w:p>
      <w:pPr>
        <w:spacing w:after="0"/>
        <w:jc w:val="both"/>
      </w:pPr>
      <w:r>
        <w:t>Iznos naknade po m</w:t>
      </w:r>
      <w:r>
        <w:rPr>
          <w:rFonts w:cs="Calibri"/>
        </w:rPr>
        <w:t>²</w:t>
      </w:r>
      <w:r>
        <w:t xml:space="preserve"> neto površine bespravnog objekta po zonama iznosi:</w:t>
      </w:r>
    </w:p>
    <w:p>
      <w:pPr>
        <w:spacing w:after="0"/>
        <w:jc w:val="both"/>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3"/>
        <w:gridCol w:w="1257"/>
        <w:gridCol w:w="1336"/>
        <w:gridCol w:w="1336"/>
        <w:gridCol w:w="1336"/>
        <w:gridCol w:w="1336"/>
        <w:gridCol w:w="1336"/>
      </w:tblGrid>
      <w:tr>
        <w:tc>
          <w:tcPr>
            <w:tcW w:w="1413" w:type="dxa"/>
          </w:tcPr>
          <w:p>
            <w:pPr>
              <w:jc w:val="both"/>
            </w:pPr>
            <w:r>
              <w:t xml:space="preserve">ZONA </w:t>
            </w:r>
          </w:p>
        </w:tc>
        <w:tc>
          <w:tcPr>
            <w:tcW w:w="1257" w:type="dxa"/>
          </w:tcPr>
          <w:p>
            <w:pPr>
              <w:jc w:val="both"/>
            </w:pPr>
            <w:r>
              <w:t>PRVA</w:t>
            </w:r>
          </w:p>
        </w:tc>
        <w:tc>
          <w:tcPr>
            <w:tcW w:w="1336" w:type="dxa"/>
          </w:tcPr>
          <w:p>
            <w:pPr>
              <w:jc w:val="both"/>
            </w:pPr>
            <w:r>
              <w:t>DRUGA</w:t>
            </w:r>
          </w:p>
        </w:tc>
        <w:tc>
          <w:tcPr>
            <w:tcW w:w="1336" w:type="dxa"/>
          </w:tcPr>
          <w:p>
            <w:pPr>
              <w:jc w:val="both"/>
            </w:pPr>
            <w:r>
              <w:t>TREĆA</w:t>
            </w:r>
          </w:p>
        </w:tc>
        <w:tc>
          <w:tcPr>
            <w:tcW w:w="1336" w:type="dxa"/>
          </w:tcPr>
          <w:p>
            <w:pPr>
              <w:jc w:val="both"/>
            </w:pPr>
            <w:r>
              <w:t>ČETVRTA</w:t>
            </w:r>
          </w:p>
        </w:tc>
        <w:tc>
          <w:tcPr>
            <w:tcW w:w="1336" w:type="dxa"/>
          </w:tcPr>
          <w:p>
            <w:pPr>
              <w:jc w:val="both"/>
            </w:pPr>
            <w:r>
              <w:t>PETA</w:t>
            </w:r>
          </w:p>
        </w:tc>
        <w:tc>
          <w:tcPr>
            <w:tcW w:w="1336" w:type="dxa"/>
          </w:tcPr>
          <w:p>
            <w:pPr>
              <w:jc w:val="both"/>
            </w:pPr>
            <w:r>
              <w:t>ŠESTA</w:t>
            </w:r>
          </w:p>
        </w:tc>
      </w:tr>
      <w:tr>
        <w:tc>
          <w:tcPr>
            <w:tcW w:w="1413" w:type="dxa"/>
          </w:tcPr>
          <w:p>
            <w:pPr>
              <w:jc w:val="both"/>
            </w:pPr>
            <w:r>
              <w:t xml:space="preserve">Iznos       </w:t>
            </w:r>
            <w:r>
              <w:rPr>
                <w:rFonts w:cs="Calibri"/>
              </w:rPr>
              <w:t>€</w:t>
            </w:r>
            <w:r>
              <w:t>/m</w:t>
            </w:r>
            <w:r>
              <w:rPr>
                <w:rFonts w:ascii="Calibri" w:cs="Calibri" w:hAnsi="Calibri"/>
              </w:rPr>
              <w:t>²</w:t>
            </w:r>
          </w:p>
        </w:tc>
        <w:tc>
          <w:tcPr>
            <w:tcW w:w="1257" w:type="dxa"/>
          </w:tcPr>
          <w:p>
            <w:pPr>
              <w:jc w:val="both"/>
            </w:pPr>
            <w:r>
              <w:t>35,20</w:t>
            </w:r>
          </w:p>
        </w:tc>
        <w:tc>
          <w:tcPr>
            <w:tcW w:w="1336" w:type="dxa"/>
          </w:tcPr>
          <w:p>
            <w:pPr>
              <w:jc w:val="both"/>
            </w:pPr>
            <w:r>
              <w:t>31,68</w:t>
            </w:r>
          </w:p>
        </w:tc>
        <w:tc>
          <w:tcPr>
            <w:tcW w:w="1336" w:type="dxa"/>
          </w:tcPr>
          <w:p>
            <w:pPr>
              <w:jc w:val="both"/>
            </w:pPr>
            <w:r>
              <w:t>28,16</w:t>
            </w:r>
          </w:p>
        </w:tc>
        <w:tc>
          <w:tcPr>
            <w:tcW w:w="1336" w:type="dxa"/>
          </w:tcPr>
          <w:p>
            <w:pPr>
              <w:jc w:val="both"/>
            </w:pPr>
            <w:r>
              <w:t>24,64</w:t>
            </w:r>
          </w:p>
        </w:tc>
        <w:tc>
          <w:tcPr>
            <w:tcW w:w="1336" w:type="dxa"/>
          </w:tcPr>
          <w:p>
            <w:pPr>
              <w:jc w:val="both"/>
            </w:pPr>
            <w:r>
              <w:t>21,12</w:t>
            </w:r>
          </w:p>
        </w:tc>
        <w:tc>
          <w:tcPr>
            <w:tcW w:w="1336" w:type="dxa"/>
          </w:tcPr>
          <w:p>
            <w:pPr>
              <w:jc w:val="both"/>
            </w:pPr>
            <w:r>
              <w:t xml:space="preserve">0,00 </w:t>
            </w:r>
          </w:p>
        </w:tc>
      </w:tr>
    </w:tbl>
    <w:p>
      <w:pPr>
        <w:spacing w:after="0"/>
        <w:jc w:val="both"/>
      </w:pPr>
    </w:p>
    <w:p>
      <w:pPr>
        <w:spacing w:after="0"/>
        <w:jc w:val="both"/>
      </w:pPr>
    </w:p>
    <w:p>
      <w:pPr>
        <w:spacing w:after="0"/>
        <w:jc w:val="both"/>
      </w:pPr>
    </w:p>
    <w:p>
      <w:pPr>
        <w:spacing w:after="0"/>
        <w:jc w:val="both"/>
      </w:pPr>
    </w:p>
    <w:p>
      <w:pPr>
        <w:spacing w:after="0"/>
        <w:jc w:val="center"/>
        <w:rPr>
          <w:b/>
        </w:rPr>
      </w:pPr>
      <w:r>
        <w:rPr>
          <w:b/>
        </w:rPr>
        <w:t>Vrsta i namjena objekta</w:t>
      </w:r>
    </w:p>
    <w:p>
      <w:pPr>
        <w:spacing w:after="0"/>
        <w:jc w:val="center"/>
        <w:rPr>
          <w:b/>
        </w:rPr>
      </w:pPr>
    </w:p>
    <w:p>
      <w:pPr>
        <w:spacing w:after="0"/>
        <w:jc w:val="center"/>
        <w:rPr>
          <w:b/>
        </w:rPr>
      </w:pPr>
      <w:r>
        <w:rPr>
          <w:b/>
        </w:rPr>
        <w:t>Član 7</w:t>
      </w:r>
    </w:p>
    <w:p>
      <w:pPr>
        <w:spacing w:after="0"/>
        <w:jc w:val="center"/>
        <w:rPr>
          <w:b/>
        </w:rPr>
      </w:pPr>
    </w:p>
    <w:p>
      <w:pPr>
        <w:spacing w:after="0"/>
        <w:jc w:val="both"/>
      </w:pPr>
      <w:r>
        <w:t>Naknada iz člana 11 ove odluke umanjuje se za:</w:t>
      </w:r>
    </w:p>
    <w:p>
      <w:pPr>
        <w:pStyle w:val="15"/>
        <w:numPr>
          <w:ilvl w:val="0"/>
          <w:numId w:val="1"/>
        </w:numPr>
        <w:spacing w:after="0"/>
        <w:jc w:val="both"/>
      </w:pPr>
      <w:r>
        <w:t>50% za objekte osnovnog stanovanja,</w:t>
      </w:r>
    </w:p>
    <w:p>
      <w:pPr>
        <w:pStyle w:val="15"/>
        <w:numPr>
          <w:ilvl w:val="0"/>
          <w:numId w:val="1"/>
        </w:numPr>
        <w:spacing w:after="0"/>
        <w:jc w:val="both"/>
      </w:pPr>
      <w:r>
        <w:t>70% za objekte čiji su vlasnici ili članovi porodičnog domaćinstva samohrani roditelji, odnosno staratelji, lica sa invaliditetom, mladi koji su bili djeca bez roditeljskog staranja, porodice sa djecom sa smetnjama u razvoju, pripadnici romske i egipćanske populacije,</w:t>
      </w:r>
    </w:p>
    <w:p>
      <w:pPr>
        <w:pStyle w:val="15"/>
        <w:numPr>
          <w:ilvl w:val="0"/>
          <w:numId w:val="1"/>
        </w:numPr>
        <w:spacing w:after="0"/>
        <w:jc w:val="both"/>
      </w:pPr>
      <w:r>
        <w:t>50% za objekte u vlasništvu vjerskih zajednica, koji se koriste za bogoslužbene i druge potrebe vjerskih zajednica.</w:t>
      </w:r>
    </w:p>
    <w:p>
      <w:pPr>
        <w:spacing w:after="0"/>
        <w:jc w:val="both"/>
      </w:pPr>
    </w:p>
    <w:p>
      <w:pPr>
        <w:spacing w:after="0"/>
        <w:jc w:val="both"/>
      </w:pPr>
      <w:r>
        <w:t xml:space="preserve">Pravo na umanjenje iz stava 1 ovog člana ostvaruje se ukoliko vlasnik bespravnog objekta naknadu plaća jednokratno. </w:t>
      </w:r>
      <w:bookmarkStart w:id="0" w:name="_GoBack"/>
      <w:bookmarkEnd w:id="0"/>
    </w:p>
    <w:p>
      <w:pPr>
        <w:spacing w:after="0"/>
        <w:jc w:val="both"/>
      </w:pPr>
    </w:p>
    <w:p>
      <w:pPr>
        <w:spacing w:after="0"/>
        <w:jc w:val="both"/>
      </w:pPr>
    </w:p>
    <w:p>
      <w:pPr>
        <w:spacing w:after="0"/>
        <w:jc w:val="both"/>
      </w:pPr>
    </w:p>
    <w:p>
      <w:pPr>
        <w:spacing w:after="0"/>
        <w:jc w:val="both"/>
      </w:pPr>
    </w:p>
    <w:p>
      <w:pPr>
        <w:spacing w:after="0"/>
        <w:jc w:val="center"/>
        <w:rPr>
          <w:b/>
        </w:rPr>
      </w:pPr>
      <w:r>
        <w:rPr>
          <w:b/>
        </w:rPr>
        <w:t>Način plaćanja</w:t>
      </w:r>
    </w:p>
    <w:p>
      <w:pPr>
        <w:spacing w:after="0"/>
        <w:jc w:val="center"/>
        <w:rPr>
          <w:b/>
        </w:rPr>
      </w:pPr>
    </w:p>
    <w:p>
      <w:pPr>
        <w:spacing w:after="0"/>
        <w:jc w:val="center"/>
        <w:rPr>
          <w:b/>
        </w:rPr>
      </w:pPr>
      <w:r>
        <w:rPr>
          <w:b/>
        </w:rPr>
        <w:t>Član 8</w:t>
      </w:r>
    </w:p>
    <w:p>
      <w:pPr>
        <w:spacing w:after="0"/>
        <w:jc w:val="center"/>
        <w:rPr>
          <w:b/>
        </w:rPr>
      </w:pPr>
    </w:p>
    <w:p>
      <w:pPr>
        <w:spacing w:after="0"/>
        <w:jc w:val="both"/>
      </w:pPr>
      <w:r>
        <w:t>Vlasnik bespravnog objekta koji naknadu plaća jednokratno ima pravo na umanjenje od 20 %.</w:t>
      </w:r>
    </w:p>
    <w:p>
      <w:pPr>
        <w:spacing w:after="0"/>
        <w:jc w:val="both"/>
      </w:pPr>
    </w:p>
    <w:p>
      <w:pPr>
        <w:spacing w:after="0"/>
        <w:jc w:val="both"/>
      </w:pPr>
    </w:p>
    <w:p>
      <w:pPr>
        <w:spacing w:after="0"/>
        <w:jc w:val="center"/>
        <w:rPr>
          <w:b/>
        </w:rPr>
      </w:pPr>
      <w:r>
        <w:rPr>
          <w:b/>
        </w:rPr>
        <w:t>Član 9</w:t>
      </w:r>
    </w:p>
    <w:p>
      <w:pPr>
        <w:spacing w:after="0"/>
        <w:jc w:val="center"/>
        <w:rPr>
          <w:b/>
        </w:rPr>
      </w:pPr>
    </w:p>
    <w:p>
      <w:pPr>
        <w:spacing w:after="0"/>
        <w:jc w:val="both"/>
      </w:pPr>
      <w:r>
        <w:t>Umanjenja iz člana 7 i 8 ove odluke mogu se izvršiti samo po jednom osnovu i ne mogu se sabirati, odnosno kumulirati.</w:t>
      </w:r>
    </w:p>
    <w:p>
      <w:pPr>
        <w:spacing w:after="0"/>
        <w:jc w:val="both"/>
      </w:pPr>
    </w:p>
    <w:p>
      <w:pPr>
        <w:spacing w:after="0"/>
        <w:jc w:val="both"/>
      </w:pPr>
    </w:p>
    <w:p>
      <w:pPr>
        <w:spacing w:after="0"/>
        <w:jc w:val="center"/>
        <w:rPr>
          <w:b/>
        </w:rPr>
      </w:pPr>
      <w:r>
        <w:rPr>
          <w:b/>
        </w:rPr>
        <w:t>IV  NAČIN I ROKOVI PLAĆANJA NAKNADE</w:t>
      </w:r>
    </w:p>
    <w:p>
      <w:pPr>
        <w:spacing w:after="0"/>
        <w:jc w:val="center"/>
        <w:rPr>
          <w:b/>
        </w:rPr>
      </w:pPr>
    </w:p>
    <w:p>
      <w:pPr>
        <w:spacing w:after="0"/>
        <w:jc w:val="center"/>
        <w:rPr>
          <w:b/>
        </w:rPr>
      </w:pPr>
    </w:p>
    <w:p>
      <w:pPr>
        <w:spacing w:after="0"/>
        <w:jc w:val="center"/>
        <w:rPr>
          <w:b/>
        </w:rPr>
      </w:pPr>
      <w:r>
        <w:rPr>
          <w:b/>
        </w:rPr>
        <w:t>Član 10</w:t>
      </w:r>
    </w:p>
    <w:p>
      <w:pPr>
        <w:spacing w:after="0"/>
        <w:jc w:val="center"/>
        <w:rPr>
          <w:b/>
        </w:rPr>
      </w:pPr>
    </w:p>
    <w:p>
      <w:pPr>
        <w:spacing w:after="0"/>
        <w:jc w:val="both"/>
      </w:pPr>
      <w:r>
        <w:t>Vlasnik bespravnog objekta podnosi zahtjev za plaćanje naknade (u daljem tekstu: zahtjev) organu lokalne uprave nadležnom za poslove legalizacije objekata (u daljem tekstu: nadležni organ) u kome navodi način plaćanja (jednokratno ili u jednakim mjesečnim ratama).</w:t>
      </w:r>
    </w:p>
    <w:p>
      <w:pPr>
        <w:spacing w:after="0"/>
        <w:jc w:val="both"/>
      </w:pPr>
      <w:r>
        <w:t>Ako se zahtjevom traži plaćanje naknade u jednakim mjesečnim ratama, u zahtjevu se navodi i broj rata i to najviše:</w:t>
      </w:r>
    </w:p>
    <w:p>
      <w:pPr>
        <w:pStyle w:val="15"/>
        <w:numPr>
          <w:ilvl w:val="0"/>
          <w:numId w:val="1"/>
        </w:numPr>
        <w:spacing w:after="0"/>
        <w:jc w:val="both"/>
      </w:pPr>
      <w:r>
        <w:t>360  za objekte osnovnog stanovanja,</w:t>
      </w:r>
    </w:p>
    <w:p>
      <w:pPr>
        <w:pStyle w:val="15"/>
        <w:numPr>
          <w:ilvl w:val="0"/>
          <w:numId w:val="1"/>
        </w:numPr>
        <w:spacing w:after="0"/>
        <w:jc w:val="both"/>
      </w:pPr>
      <w:r>
        <w:t>120  za ostale objekte,</w:t>
      </w:r>
    </w:p>
    <w:p>
      <w:pPr>
        <w:pStyle w:val="15"/>
        <w:numPr>
          <w:ilvl w:val="0"/>
          <w:numId w:val="1"/>
        </w:numPr>
        <w:spacing w:after="0"/>
        <w:jc w:val="both"/>
      </w:pPr>
      <w:r>
        <w:t xml:space="preserve">  60  za hotel, odnosno turističko naselje sa četiri ili pet zvjezdica i turistički rizort.</w:t>
      </w:r>
    </w:p>
    <w:p>
      <w:pPr>
        <w:spacing w:after="0"/>
        <w:jc w:val="both"/>
      </w:pPr>
      <w:r>
        <w:t>U slučaju iz člana 7 ove odluke u zahtjevu se navodi i osnov za umanjenje naknade i prilažu se dokazi o ispunjavanju uslova za umanjenje.</w:t>
      </w:r>
    </w:p>
    <w:p>
      <w:pPr>
        <w:spacing w:after="0"/>
        <w:jc w:val="both"/>
      </w:pPr>
    </w:p>
    <w:p>
      <w:pPr>
        <w:spacing w:after="0"/>
        <w:jc w:val="center"/>
        <w:rPr>
          <w:b/>
        </w:rPr>
      </w:pPr>
      <w:r>
        <w:rPr>
          <w:b/>
        </w:rPr>
        <w:t>Član 11</w:t>
      </w:r>
    </w:p>
    <w:p>
      <w:pPr>
        <w:spacing w:after="0"/>
        <w:jc w:val="center"/>
        <w:rPr>
          <w:b/>
        </w:rPr>
      </w:pPr>
    </w:p>
    <w:p>
      <w:pPr>
        <w:spacing w:after="0"/>
        <w:jc w:val="both"/>
      </w:pPr>
      <w:r>
        <w:t>Visina naknade, način i rok plaćanja utvrđuje se rješenjem nadležnog organa.</w:t>
      </w:r>
    </w:p>
    <w:p>
      <w:pPr>
        <w:spacing w:after="0"/>
        <w:jc w:val="both"/>
      </w:pPr>
      <w:r>
        <w:t>Naknada se uplaćuje na uplatni račun budžeta opštine Berane.</w:t>
      </w:r>
    </w:p>
    <w:p>
      <w:pPr>
        <w:spacing w:after="0"/>
        <w:jc w:val="both"/>
      </w:pPr>
      <w:r>
        <w:t>Naknada u jednokratnom iznosu plaća se u roku od 7 dana od dana izvršnosti rješenja o naknadi.</w:t>
      </w:r>
    </w:p>
    <w:p>
      <w:pPr>
        <w:spacing w:after="0"/>
        <w:jc w:val="both"/>
      </w:pPr>
      <w:r>
        <w:t>Ako se naknada plaća u jednakim mjesečnim ratama, rješenjem iz stava 1 ovog člana utvrđuje se i iznos kamate i kamatna stopa.</w:t>
      </w:r>
    </w:p>
    <w:p>
      <w:pPr>
        <w:spacing w:after="0"/>
        <w:jc w:val="both"/>
      </w:pPr>
      <w:r>
        <w:t>Naknada iz stava 4 ovog člana plaća se do 5-og u mjesecu za prethodni mjesec.</w:t>
      </w:r>
    </w:p>
    <w:p>
      <w:pPr>
        <w:spacing w:after="0"/>
        <w:jc w:val="both"/>
      </w:pPr>
      <w:r>
        <w:t>Ako vlasnik bespravnog objekta ne izmiruje obaveze u skladu sa rješenjem nadležnog organa, rješenjem o prinudnoj naplati utvrđuje se i zakonska zatezna kamata.</w:t>
      </w:r>
    </w:p>
    <w:p>
      <w:pPr>
        <w:spacing w:after="0"/>
        <w:jc w:val="both"/>
      </w:pPr>
    </w:p>
    <w:p>
      <w:pPr>
        <w:spacing w:after="0"/>
        <w:jc w:val="both"/>
      </w:pPr>
    </w:p>
    <w:p>
      <w:pPr>
        <w:spacing w:after="0"/>
        <w:jc w:val="both"/>
      </w:pPr>
    </w:p>
    <w:p>
      <w:pPr>
        <w:spacing w:after="0"/>
        <w:jc w:val="center"/>
        <w:rPr>
          <w:b/>
        </w:rPr>
      </w:pPr>
    </w:p>
    <w:p>
      <w:pPr>
        <w:spacing w:after="0"/>
        <w:jc w:val="center"/>
        <w:rPr>
          <w:b/>
        </w:rPr>
      </w:pPr>
      <w:r>
        <w:rPr>
          <w:b/>
        </w:rPr>
        <w:t>Član 12</w:t>
      </w:r>
    </w:p>
    <w:p>
      <w:pPr>
        <w:spacing w:after="0"/>
        <w:jc w:val="center"/>
        <w:rPr>
          <w:b/>
        </w:rPr>
      </w:pPr>
    </w:p>
    <w:p>
      <w:pPr>
        <w:spacing w:after="0"/>
        <w:jc w:val="both"/>
      </w:pPr>
      <w:r>
        <w:t>U slučaju plaćanja naknade u mjesečnim ratama vlasnik bespravnog objekta dužan je da nadležnom organu dostavi sredstva obezbjeđenja i to:</w:t>
      </w:r>
    </w:p>
    <w:p>
      <w:pPr>
        <w:pStyle w:val="15"/>
        <w:numPr>
          <w:ilvl w:val="0"/>
          <w:numId w:val="2"/>
        </w:numPr>
        <w:spacing w:after="0"/>
        <w:jc w:val="both"/>
      </w:pPr>
      <w:r>
        <w:t>Pravno lice:</w:t>
      </w:r>
    </w:p>
    <w:p>
      <w:pPr>
        <w:pStyle w:val="15"/>
        <w:numPr>
          <w:ilvl w:val="0"/>
          <w:numId w:val="1"/>
        </w:numPr>
        <w:spacing w:after="0"/>
        <w:jc w:val="both"/>
      </w:pPr>
      <w:r>
        <w:t>neopozivu bankarsku garanciju „bez prigovora“ naplativu „na prvi poziv“ na utvrđeni iznos naknade ili bankarsku revolving garanciju „bez prigovora“ naplativu „na prvi poziv“ u vrijednosti od 12 mjesečnih rata utvrđene naknade,</w:t>
      </w:r>
    </w:p>
    <w:p>
      <w:pPr>
        <w:pStyle w:val="15"/>
        <w:numPr>
          <w:ilvl w:val="0"/>
          <w:numId w:val="1"/>
        </w:numPr>
        <w:spacing w:after="0"/>
        <w:jc w:val="both"/>
      </w:pPr>
      <w:r>
        <w:t>ugovor o fiducijalnom prenosu prava svojine, odnosno ugovor o hipoteci prvog reda na bespravnom objektu za koji plaća naknadu ili na drugoj nepokretnosti po izboru nadležnog organa čija tržišna vrijednost mora biti za 30% veća od iznosa naknade.</w:t>
      </w:r>
    </w:p>
    <w:p>
      <w:pPr>
        <w:pStyle w:val="15"/>
        <w:numPr>
          <w:ilvl w:val="0"/>
          <w:numId w:val="2"/>
        </w:numPr>
        <w:spacing w:after="0"/>
        <w:jc w:val="both"/>
      </w:pPr>
      <w:r>
        <w:t>Fizičko lice: ugovor o hipoteci prvog reda na bespravnom objektu za koji plaća naknadu, odnosno na drugoj nepokretnosti po izboru nadležnog organa čija vrijednost mora biti za 30% veća od iznosa naknade.</w:t>
      </w:r>
    </w:p>
    <w:p>
      <w:pPr>
        <w:pStyle w:val="15"/>
        <w:spacing w:after="0"/>
        <w:jc w:val="both"/>
      </w:pPr>
    </w:p>
    <w:p>
      <w:pPr>
        <w:pStyle w:val="15"/>
        <w:spacing w:after="0"/>
        <w:rPr>
          <w:b/>
        </w:rPr>
      </w:pPr>
      <w:r>
        <w:rPr>
          <w:b/>
        </w:rPr>
        <w:t xml:space="preserve">                                                                        Član 13</w:t>
      </w:r>
    </w:p>
    <w:p>
      <w:pPr>
        <w:pStyle w:val="15"/>
        <w:spacing w:after="0"/>
        <w:rPr>
          <w:b/>
        </w:rPr>
      </w:pPr>
    </w:p>
    <w:p>
      <w:pPr>
        <w:spacing w:after="0"/>
        <w:jc w:val="both"/>
      </w:pPr>
      <w:r>
        <w:t>Mjere urbane sanacije za vlasnike bespravnih objekata koji su izmirili cjelokupni iznos naknade utvrđuju se Programom urbane sanacije opštine Berane u zavisnosti od ukupno naplaćenih sredstava na ime naknade i drugih izvora finansiranja, u skladu sa zakonom.</w:t>
      </w:r>
    </w:p>
    <w:p>
      <w:pPr>
        <w:spacing w:after="0"/>
        <w:jc w:val="both"/>
      </w:pPr>
    </w:p>
    <w:p>
      <w:pPr>
        <w:spacing w:after="0"/>
        <w:jc w:val="both"/>
      </w:pPr>
    </w:p>
    <w:p>
      <w:pPr>
        <w:spacing w:after="0"/>
        <w:jc w:val="both"/>
      </w:pPr>
    </w:p>
    <w:p>
      <w:pPr>
        <w:spacing w:after="0"/>
        <w:jc w:val="center"/>
        <w:rPr>
          <w:b/>
        </w:rPr>
      </w:pPr>
      <w:r>
        <w:rPr>
          <w:b/>
        </w:rPr>
        <w:t>V  PRELAZNA I ZAVRŠNA ODREDBA</w:t>
      </w:r>
    </w:p>
    <w:p>
      <w:pPr>
        <w:spacing w:after="0"/>
        <w:jc w:val="center"/>
        <w:rPr>
          <w:b/>
        </w:rPr>
      </w:pPr>
    </w:p>
    <w:p>
      <w:pPr>
        <w:spacing w:after="0"/>
        <w:jc w:val="center"/>
        <w:rPr>
          <w:b/>
        </w:rPr>
      </w:pPr>
    </w:p>
    <w:p>
      <w:pPr>
        <w:spacing w:after="0"/>
        <w:jc w:val="center"/>
        <w:rPr>
          <w:b/>
        </w:rPr>
      </w:pPr>
      <w:r>
        <w:rPr>
          <w:b/>
        </w:rPr>
        <w:t>Član 14</w:t>
      </w:r>
    </w:p>
    <w:p>
      <w:pPr>
        <w:spacing w:after="0"/>
        <w:jc w:val="center"/>
        <w:rPr>
          <w:b/>
        </w:rPr>
      </w:pPr>
    </w:p>
    <w:p>
      <w:pPr>
        <w:spacing w:after="0"/>
        <w:jc w:val="both"/>
      </w:pPr>
      <w:r>
        <w:t>Postupci utvrđivanja naknade započeti po Odluci o naknadi za urbanu sanaciju („Službeni list Crne Gore – opštinski propisi“, broj 22/21), okončaće se po ovoj odluci.</w:t>
      </w:r>
    </w:p>
    <w:p>
      <w:pPr>
        <w:spacing w:after="0"/>
        <w:jc w:val="both"/>
      </w:pPr>
    </w:p>
    <w:p>
      <w:pPr>
        <w:spacing w:after="0"/>
        <w:jc w:val="both"/>
      </w:pPr>
    </w:p>
    <w:p>
      <w:pPr>
        <w:spacing w:after="0"/>
        <w:jc w:val="center"/>
        <w:rPr>
          <w:b/>
        </w:rPr>
      </w:pPr>
      <w:r>
        <w:rPr>
          <w:b/>
        </w:rPr>
        <w:t>Član 15</w:t>
      </w:r>
    </w:p>
    <w:p>
      <w:pPr>
        <w:spacing w:after="0"/>
        <w:jc w:val="center"/>
        <w:rPr>
          <w:b/>
        </w:rPr>
      </w:pPr>
    </w:p>
    <w:p>
      <w:pPr>
        <w:spacing w:after="0"/>
        <w:jc w:val="both"/>
      </w:pPr>
      <w:r>
        <w:t>Ova odluka stupa na snagu osmog dana od dana objavljivanja u „Službenom listu Crne Gore – opštinski propisi“.</w:t>
      </w:r>
    </w:p>
    <w:p>
      <w:pPr>
        <w:spacing w:after="0"/>
        <w:jc w:val="both"/>
      </w:pPr>
      <w:r>
        <w:t>Danom stupanja na snagu ove odluke prestaje da važi Odluka o naknadi za urbanu sanaciju („Službeni list Crne Gore – opštinski propisi“, broj 22/21).</w:t>
      </w: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center"/>
        <w:rPr>
          <w:b/>
        </w:rPr>
      </w:pPr>
      <w:r>
        <w:rPr>
          <w:b/>
        </w:rPr>
        <w:t>OBRAZLOŽENJE</w:t>
      </w:r>
    </w:p>
    <w:p>
      <w:pPr>
        <w:spacing w:after="0"/>
        <w:rPr>
          <w:b/>
        </w:rPr>
      </w:pPr>
    </w:p>
    <w:p>
      <w:pPr>
        <w:spacing w:after="0"/>
        <w:rPr>
          <w:b/>
        </w:rPr>
      </w:pPr>
    </w:p>
    <w:p>
      <w:pPr>
        <w:spacing w:after="0"/>
        <w:rPr>
          <w:b/>
        </w:rPr>
      </w:pPr>
      <w:r>
        <w:rPr>
          <w:b/>
        </w:rPr>
        <w:t>I  Pravni osnov</w:t>
      </w:r>
    </w:p>
    <w:p>
      <w:pPr>
        <w:spacing w:after="0"/>
        <w:jc w:val="both"/>
      </w:pPr>
    </w:p>
    <w:p>
      <w:pPr>
        <w:spacing w:after="0"/>
        <w:jc w:val="both"/>
      </w:pPr>
    </w:p>
    <w:p>
      <w:pPr>
        <w:spacing w:after="0"/>
        <w:jc w:val="both"/>
      </w:pPr>
    </w:p>
    <w:p>
      <w:pPr>
        <w:spacing w:after="0"/>
        <w:jc w:val="both"/>
      </w:pPr>
      <w:r>
        <w:t>Pravni osnov za donošenje ove Odluke sadržan je u odredbama Zakona o legalizaciji bespravnih objekata („Službeni list Crne Gore“, br. 091/25), Zakona o lokalnoj samoupravi ("Službeni list Crne Gore", br. 002/18, 034/19, 038/20, 050/22, 084/22, 081/25, 098/25) i člana 36 Statuta Opštine Berane („Službeni list Crne Gore – opštinski propisi“, br. 042/18 od 23.11.2018).</w:t>
      </w:r>
    </w:p>
    <w:p>
      <w:pPr>
        <w:spacing w:after="0"/>
        <w:jc w:val="both"/>
      </w:pPr>
      <w:r>
        <w:t>Članom 23 Zakona o legalizaciji bespravnih objekata („Službeni list Crne Gore“, br. 091/25) propisano je da vlasnik bespravnog objekta plaća naknadu za urbanu sanaciju, a prihodi pripadaju budžetu lokalne samouprave i budžetu Crne Gore u srazmjeri 80% prema 20%, izuzetno za opštine sjevernog regiona, shodno Zakonu o regionalnom razvoju, u iznosu od 100% na račun budžeta jedinice lokalne samouprave. Naknada se plaća za sve bespravne objekte. Izuzetno, naknada se ne plaća za: objekte za obrazovanje, nauku, zdravstvo, sport, socijalnu zaštitu, socijalno stanovanje; objekte nepokretne kulturne baštine; objekte namijenjene za bezbjednosne službe; radio-difuzne objekte; međunarodne i regionalne objekte vodosnabdijevanja; međunarodne i regionalne kanalizacione sisteme; žičare; vodovodne, telekomunikacione objekte infrastrukture; toplovode; pijace; groblja; podzemne i nadzemne prolaze; javnu rasvjetu; javne i zelene površine i gradske parkove i ski liftove.</w:t>
      </w:r>
    </w:p>
    <w:p>
      <w:pPr>
        <w:spacing w:after="0"/>
        <w:jc w:val="both"/>
      </w:pPr>
      <w:r>
        <w:t>Ovim članom je propisano da naknadu utvrđuje rješenjem nadležni organ lokalne uprave, da se visina naknade utvrđuje u zavisnosti od ekonomsko tržišne projekcije planskog dokumenta za komunalno opremanje prostora, zone, stepena opremljenosti građevinskog zemljišta, prosječnih troškova opremanja građevinskog zemljišta, troškova sprovođenja mjera urbane sanacije prostora devastiranih bespravnom gradnjom, načina plaćanja utvrđenog iznosa naknade, vrste, namjene i starosti objekta.</w:t>
      </w:r>
    </w:p>
    <w:p>
      <w:pPr>
        <w:spacing w:after="0"/>
        <w:jc w:val="both"/>
      </w:pPr>
      <w:r>
        <w:t>Visina naknade se obračunava po m² neto površine bespravnog objekta na osnovu elaborata premjera izvedenog stanja izgrađenog objekta ili dijela objekta, izrađenog od strane licencirane geodetske organizacije i ovjerenog od strane Katastra.</w:t>
      </w:r>
    </w:p>
    <w:p>
      <w:pPr>
        <w:spacing w:after="0"/>
        <w:jc w:val="both"/>
      </w:pPr>
      <w:r>
        <w:t>Naknada se plaća u jednakim mjesečnim ratama, navedenim u zahtjevu vlasnika bespravnog objekta osnovnog stavovanja najviše u 360 mjesečnih rata, a za ostale bespravne objekte plaća se u jednakim mjesečnim ratama, navedenim u zahtjevu vlasnika bespravnog objekta, najviše u 120 mjesečnih rata.</w:t>
      </w:r>
    </w:p>
    <w:p>
      <w:pPr>
        <w:spacing w:after="0"/>
        <w:jc w:val="both"/>
      </w:pPr>
      <w:r>
        <w:t>Nadalje, utvrđeno je pravo jedinice lokalne samouprave da za definisane vrste bespravnih objekata u propisanom maksimalnom iznosu, mogu utvrditi svojim propisom umanjenja naknade.</w:t>
      </w:r>
    </w:p>
    <w:p>
      <w:pPr>
        <w:spacing w:after="0"/>
        <w:jc w:val="both"/>
      </w:pPr>
      <w:r>
        <w:t xml:space="preserve">Stavom 13 ovog člana propisano je da visinu, uslove, način, rokove i postupak plaćanja naknade za urbanu sanaciju propisuje nadležni organ lokalne samouprave, po prethodnoj saglasnosti Vlade.  </w:t>
      </w:r>
    </w:p>
    <w:p>
      <w:pPr>
        <w:spacing w:after="0"/>
        <w:jc w:val="both"/>
      </w:pPr>
      <w:r>
        <w:t>U članu 28 Zakona o lokalnoj samoupravi propisano je da opština, u okviru sopstvenih nadležnosti, uređuje, uvodi i utvrđuje sopstvene prihode u skladu sa zakonom, dok je članom 38 tač. 2 i 8 utvrđeno da skupština donosi propise i druge opšte akte i uvodi i utvrđuje opštinske poreze, takse, naknade i druge sopstvene prihode.</w:t>
      </w:r>
    </w:p>
    <w:p>
      <w:pPr>
        <w:spacing w:after="0"/>
        <w:jc w:val="both"/>
      </w:pPr>
      <w:r>
        <w:t>Članom 36 Statuta Opštine Berane („Službeni list Crne Gore – opštinski propisi“, br. 42/18) je propisano da skupština donosi propise i druge opšte akte i uvodi i utvrđuje opštinske poreze, takse, naknade i druge sopstvene prihode.</w:t>
      </w:r>
    </w:p>
    <w:p>
      <w:pPr>
        <w:spacing w:after="0"/>
        <w:jc w:val="both"/>
      </w:pPr>
      <w:r>
        <w:t>Saglasno članu 23 stav 13 Zakona o legalizaciji bespravnih objekata, Vlada Crne Gore je aktom br. __________ od __________ .2026. god. dala saglasnost na Prijedlog Odluke o naknadi za urbanu sanaciju.</w:t>
      </w:r>
    </w:p>
    <w:p>
      <w:pPr>
        <w:spacing w:after="0"/>
        <w:jc w:val="both"/>
      </w:pPr>
    </w:p>
    <w:p>
      <w:pPr>
        <w:spacing w:after="0"/>
        <w:jc w:val="both"/>
      </w:pPr>
    </w:p>
    <w:p>
      <w:pPr>
        <w:spacing w:after="0"/>
        <w:jc w:val="both"/>
      </w:pPr>
      <w:r>
        <w:t>II RAZLOZI ZA DONOŠENJE ODLUKE</w:t>
      </w:r>
    </w:p>
    <w:p>
      <w:pPr>
        <w:spacing w:after="0"/>
        <w:jc w:val="both"/>
      </w:pPr>
    </w:p>
    <w:p>
      <w:pPr>
        <w:spacing w:after="0"/>
        <w:jc w:val="both"/>
      </w:pPr>
    </w:p>
    <w:p>
      <w:pPr>
        <w:spacing w:after="0"/>
        <w:jc w:val="both"/>
      </w:pPr>
      <w:r>
        <w:t>Skupština Crne Gore je donijela Zakon o legalizaciji bespravnih objekata koji je stupio na snagu 14. avgusta 2025. godine. Ovim Zakonom je, data naknada za urbanu sanaciju, kao prihod jedinica lokalne samouprave, kojoj je dato ovlašćenje da utvrdi ovaj prihod donošenjem opštinskog propisa – odluke kojom će se propisati uslovi, način, rokovi i postupak plaćanja naknade za urbanu sanaciju.</w:t>
      </w:r>
    </w:p>
    <w:p>
      <w:pPr>
        <w:spacing w:after="0"/>
        <w:jc w:val="both"/>
      </w:pPr>
    </w:p>
    <w:p>
      <w:pPr>
        <w:spacing w:after="0"/>
        <w:jc w:val="both"/>
      </w:pPr>
    </w:p>
    <w:p>
      <w:pPr>
        <w:spacing w:after="0"/>
        <w:jc w:val="both"/>
      </w:pPr>
      <w:r>
        <w:t>III OBJAŠNJENJE OSNOVNIH PRAVNIH INSTITUTA</w:t>
      </w:r>
    </w:p>
    <w:p>
      <w:pPr>
        <w:spacing w:after="0"/>
        <w:jc w:val="both"/>
      </w:pPr>
    </w:p>
    <w:p>
      <w:pPr>
        <w:spacing w:after="0"/>
        <w:jc w:val="both"/>
      </w:pPr>
    </w:p>
    <w:p>
      <w:pPr>
        <w:spacing w:after="0"/>
        <w:jc w:val="both"/>
      </w:pPr>
      <w:r>
        <w:t>Članom 1 - utvrđeno je da se ovom odlukom propisuju visina, uslovi, način, rokovi i postupak plaćanja naknade za urbanu sanaciju, dok su članom 2 sprovedene odredbe Zakona o rodnoj ravnopravnosti.</w:t>
      </w:r>
    </w:p>
    <w:p>
      <w:pPr>
        <w:spacing w:after="0"/>
        <w:jc w:val="both"/>
      </w:pPr>
      <w:r>
        <w:t xml:space="preserve"> </w:t>
      </w:r>
    </w:p>
    <w:p>
      <w:pPr>
        <w:spacing w:after="0"/>
        <w:jc w:val="both"/>
      </w:pPr>
      <w:r>
        <w:t>Članovima 3 i 4 - utvrđeno je da vlasnik bespravnog objekta plaća naknadu, koja se obračunava po m² neto površine bespravnog objekta, na osnovu elaborata premjera izvedenog stanja izgrađenog objekta ili dijela objekta, izrađenog od strane licencirane geodetske organizacije i ovjerenog od strane katastra kao i kriterijumi na osnovu kojih se utvrđuje naknada, shodno članu 23 stav 3 Zakona o legalizaciji bespravnih objekata.</w:t>
      </w:r>
    </w:p>
    <w:p>
      <w:pPr>
        <w:spacing w:after="0"/>
        <w:jc w:val="both"/>
      </w:pPr>
      <w:r>
        <w:t>Članom 5 - utvrđen je broj zona, čije su granice definisane u skladu sa granicama zahvata planskih dokumenata.</w:t>
      </w:r>
    </w:p>
    <w:p>
      <w:pPr>
        <w:spacing w:after="0"/>
        <w:jc w:val="both"/>
      </w:pPr>
      <w:r>
        <w:t>Članom 6 - propisana je visina naknade po zonama, upućeno na primjenu člana 23 Zakona prilikom utvrđivanja umanjenja naknade.</w:t>
      </w:r>
    </w:p>
    <w:p>
      <w:pPr>
        <w:spacing w:after="0"/>
        <w:jc w:val="both"/>
      </w:pPr>
      <w:r>
        <w:t>Članovima 7 i 8 – propisan je postotak umanjenja naknade koja se ima platiti shodno članu 11 ove odluke, dok se članom 9 propisuje osnov umanjenja sadržanih u članu 7 i 8.</w:t>
      </w:r>
    </w:p>
    <w:p>
      <w:pPr>
        <w:spacing w:after="0"/>
        <w:jc w:val="both"/>
      </w:pPr>
      <w:r>
        <w:t>Članovima 10, 11,12 i 13 – propisani su visina, način i rok plaćanja pomenute naknade, kao i način utrvrđivanja mjere urbane sanacije.</w:t>
      </w:r>
    </w:p>
    <w:p>
      <w:pPr>
        <w:spacing w:after="0"/>
        <w:jc w:val="both"/>
      </w:pPr>
      <w:r>
        <w:t>Članovima 14 i 15 sadržani su prelazne i završne odredbe ove odluke</w:t>
      </w:r>
    </w:p>
    <w:p>
      <w:pPr>
        <w:spacing w:after="0"/>
        <w:jc w:val="both"/>
      </w:pPr>
    </w:p>
    <w:p>
      <w:pPr>
        <w:spacing w:after="0"/>
        <w:jc w:val="both"/>
      </w:pPr>
    </w:p>
    <w:p>
      <w:pPr>
        <w:spacing w:after="0"/>
        <w:jc w:val="both"/>
      </w:pPr>
    </w:p>
    <w:p>
      <w:pPr>
        <w:spacing w:after="0"/>
        <w:jc w:val="both"/>
      </w:pPr>
      <w:r>
        <w:t>Broj:__________</w:t>
      </w:r>
    </w:p>
    <w:p>
      <w:pPr>
        <w:spacing w:after="0"/>
        <w:jc w:val="both"/>
      </w:pPr>
      <w:r>
        <w:t xml:space="preserve">Dana:__________2026. godine  </w:t>
      </w:r>
    </w:p>
    <w:p>
      <w:pPr>
        <w:spacing w:after="0"/>
        <w:jc w:val="both"/>
      </w:pPr>
    </w:p>
    <w:p>
      <w:pPr>
        <w:spacing w:after="0"/>
        <w:jc w:val="both"/>
      </w:pPr>
    </w:p>
    <w:p>
      <w:pPr>
        <w:spacing w:after="0"/>
        <w:jc w:val="center"/>
        <w:rPr>
          <w:b/>
          <w:sz w:val="20"/>
          <w:szCs w:val="20"/>
        </w:rPr>
      </w:pPr>
      <w:r>
        <w:rPr>
          <w:b/>
        </w:rPr>
        <w:t>SKUPŠTINA OPŠTINE BERANE</w:t>
      </w:r>
    </w:p>
    <w:sectPr>
      <w:pgSz w:w="12240" w:h="15840"/>
      <w:pgMar w:top="1440" w:right="1440" w:bottom="1440" w:left="1440"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Calibri">
    <w:panose1 w:val="020F0502020204030204"/>
    <w:charset w:val="00"/>
    <w:family w:val="swiss"/>
    <w:pitch w:val="variable"/>
    <w:sig w:usb0="E4002EFF" w:usb1="C000247B" w:usb2="00000009" w:usb3="00000000" w:csb0="000001FF" w:csb1="00000000"/>
  </w:font>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Arial">
    <w:panose1 w:val="00000000000000000000"/>
    <w:charset w:val="00"/>
    <w:family w:val="auto"/>
    <w:pitch w:val="variable"/>
    <w:sig w:usb0="00000000" w:usb1="00000000" w:usb2="00000000" w:usb3="00000000" w:csb0="00000000" w:csb1="00000000"/>
  </w:font>
  <w:font w:name="Luxi Sans">
    <w:panose1 w:val="00000000000000000000"/>
    <w:charset w:val="00"/>
    <w:family w:val="auto"/>
    <w:pitch w:val="variable"/>
    <w:sig w:usb0="00000000" w:usb1="00000000" w:usb2="00000000" w:usb3="00000000" w:csb0="00000000" w:csb1="00000000"/>
  </w:font>
  <w:font w:name="HONOR black body">
    <w:panose1 w:val="00000000000000000000"/>
    <w:charset w:val="00"/>
    <w:family w:val="auto"/>
    <w:pitch w:val="variable"/>
    <w:sig w:usb0="00000000" w:usb1="00000000" w:usb2="00000000" w:usb3="00000000" w:csb0="0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1D76822E"/>
    <w:lvl w:ilvl="0">
      <w:start w:val="0"/>
      <w:numFmt w:val="bullet"/>
      <w:lvlRestart w:val="0"/>
      <w:lvlText w:val="-"/>
      <w:lvlJc w:val="left"/>
      <w:pPr>
        <w:tabs>
          <w:tab w:val="num" w:pos="0"/>
        </w:tabs>
        <w:ind w:left="720" w:hanging="360"/>
      </w:pPr>
      <w:rPr>
        <w:rFonts w:ascii="Calibri" w:hAnsi="Calibri" w:eastAsia="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multiLevelType w:val="hybridMultilevel"/>
    <w:tmpl w:val="DAF6AA50"/>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0"/>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59" w:lineRule="auto"/>
    </w:pPr>
    <w:rPr>
      <w:rFonts w:ascii="Calibri" w:eastAsia="Calibri" w:cs="Arial" w:hAnsi="Calibri"/>
      <w:sz w:val="22"/>
      <w:szCs w:val="22"/>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HONOR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Honor_Office</Application>
  <Pages>8</Pages>
  <Words>2004</Words>
  <Characters>11113</Characters>
  <Lines>335</Lines>
  <Paragraphs>127</Paragraphs>
  <CharactersWithSpaces>13050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HONOR Docs</cp:lastModifiedBy>
  <cp:revision>2</cp:revision>
  <dcterms:created xsi:type="dcterms:W3CDTF">2026-03-31T10:38:00Z</dcterms:created>
  <dcterms:modified xsi:type="dcterms:W3CDTF">2026-03-31T05:45:17Z</dcterms:modified>
</cp:coreProperties>
</file>