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EC" w:rsidRPr="008B1D1B" w:rsidRDefault="000717EC" w:rsidP="000806C3">
      <w:pPr>
        <w:tabs>
          <w:tab w:val="num" w:pos="720"/>
        </w:tabs>
        <w:ind w:left="720" w:hanging="360"/>
        <w:rPr>
          <w:rFonts w:cs="Arial"/>
          <w:b/>
          <w:bCs/>
          <w:color w:val="C00000"/>
        </w:rPr>
      </w:pPr>
      <w:bookmarkStart w:id="0" w:name="_Hlk44861814"/>
      <w:bookmarkEnd w:id="0"/>
    </w:p>
    <w:p w:rsidR="008A576B" w:rsidRPr="006A529A" w:rsidRDefault="008A576B" w:rsidP="000806C3">
      <w:pPr>
        <w:tabs>
          <w:tab w:val="num" w:pos="720"/>
        </w:tabs>
        <w:ind w:left="720" w:hanging="360"/>
        <w:rPr>
          <w:rFonts w:cs="Arial"/>
          <w:b/>
          <w:bCs/>
          <w:color w:val="C00000"/>
        </w:rPr>
      </w:pPr>
    </w:p>
    <w:p w:rsidR="008A576B" w:rsidRPr="006A529A" w:rsidRDefault="008A576B" w:rsidP="000806C3">
      <w:pPr>
        <w:tabs>
          <w:tab w:val="num" w:pos="720"/>
        </w:tabs>
        <w:ind w:left="720" w:hanging="360"/>
        <w:rPr>
          <w:rFonts w:cs="Arial"/>
          <w:b/>
          <w:bCs/>
          <w:color w:val="C00000"/>
        </w:rPr>
      </w:pPr>
    </w:p>
    <w:p w:rsidR="000717EC" w:rsidRPr="006A529A" w:rsidRDefault="000717EC" w:rsidP="000806C3">
      <w:pPr>
        <w:tabs>
          <w:tab w:val="num" w:pos="720"/>
        </w:tabs>
        <w:ind w:left="720" w:hanging="360"/>
        <w:rPr>
          <w:rFonts w:cs="Arial"/>
          <w:b/>
          <w:bCs/>
          <w:color w:val="C00000"/>
        </w:rPr>
      </w:pPr>
    </w:p>
    <w:p w:rsidR="000717EC" w:rsidRPr="006A529A" w:rsidRDefault="000717EC" w:rsidP="000806C3">
      <w:pPr>
        <w:tabs>
          <w:tab w:val="num" w:pos="720"/>
        </w:tabs>
        <w:ind w:left="720" w:hanging="360"/>
        <w:rPr>
          <w:rFonts w:cs="Arial"/>
          <w:b/>
          <w:bCs/>
          <w:color w:val="C00000"/>
        </w:rPr>
      </w:pPr>
    </w:p>
    <w:p w:rsidR="000717EC" w:rsidRPr="006A529A" w:rsidRDefault="000717EC" w:rsidP="000806C3">
      <w:pPr>
        <w:tabs>
          <w:tab w:val="num" w:pos="720"/>
        </w:tabs>
        <w:ind w:left="720" w:hanging="360"/>
        <w:rPr>
          <w:rFonts w:cs="Arial"/>
          <w:b/>
          <w:bCs/>
          <w:color w:val="C00000"/>
        </w:rPr>
      </w:pPr>
    </w:p>
    <w:p w:rsidR="000717EC" w:rsidRPr="006A529A" w:rsidRDefault="000717EC" w:rsidP="000806C3">
      <w:pPr>
        <w:tabs>
          <w:tab w:val="num" w:pos="720"/>
        </w:tabs>
        <w:ind w:left="720" w:hanging="360"/>
        <w:rPr>
          <w:rFonts w:cs="Arial"/>
          <w:b/>
          <w:bCs/>
          <w:color w:val="C00000"/>
        </w:rPr>
      </w:pPr>
    </w:p>
    <w:p w:rsidR="000717EC" w:rsidRPr="006A529A" w:rsidRDefault="000717EC" w:rsidP="000806C3">
      <w:pPr>
        <w:tabs>
          <w:tab w:val="num" w:pos="720"/>
        </w:tabs>
        <w:ind w:left="720" w:hanging="360"/>
        <w:rPr>
          <w:rFonts w:cs="Arial"/>
          <w:b/>
          <w:bCs/>
          <w:color w:val="C00000"/>
        </w:rPr>
      </w:pPr>
    </w:p>
    <w:p w:rsidR="00185113" w:rsidRPr="006A529A" w:rsidRDefault="00185113" w:rsidP="000806C3">
      <w:pPr>
        <w:tabs>
          <w:tab w:val="num" w:pos="720"/>
        </w:tabs>
        <w:ind w:left="720" w:hanging="360"/>
        <w:rPr>
          <w:rFonts w:cs="Arial"/>
          <w:b/>
          <w:bCs/>
          <w:color w:val="C00000"/>
        </w:rPr>
      </w:pPr>
    </w:p>
    <w:p w:rsidR="00185113" w:rsidRPr="006A529A" w:rsidRDefault="00185113" w:rsidP="000806C3">
      <w:pPr>
        <w:tabs>
          <w:tab w:val="num" w:pos="720"/>
        </w:tabs>
        <w:ind w:left="720" w:hanging="360"/>
        <w:rPr>
          <w:rFonts w:cs="Arial"/>
          <w:b/>
          <w:bCs/>
          <w:color w:val="C00000"/>
        </w:rPr>
      </w:pPr>
    </w:p>
    <w:p w:rsidR="000717EC" w:rsidRPr="006A529A" w:rsidRDefault="000717EC" w:rsidP="000806C3">
      <w:pPr>
        <w:tabs>
          <w:tab w:val="num" w:pos="720"/>
        </w:tabs>
        <w:ind w:left="720" w:hanging="360"/>
        <w:rPr>
          <w:rFonts w:cs="Arial"/>
          <w:b/>
          <w:bCs/>
          <w:color w:val="C00000"/>
        </w:rPr>
      </w:pPr>
    </w:p>
    <w:p w:rsidR="00A663D5" w:rsidRPr="006A529A" w:rsidRDefault="00A663D5" w:rsidP="000806C3">
      <w:pPr>
        <w:tabs>
          <w:tab w:val="num" w:pos="720"/>
        </w:tabs>
        <w:ind w:left="720" w:hanging="360"/>
        <w:rPr>
          <w:rFonts w:cs="Arial"/>
          <w:b/>
          <w:bCs/>
          <w:color w:val="C00000"/>
        </w:rPr>
      </w:pPr>
    </w:p>
    <w:p w:rsidR="00A663D5" w:rsidRPr="006A529A" w:rsidRDefault="00A663D5" w:rsidP="000806C3">
      <w:pPr>
        <w:tabs>
          <w:tab w:val="num" w:pos="720"/>
        </w:tabs>
        <w:ind w:left="720" w:hanging="360"/>
        <w:rPr>
          <w:rFonts w:cs="Arial"/>
          <w:b/>
          <w:bCs/>
          <w:color w:val="C00000"/>
        </w:rPr>
      </w:pPr>
    </w:p>
    <w:p w:rsidR="00A663D5" w:rsidRPr="006A529A" w:rsidRDefault="00A663D5" w:rsidP="000806C3">
      <w:pPr>
        <w:tabs>
          <w:tab w:val="num" w:pos="720"/>
        </w:tabs>
        <w:ind w:left="720" w:hanging="360"/>
        <w:rPr>
          <w:rFonts w:cs="Arial"/>
          <w:b/>
          <w:bCs/>
          <w:color w:val="C00000"/>
        </w:rPr>
      </w:pPr>
    </w:p>
    <w:p w:rsidR="00A663D5" w:rsidRPr="006A529A" w:rsidRDefault="00A663D5" w:rsidP="000806C3">
      <w:pPr>
        <w:tabs>
          <w:tab w:val="num" w:pos="720"/>
        </w:tabs>
        <w:ind w:left="720" w:hanging="360"/>
        <w:rPr>
          <w:rFonts w:cs="Arial"/>
          <w:b/>
          <w:bCs/>
          <w:color w:val="C00000"/>
        </w:rPr>
      </w:pPr>
    </w:p>
    <w:p w:rsidR="00A663D5" w:rsidRPr="006A529A" w:rsidRDefault="00A663D5" w:rsidP="000806C3">
      <w:pPr>
        <w:tabs>
          <w:tab w:val="num" w:pos="720"/>
        </w:tabs>
        <w:ind w:left="720" w:hanging="360"/>
        <w:rPr>
          <w:rFonts w:cs="Arial"/>
          <w:b/>
          <w:bCs/>
          <w:color w:val="C00000"/>
        </w:rPr>
      </w:pPr>
    </w:p>
    <w:p w:rsidR="00A663D5" w:rsidRPr="006A529A" w:rsidRDefault="00A663D5" w:rsidP="000806C3">
      <w:pPr>
        <w:tabs>
          <w:tab w:val="num" w:pos="720"/>
        </w:tabs>
        <w:ind w:left="720" w:hanging="360"/>
        <w:rPr>
          <w:rFonts w:cs="Arial"/>
          <w:b/>
          <w:bCs/>
          <w:color w:val="C00000"/>
        </w:rPr>
      </w:pPr>
    </w:p>
    <w:p w:rsidR="000717EC" w:rsidRPr="006A529A" w:rsidRDefault="000717EC" w:rsidP="000806C3">
      <w:pPr>
        <w:tabs>
          <w:tab w:val="num" w:pos="720"/>
        </w:tabs>
        <w:ind w:left="720" w:hanging="360"/>
        <w:rPr>
          <w:rFonts w:cs="Arial"/>
          <w:b/>
          <w:bCs/>
          <w:color w:val="C00000"/>
        </w:rPr>
      </w:pPr>
    </w:p>
    <w:p w:rsidR="00724966" w:rsidRPr="00724966" w:rsidRDefault="00724966" w:rsidP="00724966">
      <w:pPr>
        <w:ind w:left="360"/>
        <w:rPr>
          <w:rFonts w:cs="Arial"/>
          <w:b/>
          <w:bCs/>
          <w:color w:val="2F5496" w:themeColor="accent1" w:themeShade="BF"/>
          <w:sz w:val="44"/>
          <w:szCs w:val="44"/>
        </w:rPr>
      </w:pPr>
      <w:r w:rsidRPr="00724966">
        <w:rPr>
          <w:rFonts w:cs="Arial"/>
          <w:b/>
          <w:bCs/>
          <w:color w:val="2F5496" w:themeColor="accent1" w:themeShade="BF"/>
          <w:sz w:val="44"/>
          <w:szCs w:val="44"/>
        </w:rPr>
        <w:t xml:space="preserve">СТРАТЕГИЈА ЗАПОШЉАВАЊА </w:t>
      </w:r>
    </w:p>
    <w:p w:rsidR="00724966" w:rsidRPr="00724966" w:rsidRDefault="00724966" w:rsidP="00724966">
      <w:pPr>
        <w:ind w:left="360"/>
        <w:rPr>
          <w:rFonts w:cs="Arial"/>
          <w:b/>
          <w:bCs/>
          <w:color w:val="2F5496" w:themeColor="accent1" w:themeShade="BF"/>
          <w:sz w:val="44"/>
          <w:szCs w:val="44"/>
        </w:rPr>
      </w:pPr>
      <w:r w:rsidRPr="00724966">
        <w:rPr>
          <w:rFonts w:cs="Arial"/>
          <w:b/>
          <w:bCs/>
          <w:color w:val="2F5496" w:themeColor="accent1" w:themeShade="BF"/>
          <w:sz w:val="44"/>
          <w:szCs w:val="44"/>
        </w:rPr>
        <w:t>ОПШТИНЕ БЕРАНЕ 2021-2025.</w:t>
      </w:r>
    </w:p>
    <w:p w:rsidR="00BC44E5" w:rsidRPr="005721D1" w:rsidRDefault="005721D1" w:rsidP="00724966">
      <w:pPr>
        <w:ind w:left="360"/>
        <w:rPr>
          <w:rFonts w:cs="Arial"/>
          <w:sz w:val="36"/>
          <w:szCs w:val="36"/>
        </w:rPr>
      </w:pPr>
      <w:r>
        <w:rPr>
          <w:rFonts w:cs="Arial"/>
          <w:b/>
          <w:bCs/>
          <w:color w:val="2F5496" w:themeColor="accent1" w:themeShade="BF"/>
          <w:sz w:val="44"/>
          <w:szCs w:val="44"/>
        </w:rPr>
        <w:t>Предлог</w:t>
      </w: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BC44E5" w:rsidRPr="006A529A" w:rsidRDefault="00BC44E5" w:rsidP="000806C3">
      <w:pPr>
        <w:ind w:left="360"/>
        <w:rPr>
          <w:rFonts w:cs="Arial"/>
          <w:sz w:val="36"/>
          <w:szCs w:val="36"/>
        </w:rPr>
      </w:pPr>
    </w:p>
    <w:p w:rsidR="00D6234A" w:rsidRPr="006A529A" w:rsidRDefault="00D6234A" w:rsidP="000806C3">
      <w:pPr>
        <w:ind w:left="360"/>
        <w:rPr>
          <w:rFonts w:cs="Arial"/>
          <w:sz w:val="36"/>
          <w:szCs w:val="36"/>
        </w:rPr>
      </w:pPr>
    </w:p>
    <w:p w:rsidR="00D6234A" w:rsidRPr="006A529A" w:rsidRDefault="00D6234A" w:rsidP="000806C3">
      <w:pPr>
        <w:ind w:left="360"/>
        <w:rPr>
          <w:rFonts w:cs="Arial"/>
          <w:sz w:val="36"/>
          <w:szCs w:val="36"/>
        </w:rPr>
      </w:pPr>
    </w:p>
    <w:p w:rsidR="00D6234A" w:rsidRPr="006A529A" w:rsidRDefault="00D6234A" w:rsidP="000806C3">
      <w:pPr>
        <w:ind w:left="360"/>
        <w:rPr>
          <w:rFonts w:cs="Arial"/>
          <w:sz w:val="36"/>
          <w:szCs w:val="36"/>
        </w:rPr>
      </w:pPr>
    </w:p>
    <w:p w:rsidR="00D6234A" w:rsidRPr="006A529A" w:rsidRDefault="00D6234A" w:rsidP="000806C3">
      <w:pPr>
        <w:ind w:left="360"/>
        <w:rPr>
          <w:rFonts w:cs="Arial"/>
          <w:sz w:val="36"/>
          <w:szCs w:val="36"/>
        </w:rPr>
      </w:pPr>
    </w:p>
    <w:p w:rsidR="00D6234A" w:rsidRPr="006A529A" w:rsidRDefault="00D6234A" w:rsidP="000806C3">
      <w:pPr>
        <w:ind w:left="360"/>
        <w:rPr>
          <w:rFonts w:cs="Arial"/>
          <w:sz w:val="36"/>
          <w:szCs w:val="36"/>
        </w:rPr>
      </w:pPr>
    </w:p>
    <w:p w:rsidR="00D6234A" w:rsidRPr="006A529A" w:rsidRDefault="00D6234A" w:rsidP="000806C3">
      <w:pPr>
        <w:ind w:left="360"/>
        <w:rPr>
          <w:rFonts w:cs="Arial"/>
          <w:sz w:val="36"/>
          <w:szCs w:val="36"/>
        </w:rPr>
      </w:pPr>
    </w:p>
    <w:p w:rsidR="00D6234A" w:rsidRPr="006A529A" w:rsidRDefault="00D6234A" w:rsidP="000806C3">
      <w:pPr>
        <w:ind w:left="360"/>
        <w:rPr>
          <w:rFonts w:cs="Arial"/>
          <w:sz w:val="36"/>
          <w:szCs w:val="36"/>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C33F7E" w:rsidRPr="006A529A" w:rsidRDefault="00C33F7E" w:rsidP="000806C3">
      <w:pPr>
        <w:ind w:left="360"/>
        <w:rPr>
          <w:rFonts w:cs="Arial"/>
          <w:i/>
          <w:iCs/>
          <w:sz w:val="22"/>
          <w:szCs w:val="22"/>
        </w:rPr>
      </w:pPr>
    </w:p>
    <w:p w:rsidR="00BC44E5" w:rsidRPr="006A529A" w:rsidRDefault="00B679CD" w:rsidP="000806C3">
      <w:pPr>
        <w:ind w:left="360"/>
        <w:rPr>
          <w:rFonts w:cs="Arial"/>
          <w:i/>
          <w:iCs/>
          <w:sz w:val="22"/>
          <w:szCs w:val="22"/>
        </w:rPr>
      </w:pPr>
      <w:r>
        <w:rPr>
          <w:rFonts w:cs="Arial"/>
          <w:i/>
          <w:iCs/>
          <w:sz w:val="22"/>
          <w:szCs w:val="22"/>
        </w:rPr>
        <w:t>Предлог</w:t>
      </w:r>
      <w:r w:rsidR="00B12F63">
        <w:rPr>
          <w:rFonts w:cs="Arial"/>
          <w:i/>
          <w:iCs/>
          <w:sz w:val="22"/>
          <w:szCs w:val="22"/>
        </w:rPr>
        <w:t xml:space="preserve"> </w:t>
      </w:r>
      <w:r w:rsidR="00724966" w:rsidRPr="00724966">
        <w:rPr>
          <w:rFonts w:cs="Arial"/>
          <w:i/>
          <w:iCs/>
          <w:sz w:val="22"/>
          <w:szCs w:val="22"/>
        </w:rPr>
        <w:t xml:space="preserve"> Стратегије запошљавања Општине Беране је припремила Партнерска група за запошљавање, именована од стране предсједника Општине уз техничку помоћ пројекта „Даљи развој локалних иницијатива за запошљавање у Црној Гори“, који се финансира из ЕУ-ИПА средстава у оквиру Секторског оперативног програма за запошљавање, образовање и социјалну политику 2015-2017 </w:t>
      </w:r>
      <w:r w:rsidR="00BC44E5" w:rsidRPr="006A529A">
        <w:rPr>
          <w:rFonts w:cs="Times-Roman"/>
          <w:i/>
          <w:iCs/>
          <w:sz w:val="22"/>
          <w:szCs w:val="22"/>
          <w:lang w:eastAsia="tr-TR"/>
        </w:rPr>
        <w:t>(SOPEES).</w:t>
      </w:r>
      <w:r w:rsidR="00BC44E5" w:rsidRPr="006A529A">
        <w:rPr>
          <w:rFonts w:cs="Arial"/>
          <w:i/>
          <w:iCs/>
          <w:sz w:val="22"/>
          <w:szCs w:val="22"/>
        </w:rPr>
        <w:t xml:space="preserve"> </w:t>
      </w:r>
    </w:p>
    <w:p w:rsidR="00BC44E5" w:rsidRPr="006A529A" w:rsidRDefault="00BC44E5" w:rsidP="000806C3">
      <w:pPr>
        <w:ind w:left="360"/>
        <w:rPr>
          <w:rFonts w:cs="Arial"/>
          <w:sz w:val="36"/>
          <w:szCs w:val="36"/>
        </w:rPr>
      </w:pPr>
    </w:p>
    <w:p w:rsidR="00DA06C9" w:rsidRPr="00724966" w:rsidRDefault="00724966" w:rsidP="000806C3">
      <w:pPr>
        <w:pStyle w:val="Heading1"/>
        <w:numPr>
          <w:ilvl w:val="0"/>
          <w:numId w:val="0"/>
        </w:numPr>
        <w:spacing w:before="0"/>
      </w:pPr>
      <w:bookmarkStart w:id="1" w:name="_Toc74296636"/>
      <w:r>
        <w:lastRenderedPageBreak/>
        <w:t>САДРЖАЈ</w:t>
      </w:r>
      <w:bookmarkEnd w:id="1"/>
    </w:p>
    <w:p w:rsidR="00632C13" w:rsidRPr="006A529A" w:rsidRDefault="00632C13" w:rsidP="000806C3"/>
    <w:p w:rsidR="004B1678" w:rsidRDefault="001070D0" w:rsidP="004B1678">
      <w:pPr>
        <w:pStyle w:val="TOC1"/>
        <w:rPr>
          <w:rFonts w:asciiTheme="minorHAnsi" w:eastAsiaTheme="minorEastAsia" w:hAnsiTheme="minorHAnsi" w:cstheme="minorBidi"/>
          <w:b w:val="0"/>
          <w:bCs w:val="0"/>
          <w:caps w:val="0"/>
          <w:color w:val="auto"/>
          <w:lang w:val="en-US"/>
        </w:rPr>
      </w:pPr>
      <w:r w:rsidRPr="001070D0">
        <w:rPr>
          <w:rFonts w:cs="Arial"/>
          <w:noProof w:val="0"/>
          <w:highlight w:val="yellow"/>
        </w:rPr>
        <w:fldChar w:fldCharType="begin"/>
      </w:r>
      <w:r w:rsidR="004B1678">
        <w:rPr>
          <w:rFonts w:cs="Arial"/>
          <w:noProof w:val="0"/>
          <w:highlight w:val="yellow"/>
        </w:rPr>
        <w:instrText xml:space="preserve"> TOC \o "1-2" \h \z \u </w:instrText>
      </w:r>
      <w:r w:rsidRPr="001070D0">
        <w:rPr>
          <w:rFonts w:cs="Arial"/>
          <w:noProof w:val="0"/>
          <w:highlight w:val="yellow"/>
        </w:rPr>
        <w:fldChar w:fldCharType="separate"/>
      </w:r>
      <w:hyperlink r:id="rId8" w:anchor="_Toc74296636" w:history="1">
        <w:r w:rsidR="004B1678">
          <w:rPr>
            <w:rStyle w:val="Hyperlink"/>
          </w:rPr>
          <w:t>САДРЖАЈ</w:t>
        </w:r>
        <w:r w:rsidR="004B1678">
          <w:rPr>
            <w:rStyle w:val="Hyperlink"/>
            <w:webHidden/>
          </w:rPr>
          <w:tab/>
        </w:r>
      </w:hyperlink>
      <w:r w:rsidR="004B1678">
        <w:rPr>
          <w:rStyle w:val="Hyperlink"/>
        </w:rPr>
        <w:t>3</w:t>
      </w:r>
    </w:p>
    <w:p w:rsidR="004B1678" w:rsidRDefault="001070D0" w:rsidP="004B1678">
      <w:pPr>
        <w:pStyle w:val="TOC1"/>
        <w:rPr>
          <w:rFonts w:asciiTheme="minorHAnsi" w:eastAsiaTheme="minorEastAsia" w:hAnsiTheme="minorHAnsi" w:cstheme="minorBidi"/>
          <w:b w:val="0"/>
          <w:bCs w:val="0"/>
          <w:caps w:val="0"/>
          <w:color w:val="auto"/>
          <w:lang w:val="en-US"/>
        </w:rPr>
      </w:pPr>
      <w:hyperlink r:id="rId9" w:anchor="_Toc74296637" w:history="1">
        <w:r w:rsidR="004B1678">
          <w:rPr>
            <w:rStyle w:val="Hyperlink"/>
            <w:rFonts w:cs="Arial"/>
          </w:rPr>
          <w:t>1.</w:t>
        </w:r>
        <w:r w:rsidR="004B1678">
          <w:rPr>
            <w:rStyle w:val="Hyperlink"/>
            <w:rFonts w:asciiTheme="minorHAnsi" w:eastAsiaTheme="minorEastAsia" w:hAnsiTheme="minorHAnsi" w:cstheme="minorBidi"/>
            <w:b w:val="0"/>
            <w:bCs w:val="0"/>
            <w:caps w:val="0"/>
            <w:color w:val="auto"/>
            <w:lang w:val="en-US"/>
          </w:rPr>
          <w:tab/>
        </w:r>
        <w:r w:rsidR="004B1678">
          <w:rPr>
            <w:rStyle w:val="Hyperlink"/>
          </w:rPr>
          <w:t>УВОД</w:t>
        </w:r>
        <w:r w:rsidR="004B1678">
          <w:rPr>
            <w:rStyle w:val="Hyperlink"/>
            <w:webHidden/>
          </w:rPr>
          <w:tab/>
          <w:t>4</w:t>
        </w:r>
      </w:hyperlink>
    </w:p>
    <w:p w:rsidR="004B1678" w:rsidRDefault="001070D0" w:rsidP="004B1678">
      <w:pPr>
        <w:pStyle w:val="TOC1"/>
        <w:rPr>
          <w:rFonts w:asciiTheme="minorHAnsi" w:eastAsiaTheme="minorEastAsia" w:hAnsiTheme="minorHAnsi" w:cstheme="minorBidi"/>
          <w:b w:val="0"/>
          <w:bCs w:val="0"/>
          <w:caps w:val="0"/>
          <w:color w:val="auto"/>
          <w:lang w:val="en-US"/>
        </w:rPr>
      </w:pPr>
      <w:hyperlink r:id="rId10" w:anchor="_Toc74296638" w:history="1">
        <w:r w:rsidR="004B1678">
          <w:rPr>
            <w:rStyle w:val="Hyperlink"/>
            <w:rFonts w:cs="Arial"/>
          </w:rPr>
          <w:t>2.</w:t>
        </w:r>
        <w:r w:rsidR="004B1678">
          <w:rPr>
            <w:rStyle w:val="Hyperlink"/>
            <w:rFonts w:asciiTheme="minorHAnsi" w:eastAsiaTheme="minorEastAsia" w:hAnsiTheme="minorHAnsi" w:cstheme="minorBidi"/>
            <w:b w:val="0"/>
            <w:bCs w:val="0"/>
            <w:caps w:val="0"/>
            <w:color w:val="auto"/>
            <w:lang w:val="en-US"/>
          </w:rPr>
          <w:tab/>
        </w:r>
        <w:r w:rsidR="004B1678">
          <w:rPr>
            <w:rStyle w:val="Hyperlink"/>
          </w:rPr>
          <w:t>СОЦИО-ЕКОНОМСКА СИТУАЦИЈА</w:t>
        </w:r>
        <w:r w:rsidR="004B1678">
          <w:rPr>
            <w:rStyle w:val="Hyperlink"/>
            <w:webHidden/>
          </w:rPr>
          <w:tab/>
          <w:t>6</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11" w:anchor="_Toc74296639" w:history="1">
        <w:r w:rsidR="004B1678" w:rsidRPr="00E11647">
          <w:rPr>
            <w:rStyle w:val="Hyperlink"/>
            <w:rFonts w:ascii="Cambria" w:hAnsi="Cambria"/>
            <w:noProof/>
            <w:lang w:val="hr-HR"/>
          </w:rPr>
          <w:t xml:space="preserve">2.1 </w:t>
        </w:r>
        <w:r w:rsidR="004B1678" w:rsidRPr="00E11647">
          <w:rPr>
            <w:rStyle w:val="Hyperlink"/>
            <w:rFonts w:ascii="Cambria" w:hAnsi="Cambria"/>
            <w:noProof/>
          </w:rPr>
          <w:t>Географски положај општине</w:t>
        </w:r>
        <w:r w:rsidR="004B1678" w:rsidRPr="00E11647">
          <w:rPr>
            <w:rStyle w:val="Hyperlink"/>
            <w:rFonts w:ascii="Cambria" w:hAnsi="Cambria"/>
            <w:noProof/>
            <w:webHidden/>
          </w:rPr>
          <w:tab/>
          <w:t>6</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12" w:anchor="_Toc74296640" w:history="1">
        <w:r w:rsidR="004B1678" w:rsidRPr="00E11647">
          <w:rPr>
            <w:rStyle w:val="Hyperlink"/>
            <w:rFonts w:ascii="Cambria" w:hAnsi="Cambria" w:cs="Arial"/>
            <w:noProof/>
          </w:rPr>
          <w:t>2.2 Демографска слика</w:t>
        </w:r>
        <w:r w:rsidR="004B1678" w:rsidRPr="00E11647">
          <w:rPr>
            <w:rStyle w:val="Hyperlink"/>
            <w:rFonts w:ascii="Cambria" w:hAnsi="Cambria"/>
            <w:noProof/>
            <w:webHidden/>
          </w:rPr>
          <w:tab/>
          <w:t>6</w:t>
        </w:r>
      </w:hyperlink>
    </w:p>
    <w:p w:rsidR="004B1678" w:rsidRPr="00E11647" w:rsidRDefault="001070D0" w:rsidP="004B1678">
      <w:pPr>
        <w:pStyle w:val="TOC2"/>
        <w:tabs>
          <w:tab w:val="left" w:pos="800"/>
          <w:tab w:val="right" w:leader="dot" w:pos="9231"/>
        </w:tabs>
        <w:rPr>
          <w:rFonts w:ascii="Cambria" w:eastAsiaTheme="minorEastAsia" w:hAnsi="Cambria" w:cstheme="minorBidi"/>
          <w:noProof/>
          <w:sz w:val="22"/>
          <w:szCs w:val="22"/>
          <w:lang w:val="en-US"/>
        </w:rPr>
      </w:pPr>
      <w:hyperlink r:id="rId13" w:anchor="_Toc74296641" w:history="1">
        <w:r w:rsidR="004B1678" w:rsidRPr="00E11647">
          <w:rPr>
            <w:rStyle w:val="Hyperlink"/>
            <w:rFonts w:ascii="Cambria" w:hAnsi="Cambria" w:cs="Arial"/>
            <w:noProof/>
          </w:rPr>
          <w:t>2.3</w:t>
        </w:r>
        <w:r w:rsidR="004B1678" w:rsidRPr="00E11647">
          <w:rPr>
            <w:rStyle w:val="Hyperlink"/>
            <w:rFonts w:ascii="Cambria" w:eastAsiaTheme="minorEastAsia" w:hAnsi="Cambria" w:cstheme="minorBidi"/>
            <w:noProof/>
            <w:sz w:val="22"/>
            <w:szCs w:val="22"/>
            <w:lang w:val="en-US"/>
          </w:rPr>
          <w:t xml:space="preserve"> </w:t>
        </w:r>
        <w:r w:rsidR="004B1678" w:rsidRPr="00E11647">
          <w:rPr>
            <w:rStyle w:val="Hyperlink"/>
            <w:rFonts w:ascii="Cambria" w:hAnsi="Cambria" w:cs="Arial"/>
            <w:noProof/>
          </w:rPr>
          <w:t>Eкономија</w:t>
        </w:r>
        <w:r w:rsidR="004B1678" w:rsidRPr="00E11647">
          <w:rPr>
            <w:rStyle w:val="Hyperlink"/>
            <w:rFonts w:ascii="Cambria" w:hAnsi="Cambria"/>
            <w:noProof/>
            <w:webHidden/>
          </w:rPr>
          <w:tab/>
          <w:t>8</w:t>
        </w:r>
      </w:hyperlink>
    </w:p>
    <w:p w:rsidR="004B1678" w:rsidRDefault="001070D0" w:rsidP="004B1678">
      <w:pPr>
        <w:pStyle w:val="TOC1"/>
        <w:rPr>
          <w:rFonts w:asciiTheme="minorHAnsi" w:eastAsiaTheme="minorEastAsia" w:hAnsiTheme="minorHAnsi" w:cstheme="minorBidi"/>
          <w:b w:val="0"/>
          <w:bCs w:val="0"/>
          <w:caps w:val="0"/>
          <w:color w:val="auto"/>
          <w:lang w:val="en-US"/>
        </w:rPr>
      </w:pPr>
      <w:hyperlink r:id="rId14" w:anchor="_Toc74296642" w:history="1">
        <w:r w:rsidR="004B1678">
          <w:rPr>
            <w:rStyle w:val="Hyperlink"/>
          </w:rPr>
          <w:t>3.</w:t>
        </w:r>
        <w:r w:rsidR="004B1678">
          <w:rPr>
            <w:rStyle w:val="Hyperlink"/>
            <w:rFonts w:asciiTheme="minorHAnsi" w:eastAsiaTheme="minorEastAsia" w:hAnsiTheme="minorHAnsi" w:cstheme="minorBidi"/>
            <w:b w:val="0"/>
            <w:bCs w:val="0"/>
            <w:caps w:val="0"/>
            <w:color w:val="auto"/>
            <w:lang w:val="en-US"/>
          </w:rPr>
          <w:tab/>
        </w:r>
        <w:r w:rsidR="004B1678">
          <w:rPr>
            <w:rStyle w:val="Hyperlink"/>
          </w:rPr>
          <w:t>ТРЖИШТЕ РАДА</w:t>
        </w:r>
        <w:r w:rsidR="004B1678">
          <w:rPr>
            <w:rStyle w:val="Hyperlink"/>
            <w:webHidden/>
          </w:rPr>
          <w:tab/>
        </w:r>
      </w:hyperlink>
      <w:r w:rsidR="004B1678">
        <w:rPr>
          <w:rStyle w:val="Hyperlink"/>
        </w:rPr>
        <w:t>14</w:t>
      </w:r>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15" w:anchor="_Toc74296643" w:history="1">
        <w:r w:rsidR="004B1678" w:rsidRPr="00E11647">
          <w:rPr>
            <w:rStyle w:val="Hyperlink"/>
            <w:rFonts w:ascii="Cambria" w:hAnsi="Cambria" w:cs="Arial"/>
            <w:noProof/>
          </w:rPr>
          <w:t>3.1 Запосленост и зараде</w:t>
        </w:r>
        <w:r w:rsidR="004B1678" w:rsidRPr="00E11647">
          <w:rPr>
            <w:rStyle w:val="Hyperlink"/>
            <w:rFonts w:ascii="Cambria" w:hAnsi="Cambria"/>
            <w:noProof/>
            <w:webHidden/>
          </w:rPr>
          <w:tab/>
          <w:t>15</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16" w:anchor="_Toc74296644" w:history="1">
        <w:r w:rsidR="004B1678" w:rsidRPr="00E11647">
          <w:rPr>
            <w:rStyle w:val="Hyperlink"/>
            <w:rFonts w:ascii="Cambria" w:hAnsi="Cambria" w:cs="Arial"/>
            <w:noProof/>
          </w:rPr>
          <w:t>3.2 Незапосленост</w:t>
        </w:r>
        <w:r w:rsidR="004B1678" w:rsidRPr="00E11647">
          <w:rPr>
            <w:rStyle w:val="Hyperlink"/>
            <w:rFonts w:ascii="Cambria" w:hAnsi="Cambria"/>
            <w:noProof/>
            <w:webHidden/>
          </w:rPr>
          <w:tab/>
          <w:t>18</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17" w:anchor="_Toc74296645" w:history="1">
        <w:r w:rsidR="004B1678" w:rsidRPr="00E11647">
          <w:rPr>
            <w:rStyle w:val="Hyperlink"/>
            <w:rFonts w:ascii="Cambria" w:hAnsi="Cambria"/>
            <w:noProof/>
          </w:rPr>
          <w:t>3.3 Програми и мјере Завода за запошљавање</w:t>
        </w:r>
        <w:r w:rsidR="004B1678" w:rsidRPr="00E11647">
          <w:rPr>
            <w:rStyle w:val="Hyperlink"/>
            <w:rFonts w:ascii="Cambria" w:hAnsi="Cambria"/>
            <w:noProof/>
            <w:webHidden/>
          </w:rPr>
          <w:tab/>
          <w:t>22</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18" w:anchor="_Toc74296648" w:history="1">
        <w:r w:rsidR="004B1678" w:rsidRPr="00E11647">
          <w:rPr>
            <w:rStyle w:val="Hyperlink"/>
            <w:rFonts w:ascii="Cambria" w:hAnsi="Cambria" w:cs="Arial"/>
            <w:noProof/>
          </w:rPr>
          <w:t>3.4 Тражња радне снаге</w:t>
        </w:r>
        <w:r w:rsidR="004B1678" w:rsidRPr="00E11647">
          <w:rPr>
            <w:rStyle w:val="Hyperlink"/>
            <w:rFonts w:ascii="Cambria" w:hAnsi="Cambria"/>
            <w:noProof/>
            <w:webHidden/>
          </w:rPr>
          <w:tab/>
          <w:t>24</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19" w:anchor="_Toc74296649" w:history="1">
        <w:r w:rsidR="004B1678" w:rsidRPr="00E11647">
          <w:rPr>
            <w:rStyle w:val="Hyperlink"/>
            <w:rFonts w:ascii="Cambria" w:hAnsi="Cambria" w:cs="Arial"/>
            <w:noProof/>
          </w:rPr>
          <w:t>3.5 Дефицитарна и потенцијално дефицитарна занимања</w:t>
        </w:r>
        <w:r w:rsidR="004B1678" w:rsidRPr="00E11647">
          <w:rPr>
            <w:rStyle w:val="Hyperlink"/>
            <w:rFonts w:ascii="Cambria" w:hAnsi="Cambria"/>
            <w:noProof/>
            <w:webHidden/>
          </w:rPr>
          <w:tab/>
          <w:t>26</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20" w:anchor="_Toc74296650" w:history="1">
        <w:r w:rsidR="004B1678" w:rsidRPr="00E11647">
          <w:rPr>
            <w:rStyle w:val="Hyperlink"/>
            <w:rFonts w:ascii="Cambria" w:hAnsi="Cambria"/>
            <w:noProof/>
          </w:rPr>
          <w:t>3.6 Понуда образовања и оспособљавања одраслих у општини</w:t>
        </w:r>
        <w:r w:rsidR="004B1678" w:rsidRPr="00E11647">
          <w:rPr>
            <w:rStyle w:val="Hyperlink"/>
            <w:rFonts w:ascii="Cambria" w:hAnsi="Cambria"/>
            <w:noProof/>
            <w:webHidden/>
          </w:rPr>
          <w:tab/>
          <w:t>28</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21" w:anchor="_Toc74296651" w:history="1">
        <w:r w:rsidR="004B1678" w:rsidRPr="00E11647">
          <w:rPr>
            <w:rStyle w:val="Hyperlink"/>
            <w:rFonts w:ascii="Cambria" w:hAnsi="Cambria" w:cs="Arial"/>
            <w:noProof/>
          </w:rPr>
          <w:t>3.7 Социјална инклузија и социјална искљученост</w:t>
        </w:r>
        <w:r w:rsidR="004B1678" w:rsidRPr="00E11647">
          <w:rPr>
            <w:rStyle w:val="Hyperlink"/>
            <w:rFonts w:ascii="Cambria" w:hAnsi="Cambria"/>
            <w:noProof/>
            <w:webHidden/>
          </w:rPr>
          <w:tab/>
          <w:t>28</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22" w:anchor="_Toc74296652" w:history="1">
        <w:r w:rsidR="004B1678" w:rsidRPr="00E11647">
          <w:rPr>
            <w:rStyle w:val="Hyperlink"/>
            <w:rFonts w:ascii="Cambria" w:hAnsi="Cambria" w:cs="Arial"/>
            <w:noProof/>
          </w:rPr>
          <w:t>3.8 Закључак</w:t>
        </w:r>
        <w:r w:rsidR="004B1678" w:rsidRPr="00E11647">
          <w:rPr>
            <w:rStyle w:val="Hyperlink"/>
            <w:rFonts w:ascii="Cambria" w:hAnsi="Cambria"/>
            <w:noProof/>
            <w:webHidden/>
          </w:rPr>
          <w:tab/>
          <w:t>30</w:t>
        </w:r>
      </w:hyperlink>
    </w:p>
    <w:p w:rsidR="004B1678" w:rsidRDefault="001070D0" w:rsidP="004B1678">
      <w:pPr>
        <w:pStyle w:val="TOC1"/>
        <w:rPr>
          <w:rFonts w:asciiTheme="minorHAnsi" w:eastAsiaTheme="minorEastAsia" w:hAnsiTheme="minorHAnsi" w:cstheme="minorBidi"/>
          <w:b w:val="0"/>
          <w:bCs w:val="0"/>
          <w:caps w:val="0"/>
          <w:color w:val="auto"/>
          <w:lang w:val="en-US"/>
        </w:rPr>
      </w:pPr>
      <w:hyperlink r:id="rId23" w:anchor="_Toc74296653" w:history="1">
        <w:r w:rsidR="004B1678">
          <w:rPr>
            <w:rStyle w:val="Hyperlink"/>
          </w:rPr>
          <w:t>4.</w:t>
        </w:r>
        <w:r w:rsidR="004B1678">
          <w:rPr>
            <w:rStyle w:val="Hyperlink"/>
            <w:rFonts w:asciiTheme="minorHAnsi" w:eastAsiaTheme="minorEastAsia" w:hAnsiTheme="minorHAnsi" w:cstheme="minorBidi"/>
            <w:b w:val="0"/>
            <w:bCs w:val="0"/>
            <w:caps w:val="0"/>
            <w:color w:val="auto"/>
            <w:lang w:val="en-US"/>
          </w:rPr>
          <w:tab/>
        </w:r>
        <w:r w:rsidR="004B1678">
          <w:rPr>
            <w:rStyle w:val="Hyperlink"/>
          </w:rPr>
          <w:t>SWOT АНАЛИЗА</w:t>
        </w:r>
        <w:r w:rsidR="004B1678">
          <w:rPr>
            <w:rStyle w:val="Hyperlink"/>
            <w:webHidden/>
          </w:rPr>
          <w:tab/>
          <w:t>31</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24" w:anchor="_Toc74296654" w:history="1">
        <w:r w:rsidR="004B1678" w:rsidRPr="00E11647">
          <w:rPr>
            <w:rStyle w:val="Hyperlink"/>
            <w:rFonts w:ascii="Cambria" w:eastAsia="Calibri" w:hAnsi="Cambria"/>
            <w:noProof/>
          </w:rPr>
          <w:t>4.1 Локално тржиште рада и радна снага</w:t>
        </w:r>
        <w:r w:rsidR="004B1678" w:rsidRPr="00E11647">
          <w:rPr>
            <w:rStyle w:val="Hyperlink"/>
            <w:rFonts w:ascii="Cambria" w:hAnsi="Cambria"/>
            <w:noProof/>
            <w:webHidden/>
          </w:rPr>
          <w:tab/>
          <w:t>31</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25" w:anchor="_Toc74296655" w:history="1">
        <w:r w:rsidR="004B1678" w:rsidRPr="00E11647">
          <w:rPr>
            <w:rStyle w:val="Hyperlink"/>
            <w:rFonts w:ascii="Cambria" w:hAnsi="Cambria"/>
            <w:noProof/>
          </w:rPr>
          <w:t>4.2 Образовање и оспособљавање радне снаге у општини</w:t>
        </w:r>
        <w:r w:rsidR="004B1678" w:rsidRPr="00E11647">
          <w:rPr>
            <w:rStyle w:val="Hyperlink"/>
            <w:rFonts w:ascii="Cambria" w:hAnsi="Cambria"/>
            <w:noProof/>
            <w:webHidden/>
          </w:rPr>
          <w:tab/>
          <w:t>32</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26" w:anchor="_Toc74296656" w:history="1">
        <w:r w:rsidR="004B1678" w:rsidRPr="00E11647">
          <w:rPr>
            <w:rStyle w:val="Hyperlink"/>
            <w:rFonts w:ascii="Cambria" w:hAnsi="Cambria"/>
            <w:noProof/>
          </w:rPr>
          <w:t>4.3 Социјална инклузија/социјална искљученост на локалном тржишту рада</w:t>
        </w:r>
        <w:r w:rsidR="004B1678" w:rsidRPr="00E11647">
          <w:rPr>
            <w:rStyle w:val="Hyperlink"/>
            <w:rFonts w:ascii="Cambria" w:hAnsi="Cambria"/>
            <w:noProof/>
            <w:webHidden/>
          </w:rPr>
          <w:tab/>
          <w:t>34</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27" w:anchor="_Toc74296657" w:history="1">
        <w:r w:rsidR="004B1678" w:rsidRPr="00E11647">
          <w:rPr>
            <w:rStyle w:val="Hyperlink"/>
            <w:rFonts w:ascii="Cambria" w:hAnsi="Cambria"/>
            <w:noProof/>
          </w:rPr>
          <w:t>4.3. Кључни проблеми тржишта рада општине Беране</w:t>
        </w:r>
        <w:r w:rsidR="004B1678" w:rsidRPr="00E11647">
          <w:rPr>
            <w:rStyle w:val="Hyperlink"/>
            <w:rFonts w:ascii="Cambria" w:hAnsi="Cambria"/>
            <w:noProof/>
            <w:webHidden/>
          </w:rPr>
          <w:tab/>
          <w:t>34</w:t>
        </w:r>
      </w:hyperlink>
    </w:p>
    <w:p w:rsidR="004B1678" w:rsidRDefault="001070D0" w:rsidP="004B1678">
      <w:pPr>
        <w:pStyle w:val="TOC1"/>
        <w:rPr>
          <w:rFonts w:asciiTheme="minorHAnsi" w:eastAsiaTheme="minorEastAsia" w:hAnsiTheme="minorHAnsi" w:cstheme="minorBidi"/>
          <w:b w:val="0"/>
          <w:bCs w:val="0"/>
          <w:caps w:val="0"/>
          <w:color w:val="auto"/>
          <w:lang w:val="en-US"/>
        </w:rPr>
      </w:pPr>
      <w:hyperlink r:id="rId28" w:anchor="_Toc74296658" w:history="1">
        <w:r w:rsidR="004B1678">
          <w:rPr>
            <w:rStyle w:val="Hyperlink"/>
          </w:rPr>
          <w:t>5.</w:t>
        </w:r>
        <w:r w:rsidR="004B1678">
          <w:rPr>
            <w:rStyle w:val="Hyperlink"/>
            <w:rFonts w:asciiTheme="minorHAnsi" w:eastAsiaTheme="minorEastAsia" w:hAnsiTheme="minorHAnsi" w:cstheme="minorBidi"/>
            <w:b w:val="0"/>
            <w:bCs w:val="0"/>
            <w:caps w:val="0"/>
            <w:color w:val="auto"/>
            <w:lang w:val="en-US"/>
          </w:rPr>
          <w:tab/>
        </w:r>
        <w:r w:rsidR="004B1678">
          <w:rPr>
            <w:rStyle w:val="Hyperlink"/>
          </w:rPr>
          <w:t>ВИЗИЈА, ЦИЉЕВИ, ПРИОРИТЕТИ И МЈЕРЕ СТРАТЕГИЈЕ ЗАПОШЉАВАЊА</w:t>
        </w:r>
        <w:r w:rsidR="004B1678">
          <w:rPr>
            <w:rStyle w:val="Hyperlink"/>
            <w:webHidden/>
          </w:rPr>
          <w:tab/>
          <w:t>35</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29" w:anchor="_Toc74296659" w:history="1">
        <w:r w:rsidR="004B1678" w:rsidRPr="00E11647">
          <w:rPr>
            <w:rStyle w:val="Hyperlink"/>
            <w:rFonts w:ascii="Cambria" w:hAnsi="Cambria"/>
            <w:noProof/>
          </w:rPr>
          <w:t>5.1 Визија општине у погледу запошљавања и развоја радне снаге</w:t>
        </w:r>
        <w:r w:rsidR="004B1678" w:rsidRPr="00E11647">
          <w:rPr>
            <w:rStyle w:val="Hyperlink"/>
            <w:rFonts w:ascii="Cambria" w:hAnsi="Cambria"/>
            <w:noProof/>
            <w:webHidden/>
          </w:rPr>
          <w:tab/>
          <w:t>35</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30" w:anchor="_Toc74296662" w:history="1">
        <w:r w:rsidR="004B1678" w:rsidRPr="00E11647">
          <w:rPr>
            <w:rStyle w:val="Hyperlink"/>
            <w:rFonts w:ascii="Cambria" w:hAnsi="Cambria"/>
            <w:noProof/>
          </w:rPr>
          <w:t>5.2 Циљеви</w:t>
        </w:r>
        <w:r w:rsidR="004B1678" w:rsidRPr="00E11647">
          <w:rPr>
            <w:rStyle w:val="Hyperlink"/>
            <w:rFonts w:ascii="Cambria" w:hAnsi="Cambria"/>
            <w:noProof/>
            <w:webHidden/>
          </w:rPr>
          <w:tab/>
          <w:t>35</w:t>
        </w:r>
      </w:hyperlink>
    </w:p>
    <w:p w:rsidR="004B1678" w:rsidRPr="00E11647" w:rsidRDefault="001070D0" w:rsidP="004B1678">
      <w:pPr>
        <w:pStyle w:val="TOC2"/>
        <w:tabs>
          <w:tab w:val="right" w:leader="dot" w:pos="9231"/>
        </w:tabs>
        <w:rPr>
          <w:rFonts w:ascii="Cambria" w:eastAsiaTheme="minorEastAsia" w:hAnsi="Cambria" w:cstheme="minorBidi"/>
          <w:noProof/>
          <w:sz w:val="22"/>
          <w:szCs w:val="22"/>
          <w:lang w:val="en-US"/>
        </w:rPr>
      </w:pPr>
      <w:hyperlink r:id="rId31" w:anchor="_Toc74296663" w:history="1">
        <w:r w:rsidR="004B1678" w:rsidRPr="00E11647">
          <w:rPr>
            <w:rStyle w:val="Hyperlink"/>
            <w:rFonts w:ascii="Cambria" w:hAnsi="Cambria"/>
            <w:noProof/>
          </w:rPr>
          <w:t>5.3 Активности</w:t>
        </w:r>
        <w:r w:rsidR="004B1678" w:rsidRPr="00E11647">
          <w:rPr>
            <w:rStyle w:val="Hyperlink"/>
            <w:rFonts w:ascii="Cambria" w:hAnsi="Cambria"/>
            <w:noProof/>
            <w:webHidden/>
          </w:rPr>
          <w:tab/>
          <w:t>35</w:t>
        </w:r>
      </w:hyperlink>
    </w:p>
    <w:p w:rsidR="004B1678" w:rsidRDefault="001070D0" w:rsidP="004B1678">
      <w:pPr>
        <w:pStyle w:val="TOC1"/>
        <w:rPr>
          <w:rFonts w:asciiTheme="minorHAnsi" w:eastAsiaTheme="minorEastAsia" w:hAnsiTheme="minorHAnsi" w:cstheme="minorBidi"/>
          <w:b w:val="0"/>
          <w:bCs w:val="0"/>
          <w:caps w:val="0"/>
          <w:color w:val="auto"/>
          <w:lang w:val="en-US"/>
        </w:rPr>
      </w:pPr>
      <w:hyperlink r:id="rId32" w:anchor="_Toc74296664" w:history="1">
        <w:r w:rsidR="004B1678">
          <w:rPr>
            <w:rStyle w:val="Hyperlink"/>
          </w:rPr>
          <w:t>6.</w:t>
        </w:r>
        <w:r w:rsidR="004B1678">
          <w:rPr>
            <w:rStyle w:val="Hyperlink"/>
            <w:rFonts w:asciiTheme="minorHAnsi" w:eastAsiaTheme="minorEastAsia" w:hAnsiTheme="minorHAnsi" w:cstheme="minorBidi"/>
            <w:b w:val="0"/>
            <w:bCs w:val="0"/>
            <w:caps w:val="0"/>
            <w:color w:val="auto"/>
            <w:lang w:val="en-US"/>
          </w:rPr>
          <w:tab/>
        </w:r>
        <w:r w:rsidR="004B1678">
          <w:rPr>
            <w:rStyle w:val="Hyperlink"/>
          </w:rPr>
          <w:t>УПРАВЉАЊЕ, ПРАЋЕЊЕ,  ИЗВЈЕШТАВАЊЕ И ПРОМОЦИЈА</w:t>
        </w:r>
        <w:r w:rsidR="004B1678">
          <w:rPr>
            <w:rStyle w:val="Hyperlink"/>
            <w:webHidden/>
          </w:rPr>
          <w:tab/>
          <w:t>37</w:t>
        </w:r>
      </w:hyperlink>
    </w:p>
    <w:p w:rsidR="004B1678" w:rsidRDefault="001070D0" w:rsidP="004B1678">
      <w:pPr>
        <w:pStyle w:val="TOC1"/>
        <w:rPr>
          <w:rFonts w:asciiTheme="minorHAnsi" w:eastAsiaTheme="minorEastAsia" w:hAnsiTheme="minorHAnsi" w:cstheme="minorBidi"/>
          <w:b w:val="0"/>
          <w:bCs w:val="0"/>
          <w:caps w:val="0"/>
          <w:color w:val="auto"/>
          <w:lang w:val="en-US"/>
        </w:rPr>
      </w:pPr>
      <w:hyperlink r:id="rId33" w:anchor="_Toc74296665" w:history="1">
        <w:r w:rsidR="004B1678">
          <w:rPr>
            <w:rStyle w:val="Hyperlink"/>
          </w:rPr>
          <w:t>Прилог 1: ОРГАНИЗАТОРИ ОБРАЗОВАЊА ОДРАСЛИХ И ПРОГРАМИ</w:t>
        </w:r>
        <w:r w:rsidR="004B1678">
          <w:rPr>
            <w:rStyle w:val="Hyperlink"/>
            <w:webHidden/>
          </w:rPr>
          <w:tab/>
          <w:t>38</w:t>
        </w:r>
      </w:hyperlink>
    </w:p>
    <w:p w:rsidR="004B1678" w:rsidRDefault="001070D0" w:rsidP="004B1678">
      <w:pPr>
        <w:pStyle w:val="TOC1"/>
        <w:rPr>
          <w:rFonts w:asciiTheme="minorHAnsi" w:eastAsiaTheme="minorEastAsia" w:hAnsiTheme="minorHAnsi" w:cstheme="minorBidi"/>
          <w:b w:val="0"/>
          <w:bCs w:val="0"/>
          <w:caps w:val="0"/>
          <w:color w:val="auto"/>
          <w:lang w:val="en-US"/>
        </w:rPr>
      </w:pPr>
      <w:hyperlink r:id="rId34" w:anchor="_Toc74296666" w:history="1">
        <w:r w:rsidR="004B1678">
          <w:rPr>
            <w:rStyle w:val="Hyperlink"/>
          </w:rPr>
          <w:t>АКЦИОНИ ПЛАН ЗАПОШЉАВАЊА ОПШТИНЕ БЕРАНЕ ЗА  2021. ГОДИНУ</w:t>
        </w:r>
        <w:r w:rsidR="004B1678">
          <w:rPr>
            <w:rStyle w:val="Hyperlink"/>
            <w:webHidden/>
          </w:rPr>
          <w:tab/>
          <w:t>41</w:t>
        </w:r>
      </w:hyperlink>
    </w:p>
    <w:p w:rsidR="004B1678" w:rsidRDefault="001070D0" w:rsidP="004B1678">
      <w:r>
        <w:rPr>
          <w:highlight w:val="yellow"/>
        </w:rPr>
        <w:fldChar w:fldCharType="end"/>
      </w: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sz w:val="22"/>
          <w:szCs w:val="22"/>
        </w:rPr>
      </w:pPr>
    </w:p>
    <w:p w:rsidR="00DA06C9" w:rsidRPr="006A529A" w:rsidRDefault="00DA06C9" w:rsidP="000806C3">
      <w:pPr>
        <w:rPr>
          <w:rFonts w:cs="Arial"/>
        </w:rPr>
      </w:pPr>
    </w:p>
    <w:p w:rsidR="00DA06C9" w:rsidRPr="006A529A" w:rsidRDefault="00DA06C9" w:rsidP="000806C3">
      <w:pPr>
        <w:rPr>
          <w:rFonts w:cs="Arial"/>
        </w:rPr>
      </w:pPr>
    </w:p>
    <w:p w:rsidR="00DA06C9" w:rsidRPr="006A529A" w:rsidRDefault="00DA06C9" w:rsidP="000806C3">
      <w:pPr>
        <w:rPr>
          <w:rFonts w:cs="Arial"/>
        </w:rPr>
      </w:pPr>
    </w:p>
    <w:p w:rsidR="00AD0E36" w:rsidRPr="006A529A" w:rsidRDefault="00AD0E36" w:rsidP="000806C3">
      <w:pPr>
        <w:rPr>
          <w:rFonts w:eastAsiaTheme="majorEastAsia" w:cs="Arial"/>
          <w:b/>
          <w:sz w:val="26"/>
          <w:szCs w:val="32"/>
          <w:highlight w:val="lightGray"/>
        </w:rPr>
      </w:pPr>
      <w:bookmarkStart w:id="2" w:name="_Toc44873741"/>
      <w:r w:rsidRPr="006A529A">
        <w:rPr>
          <w:rFonts w:cs="Arial"/>
          <w:highlight w:val="lightGray"/>
        </w:rPr>
        <w:br w:type="page"/>
      </w:r>
    </w:p>
    <w:tbl>
      <w:tblPr>
        <w:tblStyle w:val="TableGrid"/>
        <w:tblW w:w="9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16"/>
      </w:tblGrid>
      <w:tr w:rsidR="00632C13" w:rsidRPr="006A529A" w:rsidTr="00BB5974">
        <w:trPr>
          <w:trHeight w:val="189"/>
        </w:trPr>
        <w:tc>
          <w:tcPr>
            <w:tcW w:w="9316" w:type="dxa"/>
            <w:shd w:val="clear" w:color="auto" w:fill="FFFFFF" w:themeFill="background1"/>
          </w:tcPr>
          <w:p w:rsidR="00632C13" w:rsidRPr="006A529A" w:rsidRDefault="0074090B" w:rsidP="000806C3">
            <w:pPr>
              <w:pStyle w:val="Heading1"/>
              <w:numPr>
                <w:ilvl w:val="0"/>
                <w:numId w:val="6"/>
              </w:numPr>
              <w:spacing w:before="0"/>
              <w:ind w:left="318" w:hanging="284"/>
              <w:rPr>
                <w:rFonts w:cs="Arial"/>
                <w:szCs w:val="20"/>
              </w:rPr>
            </w:pPr>
            <w:bookmarkStart w:id="3" w:name="_Toc74296637"/>
            <w:bookmarkEnd w:id="2"/>
            <w:r>
              <w:lastRenderedPageBreak/>
              <w:t>УВОД</w:t>
            </w:r>
            <w:bookmarkEnd w:id="3"/>
          </w:p>
        </w:tc>
      </w:tr>
    </w:tbl>
    <w:p w:rsidR="006F1132" w:rsidRPr="00DC17C4" w:rsidRDefault="006F1132" w:rsidP="000806C3">
      <w:pPr>
        <w:jc w:val="both"/>
        <w:rPr>
          <w:rFonts w:cs="Arial"/>
          <w:szCs w:val="20"/>
        </w:rPr>
      </w:pPr>
    </w:p>
    <w:p w:rsidR="00EF77D6" w:rsidRDefault="0074090B" w:rsidP="000806C3">
      <w:pPr>
        <w:jc w:val="both"/>
        <w:rPr>
          <w:rFonts w:eastAsia="Times New Roman" w:cs="Arial"/>
          <w:sz w:val="22"/>
          <w:szCs w:val="22"/>
          <w:lang w:eastAsia="tr-TR"/>
        </w:rPr>
      </w:pPr>
      <w:r w:rsidRPr="0074090B">
        <w:rPr>
          <w:rFonts w:eastAsia="Times New Roman" w:cs="Arial"/>
          <w:sz w:val="22"/>
          <w:szCs w:val="22"/>
          <w:lang w:eastAsia="tr-TR"/>
        </w:rPr>
        <w:t>Министарство рада и социјалног старања Црне Горе је у сарадњи са кључним партнерима покренуло иницијативу како би се развио локални приступ за рјешавање питања незапослености, са нагласком на пружање подршке локалним заједницама да пронађу сопствена рјешења за изазове на локалним тржиштима рада. На тај начин се активна политика запошљавања може боље прилагодити потребама локални</w:t>
      </w:r>
      <w:r w:rsidR="00755716">
        <w:rPr>
          <w:rFonts w:eastAsia="Times New Roman" w:cs="Arial"/>
          <w:sz w:val="22"/>
          <w:szCs w:val="22"/>
          <w:lang w:eastAsia="tr-TR"/>
        </w:rPr>
        <w:t>х тржишта рада и тиме повећати дј</w:t>
      </w:r>
      <w:r w:rsidRPr="0074090B">
        <w:rPr>
          <w:rFonts w:eastAsia="Times New Roman" w:cs="Arial"/>
          <w:sz w:val="22"/>
          <w:szCs w:val="22"/>
          <w:lang w:eastAsia="tr-TR"/>
        </w:rPr>
        <w:t>елотворност укупне политике запошљавања у Црној Гори.</w:t>
      </w:r>
    </w:p>
    <w:p w:rsidR="0074090B" w:rsidRPr="0074090B" w:rsidRDefault="0074090B" w:rsidP="000806C3">
      <w:pPr>
        <w:jc w:val="both"/>
        <w:rPr>
          <w:rFonts w:cs="Arial"/>
          <w:sz w:val="22"/>
          <w:szCs w:val="22"/>
        </w:rPr>
      </w:pPr>
    </w:p>
    <w:p w:rsidR="00EF77D6" w:rsidRPr="006A529A" w:rsidRDefault="0074090B" w:rsidP="000806C3">
      <w:pPr>
        <w:jc w:val="both"/>
        <w:rPr>
          <w:rFonts w:eastAsia="Times New Roman" w:cs="Arial"/>
          <w:sz w:val="22"/>
          <w:szCs w:val="22"/>
          <w:lang w:eastAsia="tr-TR"/>
        </w:rPr>
      </w:pPr>
      <w:r w:rsidRPr="0074090B">
        <w:rPr>
          <w:rFonts w:cs="Arial"/>
          <w:sz w:val="22"/>
          <w:szCs w:val="22"/>
        </w:rPr>
        <w:t xml:space="preserve">Општина Беране је једна од многих општина у Црној Гори која се прикључила иницијативи. Именована је  локална партнерска група за запошљавање, чији задатак је израда нацрта локалне стратегије запошљавања за период  2021-2025. и одговарајућег годишњег акционог плана, уз техничку подршку пројекта „Даљи развој локалних иницијатива за запошљавање“, који се финансира из ЕУ-ИПА средстава у оквиру Секторског оперативног програма за запошљавање, образовање и социјалну политику 2015-2017 </w:t>
      </w:r>
      <w:r w:rsidR="00EF77D6" w:rsidRPr="006A529A">
        <w:rPr>
          <w:rFonts w:cs="Times-Roman"/>
          <w:sz w:val="22"/>
          <w:szCs w:val="22"/>
          <w:lang w:eastAsia="tr-TR"/>
        </w:rPr>
        <w:t xml:space="preserve">(SOPEES). </w:t>
      </w:r>
    </w:p>
    <w:p w:rsidR="00EF77D6" w:rsidRPr="006A529A" w:rsidRDefault="00EF77D6" w:rsidP="000806C3">
      <w:pPr>
        <w:jc w:val="both"/>
        <w:rPr>
          <w:rFonts w:cs="Arial"/>
          <w:sz w:val="22"/>
          <w:szCs w:val="22"/>
        </w:rPr>
      </w:pPr>
    </w:p>
    <w:p w:rsidR="00EF77D6" w:rsidRPr="006A529A" w:rsidRDefault="00DC17C4" w:rsidP="000806C3">
      <w:pPr>
        <w:contextualSpacing/>
        <w:jc w:val="both"/>
        <w:rPr>
          <w:sz w:val="22"/>
          <w:szCs w:val="22"/>
        </w:rPr>
      </w:pPr>
      <w:bookmarkStart w:id="4" w:name="_Hlk55722656"/>
      <w:r w:rsidRPr="00DC17C4">
        <w:rPr>
          <w:sz w:val="22"/>
          <w:szCs w:val="22"/>
        </w:rPr>
        <w:t xml:space="preserve">Стање на тржишту рада у локалној средини резултат је великог броја фактора који </w:t>
      </w:r>
      <w:r w:rsidR="00755716">
        <w:rPr>
          <w:sz w:val="22"/>
          <w:szCs w:val="22"/>
        </w:rPr>
        <w:t>у различитим срединама могу да дј</w:t>
      </w:r>
      <w:r w:rsidRPr="00DC17C4">
        <w:rPr>
          <w:sz w:val="22"/>
          <w:szCs w:val="22"/>
        </w:rPr>
        <w:t>елују различитим интензитетом. За потребе израде стратегије запошљавања фактори су организовани у сљедећих пет група: демографски контекст, општи економски контекст, контекст квалификационе и просторне интеракциј</w:t>
      </w:r>
      <w:r>
        <w:rPr>
          <w:sz w:val="22"/>
          <w:szCs w:val="22"/>
        </w:rPr>
        <w:t>е понуде рада и тражње за радом–</w:t>
      </w:r>
      <w:r w:rsidRPr="00DC17C4">
        <w:rPr>
          <w:sz w:val="22"/>
          <w:szCs w:val="22"/>
        </w:rPr>
        <w:t xml:space="preserve">тј. контекст тржишта рада, контекст социјалне рањивости, те контекст квалитета животног окружења.  У ту сврху коришћена је Анализа локалних тржишта рада у Црној Гори урађена у оквиру поменутог ЕУ </w:t>
      </w:r>
      <w:r w:rsidR="00755716" w:rsidRPr="006A529A">
        <w:rPr>
          <w:rFonts w:cs="Times-Roman"/>
          <w:sz w:val="22"/>
          <w:szCs w:val="22"/>
          <w:lang w:eastAsia="tr-TR"/>
        </w:rPr>
        <w:t>SOPEES</w:t>
      </w:r>
      <w:r w:rsidRPr="00DC17C4">
        <w:rPr>
          <w:sz w:val="22"/>
          <w:szCs w:val="22"/>
        </w:rPr>
        <w:t xml:space="preserve"> пројекта. Анализа се ослања на широк спектар секундарних извора података, укључујући прије свега националну статистику као и квалитативна истраживања.  </w:t>
      </w:r>
      <w:r w:rsidR="00EF77D6" w:rsidRPr="006A529A">
        <w:rPr>
          <w:sz w:val="22"/>
          <w:szCs w:val="22"/>
        </w:rPr>
        <w:t xml:space="preserve"> </w:t>
      </w:r>
    </w:p>
    <w:bookmarkEnd w:id="4"/>
    <w:p w:rsidR="00EF77D6" w:rsidRPr="006A529A" w:rsidRDefault="00EF77D6" w:rsidP="000806C3">
      <w:pPr>
        <w:contextualSpacing/>
        <w:jc w:val="both"/>
        <w:rPr>
          <w:sz w:val="22"/>
          <w:szCs w:val="22"/>
        </w:rPr>
      </w:pPr>
    </w:p>
    <w:p w:rsidR="00EF77D6" w:rsidRDefault="00DC17C4" w:rsidP="000806C3">
      <w:pPr>
        <w:contextualSpacing/>
        <w:jc w:val="both"/>
        <w:rPr>
          <w:sz w:val="22"/>
          <w:szCs w:val="22"/>
        </w:rPr>
      </w:pPr>
      <w:r w:rsidRPr="00DC17C4">
        <w:rPr>
          <w:sz w:val="22"/>
          <w:szCs w:val="22"/>
        </w:rPr>
        <w:t>Како би се осигурало да су процјене анализе у потпуности ауторитативне и да имају додатну вриједност за локалне партнере, коришћена</w:t>
      </w:r>
      <w:r w:rsidR="00755716">
        <w:rPr>
          <w:sz w:val="22"/>
          <w:szCs w:val="22"/>
        </w:rPr>
        <w:t xml:space="preserve"> је методологија која је омогућ</w:t>
      </w:r>
      <w:r w:rsidRPr="00DC17C4">
        <w:rPr>
          <w:sz w:val="22"/>
          <w:szCs w:val="22"/>
        </w:rPr>
        <w:t>ила да се знања, ставови и специфичне информације у посједу локалних партнера у потпуности укључе у стратегију. То је значило допуњавање расположивих статистичких података из постојећих званичних извора локално прикупљеним квалитативним и додатним квантитативним подацима који су били на располагању локалним актерима</w:t>
      </w:r>
      <w:r>
        <w:rPr>
          <w:sz w:val="22"/>
          <w:szCs w:val="22"/>
        </w:rPr>
        <w:t>.</w:t>
      </w:r>
    </w:p>
    <w:p w:rsidR="00DC17C4" w:rsidRPr="00DC17C4" w:rsidRDefault="00DC17C4" w:rsidP="000806C3">
      <w:pPr>
        <w:contextualSpacing/>
        <w:jc w:val="both"/>
        <w:rPr>
          <w:sz w:val="22"/>
          <w:szCs w:val="22"/>
        </w:rPr>
      </w:pPr>
    </w:p>
    <w:p w:rsidR="00EF77D6" w:rsidRDefault="00DC17C4" w:rsidP="000806C3">
      <w:pPr>
        <w:jc w:val="both"/>
        <w:rPr>
          <w:rFonts w:cs="Arial"/>
          <w:sz w:val="22"/>
          <w:szCs w:val="22"/>
        </w:rPr>
      </w:pPr>
      <w:r w:rsidRPr="00DC17C4">
        <w:rPr>
          <w:rFonts w:cs="Arial"/>
          <w:sz w:val="22"/>
          <w:szCs w:val="22"/>
        </w:rPr>
        <w:t>У процесу израде општинских Стратегија запошљавања посебна пажња је била посвећена усаглашености приоритета и циљева општинских стратегија запошљавања и развоја људских ресурса са националним стратешким оквиром тј. Националном стратегијом запошљавања и развоја људских ресурса 2016-2020., као  и другим релевантним стратешким документима Црне Горе који су везани за запошљавање, образовање и социјалну искљученост: Стратегија за социјалну инклузију Рома и Египћана у Црној Гори 2016-2020, Стратегија регионалног развоја Црне Горе 2014-2020, Стратеги</w:t>
      </w:r>
      <w:r w:rsidR="00755716">
        <w:rPr>
          <w:rFonts w:cs="Arial"/>
          <w:sz w:val="22"/>
          <w:szCs w:val="22"/>
        </w:rPr>
        <w:t>ја развоја система социјалне и дј</w:t>
      </w:r>
      <w:r w:rsidRPr="00DC17C4">
        <w:rPr>
          <w:rFonts w:cs="Arial"/>
          <w:sz w:val="22"/>
          <w:szCs w:val="22"/>
        </w:rPr>
        <w:t>еч</w:t>
      </w:r>
      <w:r w:rsidR="00755716">
        <w:rPr>
          <w:rFonts w:cs="Arial"/>
          <w:sz w:val="22"/>
          <w:szCs w:val="22"/>
        </w:rPr>
        <w:t>и</w:t>
      </w:r>
      <w:r w:rsidRPr="00DC17C4">
        <w:rPr>
          <w:rFonts w:cs="Arial"/>
          <w:sz w:val="22"/>
          <w:szCs w:val="22"/>
        </w:rPr>
        <w:t>је заштите за период од 2018. до 2022. године, Стратегија за интеграцију лица са инвалидитетом у Црној Гори за период 2016-2020, Стратегија развоја туризма у Црној Гори до 2020. године, Стратегија образовања одраслих Црне Горе 2015-2025  и Национална стратегија одрживог развоја Црне Горе до 2030.</w:t>
      </w:r>
    </w:p>
    <w:p w:rsidR="00DC17C4" w:rsidRPr="00DC17C4" w:rsidRDefault="00DC17C4" w:rsidP="000806C3">
      <w:pPr>
        <w:jc w:val="both"/>
        <w:rPr>
          <w:rFonts w:cs="Arial"/>
          <w:sz w:val="22"/>
          <w:szCs w:val="22"/>
        </w:rPr>
      </w:pPr>
    </w:p>
    <w:p w:rsidR="00DC17C4" w:rsidRDefault="00DC17C4" w:rsidP="000806C3">
      <w:pPr>
        <w:jc w:val="both"/>
        <w:rPr>
          <w:rFonts w:cs="Arial"/>
          <w:sz w:val="22"/>
          <w:szCs w:val="22"/>
        </w:rPr>
      </w:pPr>
      <w:r w:rsidRPr="00DC17C4">
        <w:rPr>
          <w:rFonts w:cs="Arial"/>
          <w:sz w:val="22"/>
          <w:szCs w:val="22"/>
        </w:rPr>
        <w:t>Приоритети Националне стратегије запошљавања и развоја људских ресурса 2016-2020. препознати су током процеса израде локалне стратегије запошљавања као релевантни за локално тржиште рада општине Беране:</w:t>
      </w:r>
    </w:p>
    <w:p w:rsidR="00DC17C4" w:rsidRPr="00DC17C4" w:rsidRDefault="00DC17C4" w:rsidP="000806C3">
      <w:pPr>
        <w:jc w:val="both"/>
        <w:rPr>
          <w:rFonts w:cs="Arial"/>
          <w:sz w:val="22"/>
          <w:szCs w:val="22"/>
        </w:rPr>
      </w:pPr>
    </w:p>
    <w:p w:rsidR="00DC17C4" w:rsidRPr="00DC17C4" w:rsidRDefault="00DC17C4" w:rsidP="00DC17C4">
      <w:pPr>
        <w:rPr>
          <w:rFonts w:cs="Arial"/>
          <w:sz w:val="22"/>
          <w:szCs w:val="22"/>
        </w:rPr>
      </w:pPr>
      <w:r w:rsidRPr="00DC17C4">
        <w:rPr>
          <w:rFonts w:cs="Arial"/>
          <w:sz w:val="22"/>
          <w:szCs w:val="22"/>
        </w:rPr>
        <w:t>ПРИОРИТЕТ 1: Повећање запослености. Смањење стопе незапослености;</w:t>
      </w:r>
    </w:p>
    <w:p w:rsidR="00DC17C4" w:rsidRPr="00DC17C4" w:rsidRDefault="00DC17C4" w:rsidP="00DC17C4">
      <w:pPr>
        <w:rPr>
          <w:rFonts w:cs="Arial"/>
          <w:sz w:val="22"/>
          <w:szCs w:val="22"/>
        </w:rPr>
      </w:pPr>
      <w:r w:rsidRPr="00DC17C4">
        <w:rPr>
          <w:rFonts w:cs="Arial"/>
          <w:sz w:val="22"/>
          <w:szCs w:val="22"/>
        </w:rPr>
        <w:t>ПРИОРИТЕТ 2: Ефикасно функционисање тржишта рада;</w:t>
      </w:r>
    </w:p>
    <w:p w:rsidR="00DC17C4" w:rsidRPr="00DC17C4" w:rsidRDefault="00DC17C4" w:rsidP="00DC17C4">
      <w:pPr>
        <w:rPr>
          <w:rFonts w:cs="Arial"/>
          <w:sz w:val="22"/>
          <w:szCs w:val="22"/>
        </w:rPr>
      </w:pPr>
      <w:r w:rsidRPr="00DC17C4">
        <w:rPr>
          <w:rFonts w:cs="Arial"/>
          <w:sz w:val="22"/>
          <w:szCs w:val="22"/>
        </w:rPr>
        <w:t>ПРИОРИТЕТ 3: Унапређење квалификација и компетенција усклађених са потребама тржишта рада;</w:t>
      </w:r>
    </w:p>
    <w:p w:rsidR="00EF77D6" w:rsidRPr="00755716" w:rsidRDefault="00DC17C4" w:rsidP="00DC17C4">
      <w:pPr>
        <w:rPr>
          <w:rFonts w:cs="Arial"/>
          <w:sz w:val="22"/>
          <w:szCs w:val="22"/>
        </w:rPr>
      </w:pPr>
      <w:r w:rsidRPr="00DC17C4">
        <w:rPr>
          <w:rFonts w:cs="Arial"/>
          <w:sz w:val="22"/>
          <w:szCs w:val="22"/>
        </w:rPr>
        <w:t>ПРИОРИТЕТ 4: Промовисање социјалне инклузије и смањење сиромаштв</w:t>
      </w:r>
      <w:r w:rsidR="00755716">
        <w:rPr>
          <w:rFonts w:cs="Arial"/>
          <w:sz w:val="22"/>
          <w:szCs w:val="22"/>
        </w:rPr>
        <w:t>а</w:t>
      </w:r>
    </w:p>
    <w:p w:rsidR="00EF77D6" w:rsidRPr="006A529A" w:rsidRDefault="00DC17C4" w:rsidP="00F0787D">
      <w:pPr>
        <w:shd w:val="clear" w:color="auto" w:fill="FFFFFF" w:themeFill="background1"/>
        <w:jc w:val="both"/>
        <w:rPr>
          <w:rFonts w:eastAsia="Times New Roman" w:cs="Arial"/>
          <w:sz w:val="22"/>
          <w:szCs w:val="22"/>
          <w:shd w:val="clear" w:color="auto" w:fill="FFFFFF" w:themeFill="background1"/>
          <w:lang w:eastAsia="sl-SI"/>
        </w:rPr>
      </w:pPr>
      <w:r w:rsidRPr="00DC17C4">
        <w:rPr>
          <w:rFonts w:cs="Arial"/>
          <w:sz w:val="22"/>
          <w:szCs w:val="22"/>
        </w:rPr>
        <w:lastRenderedPageBreak/>
        <w:t>У процесу израде локалне стратегије запошљавања велика пажња посвећена је питањима знања, вјештина и компетенција које су потребне на тржишту рада, а такође и изазовима у погледу повећања социјалне инклузије и активације рањивих група. Наиме, у Црној Гори према процјени Европске комисије „још увијек не постоји довољна ефикасност и покривеност активних политика тржишта рада које би требало да постоје како би се помогло тражиоцима посла у проналажењу одрживог запослења, са посебним фокусом на преквалификацију и усавршавање”, а такође је потребно “јачање активације и запошљавања изградњом јачих веза између запошљавања и социјалних услуга, као и веза између стручног и високог образовања</w:t>
      </w:r>
      <w:r w:rsidR="00EF77D6" w:rsidRPr="006A529A">
        <w:rPr>
          <w:rFonts w:eastAsia="Times New Roman" w:cs="Arial"/>
          <w:sz w:val="22"/>
          <w:szCs w:val="22"/>
          <w:shd w:val="clear" w:color="auto" w:fill="FFFFFF" w:themeFill="background1"/>
          <w:lang w:eastAsia="sl-SI"/>
        </w:rPr>
        <w:t>«.</w:t>
      </w:r>
      <w:r w:rsidR="00EF77D6" w:rsidRPr="006A529A">
        <w:rPr>
          <w:rStyle w:val="FootnoteReference"/>
          <w:rFonts w:eastAsia="Times New Roman" w:cs="Arial"/>
          <w:sz w:val="22"/>
          <w:szCs w:val="22"/>
          <w:shd w:val="clear" w:color="auto" w:fill="FFFFFF" w:themeFill="background1"/>
          <w:lang w:eastAsia="sl-SI"/>
        </w:rPr>
        <w:footnoteReference w:id="1"/>
      </w:r>
      <w:r w:rsidR="00EF77D6" w:rsidRPr="006A529A">
        <w:rPr>
          <w:rFonts w:eastAsia="Times New Roman" w:cs="Arial"/>
          <w:sz w:val="22"/>
          <w:szCs w:val="22"/>
          <w:shd w:val="clear" w:color="auto" w:fill="FFFFFF" w:themeFill="background1"/>
          <w:lang w:eastAsia="sl-SI"/>
        </w:rPr>
        <w:t xml:space="preserve"> </w:t>
      </w:r>
    </w:p>
    <w:p w:rsidR="00EF77D6" w:rsidRPr="006A529A" w:rsidRDefault="00EF77D6" w:rsidP="000806C3">
      <w:pPr>
        <w:shd w:val="clear" w:color="auto" w:fill="FFFFFF" w:themeFill="background1"/>
        <w:rPr>
          <w:rFonts w:eastAsia="Times New Roman" w:cs="Arial"/>
          <w:sz w:val="22"/>
          <w:szCs w:val="22"/>
          <w:shd w:val="clear" w:color="auto" w:fill="FFFFFF" w:themeFill="background1"/>
          <w:lang w:eastAsia="sl-SI"/>
        </w:rPr>
      </w:pPr>
    </w:p>
    <w:p w:rsidR="00EF77D6" w:rsidRDefault="00DC17C4" w:rsidP="000806C3">
      <w:pPr>
        <w:rPr>
          <w:rFonts w:cs="Arial"/>
          <w:sz w:val="22"/>
          <w:szCs w:val="22"/>
          <w:shd w:val="clear" w:color="auto" w:fill="FFFFFF" w:themeFill="background1"/>
        </w:rPr>
      </w:pPr>
      <w:r w:rsidRPr="00DC17C4">
        <w:rPr>
          <w:rFonts w:cs="Arial"/>
          <w:sz w:val="22"/>
          <w:szCs w:val="22"/>
          <w:shd w:val="clear" w:color="auto" w:fill="FFFFFF" w:themeFill="background1"/>
        </w:rPr>
        <w:t>Зато ова стратегија у највећој могућој мјери стријеми ка унапређењу стања људских ресурса и јачању социјалне инклузије на локалном нивоу, што је такође један од приоритета Националне стратегије одрживог развоја до 2030. године.</w:t>
      </w:r>
    </w:p>
    <w:p w:rsidR="00DC17C4" w:rsidRPr="00DC17C4" w:rsidRDefault="00DC17C4" w:rsidP="000806C3">
      <w:pPr>
        <w:rPr>
          <w:rFonts w:cs="Arial"/>
          <w:sz w:val="22"/>
          <w:szCs w:val="22"/>
        </w:rPr>
      </w:pPr>
    </w:p>
    <w:p w:rsidR="00EF77D6" w:rsidRDefault="00DC17C4" w:rsidP="000806C3">
      <w:pPr>
        <w:rPr>
          <w:rFonts w:cs="Arial"/>
          <w:sz w:val="22"/>
          <w:szCs w:val="22"/>
        </w:rPr>
      </w:pPr>
      <w:r w:rsidRPr="00DC17C4">
        <w:rPr>
          <w:rFonts w:cs="Arial"/>
          <w:sz w:val="22"/>
          <w:szCs w:val="22"/>
        </w:rPr>
        <w:t>Приликом израде документа,  у обзир је узет и стратешки оквир политике запошљавања Европске уније, нарочито Европски стуб социјалних права и његових 20 кључних начел</w:t>
      </w:r>
      <w:r>
        <w:rPr>
          <w:rFonts w:cs="Arial"/>
          <w:sz w:val="22"/>
          <w:szCs w:val="22"/>
        </w:rPr>
        <w:t>а сврстаних у три категорије: (i</w:t>
      </w:r>
      <w:r w:rsidRPr="00DC17C4">
        <w:rPr>
          <w:rFonts w:cs="Arial"/>
          <w:sz w:val="22"/>
          <w:szCs w:val="22"/>
        </w:rPr>
        <w:t>) Једнаке могућн</w:t>
      </w:r>
      <w:r>
        <w:rPr>
          <w:rFonts w:cs="Arial"/>
          <w:sz w:val="22"/>
          <w:szCs w:val="22"/>
        </w:rPr>
        <w:t>ости и приступ тржишту рада, (ii) Праведни услови рада и (iii</w:t>
      </w:r>
      <w:r w:rsidRPr="00DC17C4">
        <w:rPr>
          <w:rFonts w:cs="Arial"/>
          <w:sz w:val="22"/>
          <w:szCs w:val="22"/>
        </w:rPr>
        <w:t xml:space="preserve">) Социјална заштита и инклузија.  </w:t>
      </w:r>
    </w:p>
    <w:p w:rsidR="00DC17C4" w:rsidRPr="00DC17C4" w:rsidRDefault="00DC17C4" w:rsidP="000806C3">
      <w:pPr>
        <w:rPr>
          <w:rFonts w:cs="Arial"/>
          <w:sz w:val="22"/>
          <w:szCs w:val="22"/>
        </w:rPr>
      </w:pPr>
    </w:p>
    <w:p w:rsidR="00DC17C4" w:rsidRDefault="00DC17C4" w:rsidP="000806C3">
      <w:pPr>
        <w:jc w:val="both"/>
        <w:rPr>
          <w:rFonts w:cs="Arial"/>
          <w:sz w:val="22"/>
          <w:szCs w:val="22"/>
        </w:rPr>
      </w:pPr>
      <w:r w:rsidRPr="00DC17C4">
        <w:rPr>
          <w:rFonts w:cs="Arial"/>
          <w:sz w:val="22"/>
          <w:szCs w:val="22"/>
        </w:rPr>
        <w:t>Локална политика запошљавања треба првенствено да допринесе даљем социо-економском развоју општине и реализацији стратешких развојни</w:t>
      </w:r>
      <w:r>
        <w:rPr>
          <w:rFonts w:cs="Arial"/>
          <w:sz w:val="22"/>
          <w:szCs w:val="22"/>
        </w:rPr>
        <w:t>х приоритета општине, а то су (i</w:t>
      </w:r>
      <w:r w:rsidRPr="00DC17C4">
        <w:rPr>
          <w:rFonts w:cs="Arial"/>
          <w:sz w:val="22"/>
          <w:szCs w:val="22"/>
        </w:rPr>
        <w:t>) Уна</w:t>
      </w:r>
      <w:r>
        <w:rPr>
          <w:rFonts w:cs="Arial"/>
          <w:sz w:val="22"/>
          <w:szCs w:val="22"/>
        </w:rPr>
        <w:t>пређење пословног амбијента, (ii</w:t>
      </w:r>
      <w:r w:rsidRPr="00DC17C4">
        <w:rPr>
          <w:rFonts w:cs="Arial"/>
          <w:sz w:val="22"/>
          <w:szCs w:val="22"/>
        </w:rPr>
        <w:t>) Развој пољо</w:t>
      </w:r>
      <w:r>
        <w:rPr>
          <w:rFonts w:cs="Arial"/>
          <w:sz w:val="22"/>
          <w:szCs w:val="22"/>
        </w:rPr>
        <w:t>привреде и рурални развој и (iii</w:t>
      </w:r>
      <w:r w:rsidRPr="00DC17C4">
        <w:rPr>
          <w:rFonts w:cs="Arial"/>
          <w:sz w:val="22"/>
          <w:szCs w:val="22"/>
        </w:rPr>
        <w:t xml:space="preserve">) Промоција туризма и културне баштине.   </w:t>
      </w:r>
    </w:p>
    <w:p w:rsidR="00DF578D" w:rsidRPr="006A529A" w:rsidRDefault="00DC17C4" w:rsidP="000806C3">
      <w:pPr>
        <w:jc w:val="both"/>
        <w:rPr>
          <w:rFonts w:cs="Arial"/>
          <w:sz w:val="22"/>
          <w:szCs w:val="22"/>
        </w:rPr>
      </w:pPr>
      <w:r w:rsidRPr="00DC17C4">
        <w:rPr>
          <w:rFonts w:cs="Arial"/>
          <w:sz w:val="22"/>
          <w:szCs w:val="22"/>
        </w:rPr>
        <w:t xml:space="preserve"> </w:t>
      </w:r>
    </w:p>
    <w:p w:rsidR="00EF77D6" w:rsidRPr="006A529A" w:rsidRDefault="00DC17C4" w:rsidP="000806C3">
      <w:pPr>
        <w:rPr>
          <w:rFonts w:cs="Arial"/>
          <w:sz w:val="22"/>
          <w:szCs w:val="22"/>
        </w:rPr>
      </w:pPr>
      <w:r w:rsidRPr="00DC17C4">
        <w:rPr>
          <w:rFonts w:cs="Arial"/>
          <w:sz w:val="22"/>
          <w:szCs w:val="22"/>
        </w:rPr>
        <w:t>Унапређење запошљавања и развој људских ресурса су кључни и неизоставни кораци у даљем социо-економском развоју Берана, а то је и сврха ове стратегије.</w:t>
      </w:r>
      <w:r w:rsidR="00EF77D6" w:rsidRPr="006A529A">
        <w:rPr>
          <w:rFonts w:cs="Arial"/>
          <w:sz w:val="22"/>
          <w:szCs w:val="22"/>
        </w:rPr>
        <w:br w:type="page"/>
      </w:r>
    </w:p>
    <w:tbl>
      <w:tblPr>
        <w:tblStyle w:val="TableGrid"/>
        <w:tblW w:w="9562" w:type="dxa"/>
        <w:tblBorders>
          <w:top w:val="dotted" w:sz="4" w:space="0" w:color="FFFF66"/>
          <w:left w:val="dotted" w:sz="4" w:space="0" w:color="FFFF66"/>
          <w:bottom w:val="dotted" w:sz="4" w:space="0" w:color="FFFF66"/>
          <w:right w:val="dotted" w:sz="4" w:space="0" w:color="FFFF66"/>
          <w:insideH w:val="dotted" w:sz="4" w:space="0" w:color="FFFF66"/>
          <w:insideV w:val="dotted" w:sz="4" w:space="0" w:color="FFFF66"/>
        </w:tblBorders>
        <w:tblLook w:val="04A0"/>
      </w:tblPr>
      <w:tblGrid>
        <w:gridCol w:w="9562"/>
      </w:tblGrid>
      <w:tr w:rsidR="00632C13" w:rsidRPr="006A529A" w:rsidTr="00BB5974">
        <w:trPr>
          <w:trHeight w:val="260"/>
        </w:trPr>
        <w:tc>
          <w:tcPr>
            <w:tcW w:w="9562" w:type="dxa"/>
            <w:tcBorders>
              <w:top w:val="nil"/>
              <w:left w:val="nil"/>
              <w:bottom w:val="nil"/>
              <w:right w:val="nil"/>
            </w:tcBorders>
            <w:shd w:val="clear" w:color="auto" w:fill="FFFFFF" w:themeFill="background1"/>
          </w:tcPr>
          <w:p w:rsidR="00632C13" w:rsidRPr="006A529A" w:rsidRDefault="00DF3799" w:rsidP="000806C3">
            <w:pPr>
              <w:pStyle w:val="Heading1"/>
              <w:numPr>
                <w:ilvl w:val="0"/>
                <w:numId w:val="6"/>
              </w:numPr>
              <w:spacing w:before="0"/>
              <w:ind w:left="318"/>
              <w:rPr>
                <w:rFonts w:cs="Arial"/>
                <w:bCs/>
                <w:sz w:val="22"/>
                <w:szCs w:val="22"/>
              </w:rPr>
            </w:pPr>
            <w:bookmarkStart w:id="5" w:name="_Toc44873742"/>
            <w:bookmarkStart w:id="6" w:name="_Toc52644724"/>
            <w:bookmarkStart w:id="7" w:name="_Toc74296638"/>
            <w:r>
              <w:lastRenderedPageBreak/>
              <w:t>СОЦИО-ЕКОНОМСКА СИТУАЦИЈА</w:t>
            </w:r>
            <w:bookmarkEnd w:id="5"/>
            <w:bookmarkEnd w:id="6"/>
            <w:bookmarkEnd w:id="7"/>
          </w:p>
        </w:tc>
      </w:tr>
    </w:tbl>
    <w:p w:rsidR="000951AD" w:rsidRPr="006A529A" w:rsidRDefault="000951AD" w:rsidP="000806C3">
      <w:pPr>
        <w:rPr>
          <w:rFonts w:cs="Arial"/>
          <w:b/>
          <w:bCs/>
          <w:sz w:val="22"/>
          <w:szCs w:val="22"/>
        </w:rPr>
      </w:pPr>
    </w:p>
    <w:p w:rsidR="006A529A" w:rsidRDefault="006A529A" w:rsidP="000806C3">
      <w:pPr>
        <w:pStyle w:val="Heading2"/>
        <w:spacing w:before="0"/>
        <w:rPr>
          <w:lang w:val="hr-HR"/>
        </w:rPr>
      </w:pPr>
      <w:bookmarkStart w:id="8" w:name="_Toc74296639"/>
      <w:r w:rsidRPr="006A529A">
        <w:rPr>
          <w:lang w:val="hr-HR"/>
        </w:rPr>
        <w:t xml:space="preserve">2.1 </w:t>
      </w:r>
      <w:r w:rsidR="00DF3799">
        <w:t>Географски положај општине</w:t>
      </w:r>
      <w:bookmarkEnd w:id="8"/>
      <w:r w:rsidRPr="006A529A">
        <w:rPr>
          <w:lang w:val="hr-HR"/>
        </w:rPr>
        <w:t xml:space="preserve"> </w:t>
      </w:r>
    </w:p>
    <w:p w:rsidR="000806C3" w:rsidRPr="000806C3" w:rsidRDefault="000806C3" w:rsidP="000806C3">
      <w:pPr>
        <w:rPr>
          <w:lang w:val="hr-HR"/>
        </w:rPr>
      </w:pPr>
    </w:p>
    <w:p w:rsidR="00DF3799" w:rsidRPr="00DF3799" w:rsidRDefault="00DF3799" w:rsidP="00DF3799">
      <w:pPr>
        <w:jc w:val="both"/>
        <w:rPr>
          <w:sz w:val="22"/>
          <w:szCs w:val="22"/>
        </w:rPr>
      </w:pPr>
    </w:p>
    <w:p w:rsidR="006A529A" w:rsidRPr="006A529A" w:rsidRDefault="00DF3799" w:rsidP="00DF3799">
      <w:pPr>
        <w:jc w:val="both"/>
        <w:rPr>
          <w:sz w:val="22"/>
          <w:szCs w:val="22"/>
        </w:rPr>
      </w:pPr>
      <w:r w:rsidRPr="00DF3799">
        <w:rPr>
          <w:sz w:val="22"/>
          <w:szCs w:val="22"/>
        </w:rPr>
        <w:t>Општина Беране припада Сјеверном региону Црне Горе. Налази се на сјевероисточном дијелу земље и захвата сјеверни дио Горњег Полимља. Општина се граничи на југу са Андријевицом, на истоку са општином Рожаје, а на сјеверу се граничи са општинама Бијело Поље и Петњица. Западна граница општине је на највишим врховима планина, међу којима је и Бјеласица. Ту се општина граничи са општинама Мојковац и Колашин. Долина Берана протеже се на 9 километара, широка 3 до 5 километара. Ријека Лим тече усред долине, што представља значајан економски хидропотенцијал општине. Поред Лима, хидрографску мрежу чине бројни водотоци, језера и извори. Међу њима се истичу ледничка језера Релативно повољни климатски услови добра су основа и предуслов за развој пољопривреде</w:t>
      </w:r>
      <w:r>
        <w:rPr>
          <w:sz w:val="22"/>
          <w:szCs w:val="22"/>
        </w:rPr>
        <w:t xml:space="preserve"> и туризма</w:t>
      </w:r>
      <w:r w:rsidR="006A529A" w:rsidRPr="006A529A">
        <w:rPr>
          <w:sz w:val="22"/>
          <w:szCs w:val="22"/>
        </w:rPr>
        <w:t>.</w:t>
      </w:r>
      <w:r w:rsidR="006A529A" w:rsidRPr="006A529A">
        <w:rPr>
          <w:rStyle w:val="FootnoteReference"/>
          <w:sz w:val="22"/>
          <w:szCs w:val="22"/>
        </w:rPr>
        <w:footnoteReference w:id="2"/>
      </w:r>
    </w:p>
    <w:p w:rsidR="006A529A" w:rsidRPr="006A529A" w:rsidRDefault="006A529A" w:rsidP="000806C3">
      <w:pPr>
        <w:rPr>
          <w:rFonts w:cs="Arial"/>
          <w:b/>
          <w:bCs/>
          <w:sz w:val="22"/>
          <w:szCs w:val="22"/>
          <w:lang w:val="hr-HR"/>
        </w:rPr>
      </w:pPr>
    </w:p>
    <w:p w:rsidR="006A529A" w:rsidRDefault="006A529A" w:rsidP="00DF3799">
      <w:pPr>
        <w:pStyle w:val="Heading2"/>
        <w:spacing w:before="0"/>
        <w:rPr>
          <w:rFonts w:cs="Arial"/>
        </w:rPr>
      </w:pPr>
      <w:bookmarkStart w:id="9" w:name="_Toc44873743"/>
      <w:bookmarkStart w:id="10" w:name="_Toc52644725"/>
      <w:bookmarkStart w:id="11" w:name="_Toc74296640"/>
      <w:r w:rsidRPr="006A529A">
        <w:rPr>
          <w:rFonts w:cs="Arial"/>
        </w:rPr>
        <w:t xml:space="preserve">2.2 </w:t>
      </w:r>
      <w:bookmarkEnd w:id="9"/>
      <w:bookmarkEnd w:id="10"/>
      <w:r w:rsidR="00DF3799">
        <w:rPr>
          <w:rFonts w:cs="Arial"/>
        </w:rPr>
        <w:t>Демографска слика</w:t>
      </w:r>
      <w:bookmarkEnd w:id="11"/>
    </w:p>
    <w:p w:rsidR="00DF3799" w:rsidRPr="00DF3799" w:rsidRDefault="00DF3799" w:rsidP="00DF3799"/>
    <w:p w:rsidR="00DF3799" w:rsidRPr="00DF3799" w:rsidRDefault="00DF3799" w:rsidP="00DF3799">
      <w:pPr>
        <w:jc w:val="both"/>
        <w:rPr>
          <w:color w:val="000000" w:themeColor="text1"/>
          <w:sz w:val="22"/>
          <w:szCs w:val="22"/>
        </w:rPr>
      </w:pPr>
      <w:r w:rsidRPr="00DF3799">
        <w:rPr>
          <w:color w:val="000000" w:themeColor="text1"/>
          <w:sz w:val="22"/>
          <w:szCs w:val="22"/>
        </w:rPr>
        <w:t xml:space="preserve">Према процјенама МОНСТАТ-а, популација ове општине је у 2019. години износила 26.632, што је чинило приближно 4,3% укупне популације Црне Горе и око 16,3% популације Сјеверног региона. Приближно је једнак број мушкараца и жена. Просјечна старост становништва у општини Беране је износила 36,4 година, што је нешто мање у односу на просјечну старост у Црној Гори (37,2 година). </w:t>
      </w:r>
    </w:p>
    <w:p w:rsidR="006A529A" w:rsidRDefault="00DF3799" w:rsidP="00DF3799">
      <w:pPr>
        <w:jc w:val="both"/>
        <w:rPr>
          <w:color w:val="000000" w:themeColor="text1"/>
          <w:sz w:val="22"/>
          <w:szCs w:val="22"/>
        </w:rPr>
      </w:pPr>
      <w:r w:rsidRPr="00DF3799">
        <w:rPr>
          <w:color w:val="000000" w:themeColor="text1"/>
          <w:sz w:val="22"/>
          <w:szCs w:val="22"/>
        </w:rPr>
        <w:t>Укупан број становника у Беранама се претходних година смањивао, тако да је у периоду од 2011. до 2019. године укупан број становника пао за чак 21,6%. Главни узрок оваквог смањења је издвајање општине Петњица из општине Беране, 2013. године.</w:t>
      </w:r>
    </w:p>
    <w:p w:rsidR="00DF3799" w:rsidRPr="00DF3799" w:rsidRDefault="00DF3799" w:rsidP="00DF3799">
      <w:pPr>
        <w:jc w:val="both"/>
        <w:rPr>
          <w:color w:val="000000" w:themeColor="text1"/>
          <w:sz w:val="22"/>
          <w:szCs w:val="22"/>
        </w:rPr>
      </w:pPr>
    </w:p>
    <w:p w:rsidR="00C954A0" w:rsidRDefault="00DF3799" w:rsidP="00DF3799">
      <w:pPr>
        <w:rPr>
          <w:rFonts w:cs="Arial"/>
          <w:color w:val="000000" w:themeColor="text1"/>
          <w:szCs w:val="20"/>
        </w:rPr>
      </w:pPr>
      <w:r w:rsidRPr="00DF3799">
        <w:rPr>
          <w:rFonts w:cs="Arial"/>
          <w:color w:val="000000" w:themeColor="text1"/>
          <w:szCs w:val="20"/>
        </w:rPr>
        <w:t>График 1: Процјена броја становника општине Беране, средином године</w:t>
      </w:r>
    </w:p>
    <w:p w:rsidR="00437065" w:rsidRDefault="00437065" w:rsidP="000806C3">
      <w:pPr>
        <w:jc w:val="center"/>
        <w:rPr>
          <w:rFonts w:cs="Arial"/>
          <w:color w:val="000000" w:themeColor="text1"/>
          <w:szCs w:val="20"/>
        </w:rPr>
      </w:pPr>
      <w:r>
        <w:rPr>
          <w:noProof/>
          <w:lang w:val="en-US"/>
        </w:rPr>
        <w:drawing>
          <wp:inline distT="0" distB="0" distL="0" distR="0">
            <wp:extent cx="5322916" cy="1803400"/>
            <wp:effectExtent l="0" t="0" r="11430" b="6350"/>
            <wp:docPr id="9" name="Grafikon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F5A34F7-CCB6-43E3-9925-98484CDFB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A529A" w:rsidRPr="00D11296" w:rsidRDefault="00A92B0E" w:rsidP="000806C3">
      <w:pPr>
        <w:jc w:val="right"/>
        <w:rPr>
          <w:rFonts w:cs="Arial"/>
          <w:i/>
          <w:color w:val="000000" w:themeColor="text1"/>
          <w:sz w:val="18"/>
        </w:rPr>
      </w:pPr>
      <w:r>
        <w:rPr>
          <w:rFonts w:cs="Arial"/>
          <w:i/>
          <w:color w:val="000000" w:themeColor="text1"/>
          <w:sz w:val="18"/>
        </w:rPr>
        <w:t>Извор</w:t>
      </w:r>
      <w:r w:rsidR="006A529A" w:rsidRPr="00D11296">
        <w:rPr>
          <w:rFonts w:cs="Arial"/>
          <w:i/>
          <w:color w:val="000000" w:themeColor="text1"/>
          <w:sz w:val="18"/>
        </w:rPr>
        <w:t>: MONSTAT</w:t>
      </w:r>
    </w:p>
    <w:p w:rsidR="006A529A" w:rsidRPr="006A529A" w:rsidRDefault="006A529A" w:rsidP="000806C3">
      <w:pPr>
        <w:shd w:val="clear" w:color="auto" w:fill="FFFFFF" w:themeFill="background1"/>
        <w:jc w:val="both"/>
        <w:rPr>
          <w:color w:val="000000" w:themeColor="text1"/>
          <w:sz w:val="22"/>
          <w:szCs w:val="22"/>
          <w:shd w:val="clear" w:color="auto" w:fill="FFFFFF" w:themeFill="background1"/>
        </w:rPr>
      </w:pPr>
    </w:p>
    <w:p w:rsidR="00C954A0" w:rsidRDefault="00DF3799" w:rsidP="000806C3">
      <w:pPr>
        <w:jc w:val="both"/>
        <w:rPr>
          <w:sz w:val="22"/>
          <w:szCs w:val="22"/>
        </w:rPr>
      </w:pPr>
      <w:r w:rsidRPr="00DF3799">
        <w:rPr>
          <w:sz w:val="22"/>
          <w:szCs w:val="22"/>
        </w:rPr>
        <w:t>Ипак, Стратешки план развоја Општине Беране за период 2019-2023. даје процјене становништва Берана у 2011. години када се издвоји популација насеља која припадају Петњици. Тако се долази до податка да је у 2011. години број становника Берана износио 28.488. То значи да је укупна популација ове општине (без Петњице) у посматраном периоду 2011-2019 смањена за 6,5%. Ово смањење је искључиво посљедица емиграција из ове општине, с обзиром на то да је природни прираштај до 2017. године био углавном позитиван. Ипак, у периоду 2017-2019, општина биљежи и растући негативан природни прираштај што је додатно утицало на смањење укупне популације Берана за 0,5%.</w:t>
      </w:r>
    </w:p>
    <w:p w:rsidR="00DF3799" w:rsidRPr="00DF3799" w:rsidRDefault="00DF3799" w:rsidP="000806C3">
      <w:pPr>
        <w:jc w:val="both"/>
        <w:rPr>
          <w:color w:val="000000" w:themeColor="text1"/>
          <w:sz w:val="22"/>
          <w:szCs w:val="22"/>
        </w:rPr>
      </w:pPr>
    </w:p>
    <w:p w:rsidR="00DF3799" w:rsidRDefault="00DF3799" w:rsidP="00DF3799">
      <w:pPr>
        <w:jc w:val="both"/>
        <w:rPr>
          <w:color w:val="000000" w:themeColor="text1"/>
          <w:sz w:val="22"/>
          <w:szCs w:val="22"/>
        </w:rPr>
      </w:pPr>
      <w:r w:rsidRPr="00DF3799">
        <w:rPr>
          <w:color w:val="000000" w:themeColor="text1"/>
          <w:sz w:val="22"/>
          <w:szCs w:val="22"/>
        </w:rPr>
        <w:t xml:space="preserve">Кад су у питању унутрашње миграције, на основу података из 2019. године може се закључити да се становништво из Берана доминантно сели у Подгорицу (40%) и општине </w:t>
      </w:r>
      <w:r w:rsidRPr="00DF3799">
        <w:rPr>
          <w:color w:val="000000" w:themeColor="text1"/>
          <w:sz w:val="22"/>
          <w:szCs w:val="22"/>
        </w:rPr>
        <w:lastRenderedPageBreak/>
        <w:t>Приморског региона - приближно 38% (међу њима се издваја Будва за скоро 15% свих одсељених из Берана). Такође, значајан број одсељених је у општине Сјеверног региона (преко петине свих одсељених). Кад је ријеч о досељењима, предњаче они који се у Беране досељавају из Сјеверног региона (53,6% свих досељених у 2019. години). Највећи број досељених је из Андријевице (20,8% свих досељених) и Подгорице (24%).</w:t>
      </w:r>
    </w:p>
    <w:p w:rsidR="00DF3799" w:rsidRPr="00DF3799" w:rsidRDefault="00DF3799" w:rsidP="00DF3799">
      <w:pPr>
        <w:rPr>
          <w:color w:val="000000" w:themeColor="text1"/>
          <w:szCs w:val="20"/>
        </w:rPr>
      </w:pPr>
    </w:p>
    <w:p w:rsidR="00C954A0" w:rsidRPr="00DF3799" w:rsidRDefault="00DF3799" w:rsidP="00DF3799">
      <w:pPr>
        <w:rPr>
          <w:color w:val="000000" w:themeColor="text1"/>
          <w:szCs w:val="20"/>
        </w:rPr>
      </w:pPr>
      <w:r w:rsidRPr="00DF3799">
        <w:rPr>
          <w:color w:val="000000" w:themeColor="text1"/>
          <w:szCs w:val="20"/>
        </w:rPr>
        <w:t>Табела 1: Природни прираштај и унутрашње миграције</w:t>
      </w:r>
    </w:p>
    <w:p w:rsidR="00DF3799" w:rsidRPr="006A529A" w:rsidRDefault="00DF3799" w:rsidP="00DF3799">
      <w:pPr>
        <w:rPr>
          <w:rFonts w:cs="Arial"/>
          <w:color w:val="000000" w:themeColor="text1"/>
          <w:szCs w:val="20"/>
        </w:rPr>
      </w:pPr>
    </w:p>
    <w:tbl>
      <w:tblPr>
        <w:tblStyle w:val="TableGrid"/>
        <w:tblW w:w="4413" w:type="pct"/>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92"/>
        <w:gridCol w:w="1085"/>
        <w:gridCol w:w="1773"/>
        <w:gridCol w:w="2076"/>
        <w:gridCol w:w="1921"/>
      </w:tblGrid>
      <w:tr w:rsidR="006A529A" w:rsidRPr="006A529A" w:rsidTr="00C43791">
        <w:trPr>
          <w:trHeight w:val="270"/>
        </w:trPr>
        <w:tc>
          <w:tcPr>
            <w:tcW w:w="901" w:type="pct"/>
            <w:vMerge w:val="restart"/>
            <w:shd w:val="clear" w:color="auto" w:fill="BFBFBF" w:themeFill="background1" w:themeFillShade="BF"/>
          </w:tcPr>
          <w:p w:rsidR="006A529A" w:rsidRPr="0013406A" w:rsidRDefault="0013406A" w:rsidP="000806C3">
            <w:pPr>
              <w:jc w:val="both"/>
              <w:rPr>
                <w:rFonts w:cs="Arial"/>
                <w:color w:val="000000" w:themeColor="text1"/>
                <w:sz w:val="18"/>
              </w:rPr>
            </w:pPr>
            <w:r>
              <w:rPr>
                <w:rFonts w:cs="Arial"/>
                <w:color w:val="000000" w:themeColor="text1"/>
                <w:sz w:val="18"/>
              </w:rPr>
              <w:t>Година</w:t>
            </w:r>
          </w:p>
        </w:tc>
        <w:tc>
          <w:tcPr>
            <w:tcW w:w="621" w:type="pct"/>
            <w:vMerge w:val="restart"/>
            <w:shd w:val="clear" w:color="auto" w:fill="BFBFBF" w:themeFill="background1" w:themeFillShade="BF"/>
          </w:tcPr>
          <w:p w:rsidR="006A529A" w:rsidRPr="0013406A" w:rsidRDefault="0013406A" w:rsidP="000806C3">
            <w:pPr>
              <w:jc w:val="both"/>
              <w:rPr>
                <w:rFonts w:cs="Arial"/>
                <w:color w:val="000000" w:themeColor="text1"/>
                <w:sz w:val="18"/>
              </w:rPr>
            </w:pPr>
            <w:r>
              <w:rPr>
                <w:rFonts w:cs="Arial"/>
                <w:color w:val="000000" w:themeColor="text1"/>
                <w:sz w:val="18"/>
              </w:rPr>
              <w:t>Природни прираштај</w:t>
            </w:r>
          </w:p>
        </w:tc>
        <w:tc>
          <w:tcPr>
            <w:tcW w:w="3478" w:type="pct"/>
            <w:gridSpan w:val="3"/>
            <w:shd w:val="clear" w:color="auto" w:fill="BFBFBF" w:themeFill="background1" w:themeFillShade="BF"/>
          </w:tcPr>
          <w:p w:rsidR="006A529A" w:rsidRPr="0013406A" w:rsidRDefault="0013406A" w:rsidP="000806C3">
            <w:pPr>
              <w:jc w:val="center"/>
              <w:rPr>
                <w:rFonts w:cs="Arial"/>
                <w:color w:val="000000" w:themeColor="text1"/>
                <w:sz w:val="18"/>
              </w:rPr>
            </w:pPr>
            <w:r>
              <w:rPr>
                <w:rFonts w:cs="Arial"/>
                <w:color w:val="000000" w:themeColor="text1"/>
                <w:sz w:val="18"/>
              </w:rPr>
              <w:t>УНУТРАШЊЕ МИГРАЦИЈЕ</w:t>
            </w:r>
          </w:p>
        </w:tc>
      </w:tr>
      <w:tr w:rsidR="006A529A" w:rsidRPr="006A529A" w:rsidTr="00C43791">
        <w:trPr>
          <w:trHeight w:val="255"/>
        </w:trPr>
        <w:tc>
          <w:tcPr>
            <w:tcW w:w="901" w:type="pct"/>
            <w:vMerge/>
            <w:tcBorders>
              <w:bottom w:val="single" w:sz="4" w:space="0" w:color="BFBFBF" w:themeColor="background1" w:themeShade="BF"/>
            </w:tcBorders>
            <w:shd w:val="clear" w:color="auto" w:fill="BFBFBF" w:themeFill="background1" w:themeFillShade="BF"/>
          </w:tcPr>
          <w:p w:rsidR="006A529A" w:rsidRPr="006A529A" w:rsidRDefault="006A529A" w:rsidP="000806C3">
            <w:pPr>
              <w:jc w:val="both"/>
              <w:rPr>
                <w:rFonts w:cs="Arial"/>
                <w:color w:val="000000" w:themeColor="text1"/>
                <w:szCs w:val="20"/>
              </w:rPr>
            </w:pPr>
          </w:p>
        </w:tc>
        <w:tc>
          <w:tcPr>
            <w:tcW w:w="621" w:type="pct"/>
            <w:vMerge/>
            <w:tcBorders>
              <w:bottom w:val="single" w:sz="4" w:space="0" w:color="BFBFBF" w:themeColor="background1" w:themeShade="BF"/>
            </w:tcBorders>
            <w:shd w:val="clear" w:color="auto" w:fill="BFBFBF" w:themeFill="background1" w:themeFillShade="BF"/>
          </w:tcPr>
          <w:p w:rsidR="006A529A" w:rsidRPr="006A529A" w:rsidRDefault="006A529A" w:rsidP="000806C3">
            <w:pPr>
              <w:jc w:val="both"/>
              <w:rPr>
                <w:rFonts w:cs="Arial"/>
                <w:color w:val="000000" w:themeColor="text1"/>
                <w:sz w:val="18"/>
              </w:rPr>
            </w:pPr>
          </w:p>
        </w:tc>
        <w:tc>
          <w:tcPr>
            <w:tcW w:w="1069" w:type="pct"/>
            <w:tcBorders>
              <w:bottom w:val="single" w:sz="4" w:space="0" w:color="BFBFBF" w:themeColor="background1" w:themeShade="BF"/>
            </w:tcBorders>
            <w:shd w:val="clear" w:color="auto" w:fill="BFBFBF" w:themeFill="background1" w:themeFillShade="BF"/>
          </w:tcPr>
          <w:p w:rsidR="006A529A" w:rsidRPr="0013406A" w:rsidRDefault="0013406A" w:rsidP="000806C3">
            <w:pPr>
              <w:jc w:val="center"/>
              <w:rPr>
                <w:rFonts w:cs="Arial"/>
                <w:color w:val="000000" w:themeColor="text1"/>
                <w:sz w:val="18"/>
              </w:rPr>
            </w:pPr>
            <w:r>
              <w:rPr>
                <w:rFonts w:cs="Arial"/>
                <w:color w:val="000000" w:themeColor="text1"/>
                <w:sz w:val="18"/>
              </w:rPr>
              <w:t>Досељени</w:t>
            </w:r>
          </w:p>
        </w:tc>
        <w:tc>
          <w:tcPr>
            <w:tcW w:w="1251" w:type="pct"/>
            <w:tcBorders>
              <w:bottom w:val="single" w:sz="4" w:space="0" w:color="BFBFBF" w:themeColor="background1" w:themeShade="BF"/>
            </w:tcBorders>
            <w:shd w:val="clear" w:color="auto" w:fill="BFBFBF" w:themeFill="background1" w:themeFillShade="BF"/>
          </w:tcPr>
          <w:p w:rsidR="006A529A" w:rsidRPr="0013406A" w:rsidRDefault="0013406A" w:rsidP="000806C3">
            <w:pPr>
              <w:jc w:val="center"/>
              <w:rPr>
                <w:rFonts w:cs="Arial"/>
                <w:color w:val="000000" w:themeColor="text1"/>
                <w:sz w:val="18"/>
              </w:rPr>
            </w:pPr>
            <w:r>
              <w:rPr>
                <w:rFonts w:cs="Arial"/>
                <w:color w:val="000000" w:themeColor="text1"/>
                <w:sz w:val="18"/>
              </w:rPr>
              <w:t>Одсељени</w:t>
            </w:r>
          </w:p>
        </w:tc>
        <w:tc>
          <w:tcPr>
            <w:tcW w:w="1158" w:type="pct"/>
            <w:tcBorders>
              <w:bottom w:val="single" w:sz="4" w:space="0" w:color="BFBFBF" w:themeColor="background1" w:themeShade="BF"/>
            </w:tcBorders>
            <w:shd w:val="clear" w:color="auto" w:fill="BFBFBF" w:themeFill="background1" w:themeFillShade="BF"/>
          </w:tcPr>
          <w:p w:rsidR="006A529A" w:rsidRPr="0013406A" w:rsidRDefault="0013406A" w:rsidP="000806C3">
            <w:pPr>
              <w:jc w:val="center"/>
              <w:rPr>
                <w:rFonts w:cs="Arial"/>
                <w:color w:val="000000" w:themeColor="text1"/>
                <w:sz w:val="18"/>
              </w:rPr>
            </w:pPr>
            <w:r>
              <w:rPr>
                <w:rFonts w:cs="Arial"/>
                <w:color w:val="000000" w:themeColor="text1"/>
                <w:sz w:val="18"/>
              </w:rPr>
              <w:t>Миграциони салдо</w:t>
            </w:r>
          </w:p>
        </w:tc>
      </w:tr>
      <w:tr w:rsidR="006A529A" w:rsidRPr="006A529A" w:rsidTr="00C43791">
        <w:trPr>
          <w:trHeight w:val="270"/>
        </w:trPr>
        <w:tc>
          <w:tcPr>
            <w:tcW w:w="90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both"/>
              <w:rPr>
                <w:rFonts w:cs="Arial"/>
                <w:color w:val="000000" w:themeColor="text1"/>
                <w:sz w:val="18"/>
              </w:rPr>
            </w:pPr>
            <w:r w:rsidRPr="006A529A">
              <w:rPr>
                <w:rFonts w:cs="Arial"/>
                <w:color w:val="000000" w:themeColor="text1"/>
                <w:sz w:val="18"/>
              </w:rPr>
              <w:t>2011.</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themeColor="text1"/>
                <w:sz w:val="18"/>
              </w:rPr>
            </w:pPr>
            <w:r w:rsidRPr="006A529A">
              <w:rPr>
                <w:rFonts w:cs="Arial"/>
                <w:color w:val="000000" w:themeColor="text1"/>
                <w:sz w:val="18"/>
              </w:rPr>
              <w:t>29</w:t>
            </w:r>
          </w:p>
        </w:tc>
        <w:tc>
          <w:tcPr>
            <w:tcW w:w="1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sz w:val="18"/>
                <w:lang w:val="sl-SI"/>
              </w:rPr>
            </w:pPr>
            <w:r w:rsidRPr="006A529A">
              <w:rPr>
                <w:rFonts w:cs="Arial"/>
                <w:color w:val="000000"/>
                <w:sz w:val="18"/>
                <w:lang w:val="sl-SI"/>
              </w:rPr>
              <w:t>173</w:t>
            </w:r>
          </w:p>
        </w:tc>
        <w:tc>
          <w:tcPr>
            <w:tcW w:w="1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sz w:val="18"/>
              </w:rPr>
            </w:pPr>
            <w:r w:rsidRPr="006A529A">
              <w:rPr>
                <w:rFonts w:cs="Arial"/>
                <w:color w:val="000000"/>
                <w:sz w:val="18"/>
              </w:rPr>
              <w:t>389</w:t>
            </w:r>
          </w:p>
        </w:tc>
        <w:tc>
          <w:tcPr>
            <w:tcW w:w="1158"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A529A" w:rsidRPr="006A529A" w:rsidRDefault="006A529A" w:rsidP="000806C3">
            <w:pPr>
              <w:jc w:val="center"/>
              <w:rPr>
                <w:rFonts w:cs="Arial"/>
                <w:color w:val="000000"/>
                <w:sz w:val="18"/>
              </w:rPr>
            </w:pPr>
            <w:r w:rsidRPr="006A529A">
              <w:rPr>
                <w:rFonts w:cs="Arial"/>
                <w:color w:val="000000"/>
                <w:sz w:val="18"/>
              </w:rPr>
              <w:t>-216</w:t>
            </w:r>
          </w:p>
        </w:tc>
      </w:tr>
      <w:tr w:rsidR="006A529A" w:rsidRPr="006A529A" w:rsidTr="00C43791">
        <w:trPr>
          <w:trHeight w:val="255"/>
        </w:trPr>
        <w:tc>
          <w:tcPr>
            <w:tcW w:w="90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both"/>
              <w:rPr>
                <w:rFonts w:cs="Arial"/>
                <w:color w:val="000000" w:themeColor="text1"/>
                <w:sz w:val="18"/>
              </w:rPr>
            </w:pPr>
            <w:r w:rsidRPr="006A529A">
              <w:rPr>
                <w:rFonts w:cs="Arial"/>
                <w:color w:val="000000" w:themeColor="text1"/>
                <w:sz w:val="18"/>
              </w:rPr>
              <w:t>2016.</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themeColor="text1"/>
                <w:sz w:val="18"/>
              </w:rPr>
            </w:pPr>
            <w:r w:rsidRPr="006A529A">
              <w:rPr>
                <w:rFonts w:cs="Arial"/>
                <w:color w:val="000000" w:themeColor="text1"/>
                <w:sz w:val="18"/>
              </w:rPr>
              <w:t>27</w:t>
            </w:r>
          </w:p>
        </w:tc>
        <w:tc>
          <w:tcPr>
            <w:tcW w:w="1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sz w:val="18"/>
                <w:lang w:val="sl-SI"/>
              </w:rPr>
            </w:pPr>
            <w:r w:rsidRPr="006A529A">
              <w:rPr>
                <w:rFonts w:cs="Arial"/>
                <w:color w:val="000000"/>
                <w:sz w:val="18"/>
                <w:lang w:val="sl-SI"/>
              </w:rPr>
              <w:t>135</w:t>
            </w:r>
          </w:p>
        </w:tc>
        <w:tc>
          <w:tcPr>
            <w:tcW w:w="1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sz w:val="18"/>
              </w:rPr>
            </w:pPr>
            <w:r w:rsidRPr="006A529A">
              <w:rPr>
                <w:rFonts w:cs="Arial"/>
                <w:color w:val="000000"/>
                <w:sz w:val="18"/>
              </w:rPr>
              <w:t>360</w:t>
            </w:r>
          </w:p>
        </w:tc>
        <w:tc>
          <w:tcPr>
            <w:tcW w:w="1158"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A529A" w:rsidRPr="006A529A" w:rsidRDefault="006A529A" w:rsidP="000806C3">
            <w:pPr>
              <w:jc w:val="center"/>
              <w:rPr>
                <w:rFonts w:cs="Arial"/>
                <w:color w:val="000000"/>
                <w:sz w:val="18"/>
              </w:rPr>
            </w:pPr>
            <w:r w:rsidRPr="006A529A">
              <w:rPr>
                <w:rFonts w:cs="Arial"/>
                <w:color w:val="000000"/>
                <w:sz w:val="18"/>
              </w:rPr>
              <w:t>-225</w:t>
            </w:r>
          </w:p>
        </w:tc>
      </w:tr>
      <w:tr w:rsidR="006A529A" w:rsidRPr="006A529A" w:rsidTr="00C43791">
        <w:trPr>
          <w:trHeight w:val="270"/>
        </w:trPr>
        <w:tc>
          <w:tcPr>
            <w:tcW w:w="90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both"/>
              <w:rPr>
                <w:rFonts w:cs="Arial"/>
                <w:color w:val="000000" w:themeColor="text1"/>
                <w:sz w:val="18"/>
              </w:rPr>
            </w:pPr>
            <w:r w:rsidRPr="006A529A">
              <w:rPr>
                <w:rFonts w:cs="Arial"/>
                <w:color w:val="000000" w:themeColor="text1"/>
                <w:sz w:val="18"/>
              </w:rPr>
              <w:t>2018.</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themeColor="text1"/>
                <w:sz w:val="18"/>
              </w:rPr>
            </w:pPr>
            <w:r w:rsidRPr="006A529A">
              <w:rPr>
                <w:rFonts w:cs="Arial"/>
                <w:color w:val="000000" w:themeColor="text1"/>
                <w:sz w:val="18"/>
              </w:rPr>
              <w:t>-52</w:t>
            </w:r>
          </w:p>
        </w:tc>
        <w:tc>
          <w:tcPr>
            <w:tcW w:w="1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sz w:val="18"/>
                <w:lang w:val="sl-SI"/>
              </w:rPr>
            </w:pPr>
            <w:r w:rsidRPr="006A529A">
              <w:rPr>
                <w:rFonts w:cs="Arial"/>
                <w:color w:val="000000"/>
                <w:sz w:val="18"/>
                <w:lang w:val="sl-SI"/>
              </w:rPr>
              <w:t>170</w:t>
            </w:r>
          </w:p>
        </w:tc>
        <w:tc>
          <w:tcPr>
            <w:tcW w:w="1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sz w:val="18"/>
              </w:rPr>
            </w:pPr>
            <w:r w:rsidRPr="006A529A">
              <w:rPr>
                <w:rFonts w:cs="Arial"/>
                <w:color w:val="000000"/>
                <w:sz w:val="18"/>
              </w:rPr>
              <w:t>432</w:t>
            </w:r>
          </w:p>
        </w:tc>
        <w:tc>
          <w:tcPr>
            <w:tcW w:w="1158"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A529A" w:rsidRPr="006A529A" w:rsidRDefault="006A529A" w:rsidP="000806C3">
            <w:pPr>
              <w:jc w:val="center"/>
              <w:rPr>
                <w:rFonts w:cs="Arial"/>
                <w:color w:val="000000"/>
                <w:sz w:val="18"/>
              </w:rPr>
            </w:pPr>
            <w:r w:rsidRPr="006A529A">
              <w:rPr>
                <w:rFonts w:cs="Arial"/>
                <w:color w:val="000000"/>
                <w:sz w:val="18"/>
              </w:rPr>
              <w:t>-262</w:t>
            </w:r>
          </w:p>
        </w:tc>
      </w:tr>
      <w:tr w:rsidR="006A529A" w:rsidRPr="006A529A" w:rsidTr="00C43791">
        <w:trPr>
          <w:trHeight w:val="270"/>
        </w:trPr>
        <w:tc>
          <w:tcPr>
            <w:tcW w:w="901" w:type="pct"/>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both"/>
              <w:rPr>
                <w:rFonts w:cs="Arial"/>
                <w:color w:val="000000" w:themeColor="text1"/>
                <w:sz w:val="18"/>
              </w:rPr>
            </w:pPr>
            <w:r w:rsidRPr="006A529A">
              <w:rPr>
                <w:rFonts w:cs="Arial"/>
                <w:color w:val="000000" w:themeColor="text1"/>
                <w:sz w:val="18"/>
              </w:rPr>
              <w:t>2019.</w:t>
            </w:r>
          </w:p>
        </w:tc>
        <w:tc>
          <w:tcPr>
            <w:tcW w:w="6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themeColor="text1"/>
                <w:sz w:val="18"/>
              </w:rPr>
            </w:pPr>
            <w:r w:rsidRPr="006A529A">
              <w:rPr>
                <w:rFonts w:cs="Arial"/>
                <w:color w:val="000000" w:themeColor="text1"/>
                <w:sz w:val="18"/>
              </w:rPr>
              <w:t>-46</w:t>
            </w:r>
          </w:p>
        </w:tc>
        <w:tc>
          <w:tcPr>
            <w:tcW w:w="1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sz w:val="18"/>
                <w:lang w:val="sl-SI"/>
              </w:rPr>
            </w:pPr>
            <w:r w:rsidRPr="006A529A">
              <w:rPr>
                <w:rFonts w:cs="Arial"/>
                <w:color w:val="000000"/>
                <w:sz w:val="18"/>
                <w:lang w:val="sl-SI"/>
              </w:rPr>
              <w:t>192</w:t>
            </w:r>
          </w:p>
        </w:tc>
        <w:tc>
          <w:tcPr>
            <w:tcW w:w="12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A529A" w:rsidRPr="006A529A" w:rsidRDefault="006A529A" w:rsidP="000806C3">
            <w:pPr>
              <w:jc w:val="center"/>
              <w:rPr>
                <w:rFonts w:cs="Arial"/>
                <w:color w:val="000000"/>
                <w:sz w:val="18"/>
              </w:rPr>
            </w:pPr>
            <w:r w:rsidRPr="006A529A">
              <w:rPr>
                <w:rFonts w:cs="Arial"/>
                <w:color w:val="000000"/>
                <w:sz w:val="18"/>
              </w:rPr>
              <w:t>382</w:t>
            </w:r>
          </w:p>
        </w:tc>
        <w:tc>
          <w:tcPr>
            <w:tcW w:w="1158"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6A529A" w:rsidRPr="006A529A" w:rsidRDefault="006A529A" w:rsidP="000806C3">
            <w:pPr>
              <w:jc w:val="center"/>
              <w:rPr>
                <w:rFonts w:cs="Arial"/>
                <w:color w:val="000000"/>
                <w:sz w:val="18"/>
              </w:rPr>
            </w:pPr>
            <w:r w:rsidRPr="006A529A">
              <w:rPr>
                <w:rFonts w:cs="Arial"/>
                <w:color w:val="000000"/>
                <w:sz w:val="18"/>
              </w:rPr>
              <w:t>-190</w:t>
            </w:r>
          </w:p>
        </w:tc>
      </w:tr>
    </w:tbl>
    <w:p w:rsidR="006A529A" w:rsidRPr="00D11296" w:rsidRDefault="0058431C" w:rsidP="000806C3">
      <w:pPr>
        <w:jc w:val="right"/>
        <w:rPr>
          <w:i/>
          <w:iCs/>
          <w:sz w:val="18"/>
        </w:rPr>
      </w:pPr>
      <w:r>
        <w:rPr>
          <w:i/>
          <w:iCs/>
          <w:sz w:val="18"/>
        </w:rPr>
        <w:t>Из</w:t>
      </w:r>
      <w:r w:rsidR="0013406A">
        <w:rPr>
          <w:i/>
          <w:iCs/>
          <w:sz w:val="18"/>
        </w:rPr>
        <w:t>вор</w:t>
      </w:r>
      <w:r w:rsidR="006A529A" w:rsidRPr="00D11296">
        <w:rPr>
          <w:i/>
          <w:iCs/>
          <w:sz w:val="18"/>
        </w:rPr>
        <w:t>: MONSTAT</w:t>
      </w:r>
    </w:p>
    <w:p w:rsidR="006A529A" w:rsidRPr="006A529A" w:rsidRDefault="006A529A" w:rsidP="000806C3">
      <w:pPr>
        <w:jc w:val="both"/>
        <w:rPr>
          <w:color w:val="000000" w:themeColor="text1"/>
          <w:sz w:val="22"/>
          <w:szCs w:val="22"/>
        </w:rPr>
      </w:pPr>
    </w:p>
    <w:p w:rsidR="006A529A" w:rsidRDefault="00DF3799" w:rsidP="00DF3799">
      <w:pPr>
        <w:jc w:val="both"/>
        <w:rPr>
          <w:color w:val="000000" w:themeColor="text1"/>
          <w:sz w:val="22"/>
          <w:szCs w:val="22"/>
        </w:rPr>
      </w:pPr>
      <w:bookmarkStart w:id="12" w:name="_Toc44873744"/>
      <w:bookmarkStart w:id="13" w:name="_Toc44874126"/>
      <w:bookmarkStart w:id="14" w:name="_Toc44874208"/>
      <w:bookmarkStart w:id="15" w:name="_Toc52644590"/>
      <w:r w:rsidRPr="00DF3799">
        <w:rPr>
          <w:color w:val="000000" w:themeColor="text1"/>
          <w:sz w:val="22"/>
          <w:szCs w:val="22"/>
        </w:rPr>
        <w:t xml:space="preserve">Имајући у виду то да мигрира углавном младо становништво, такви трендови </w:t>
      </w:r>
      <w:r w:rsidR="00755716">
        <w:rPr>
          <w:color w:val="000000" w:themeColor="text1"/>
          <w:sz w:val="22"/>
          <w:szCs w:val="22"/>
        </w:rPr>
        <w:t>се одражавају и на смањен број дј</w:t>
      </w:r>
      <w:r w:rsidRPr="00DF3799">
        <w:rPr>
          <w:color w:val="000000" w:themeColor="text1"/>
          <w:sz w:val="22"/>
          <w:szCs w:val="22"/>
        </w:rPr>
        <w:t>еце која су уписана у основне школе (смањење за 1123 у периоду 2011-2018, односно за скоро 28%). Ипак, чак и ако се изузме значајно смањење због издвајања општине Петњица, опет је присутан тренд смањења овог индикатора. Тако је у односу</w:t>
      </w:r>
      <w:r w:rsidR="00ED1ADB">
        <w:rPr>
          <w:color w:val="000000" w:themeColor="text1"/>
          <w:sz w:val="22"/>
          <w:szCs w:val="22"/>
        </w:rPr>
        <w:t xml:space="preserve"> на 2016. годину, број уписане дј</w:t>
      </w:r>
      <w:r w:rsidRPr="00DF3799">
        <w:rPr>
          <w:color w:val="000000" w:themeColor="text1"/>
          <w:sz w:val="22"/>
          <w:szCs w:val="22"/>
        </w:rPr>
        <w:t>еце у основне школе у 2019. години био мањи за 7,2%.</w:t>
      </w:r>
    </w:p>
    <w:p w:rsidR="00DF3799" w:rsidRPr="00DF3799" w:rsidRDefault="00DF3799" w:rsidP="000806C3">
      <w:pPr>
        <w:rPr>
          <w:color w:val="000000" w:themeColor="text1"/>
          <w:szCs w:val="20"/>
        </w:rPr>
      </w:pPr>
    </w:p>
    <w:p w:rsidR="00C954A0" w:rsidRPr="006A529A" w:rsidRDefault="00C4151A" w:rsidP="000806C3">
      <w:pPr>
        <w:rPr>
          <w:i/>
          <w:iCs/>
          <w:szCs w:val="20"/>
        </w:rPr>
      </w:pPr>
      <w:r>
        <w:rPr>
          <w:color w:val="000000" w:themeColor="text1"/>
          <w:szCs w:val="20"/>
        </w:rPr>
        <w:t>График 2: Број дј</w:t>
      </w:r>
      <w:r w:rsidRPr="00C4151A">
        <w:rPr>
          <w:color w:val="000000" w:themeColor="text1"/>
          <w:szCs w:val="20"/>
        </w:rPr>
        <w:t>еце уписане у основну школу</w:t>
      </w:r>
    </w:p>
    <w:p w:rsidR="006A529A" w:rsidRPr="006A529A" w:rsidRDefault="00437065" w:rsidP="000806C3">
      <w:pPr>
        <w:jc w:val="center"/>
        <w:rPr>
          <w:i/>
          <w:iCs/>
          <w:sz w:val="22"/>
          <w:szCs w:val="22"/>
        </w:rPr>
      </w:pPr>
      <w:r>
        <w:rPr>
          <w:noProof/>
          <w:lang w:val="en-US"/>
        </w:rPr>
        <w:drawing>
          <wp:inline distT="0" distB="0" distL="0" distR="0">
            <wp:extent cx="4572000" cy="1571106"/>
            <wp:effectExtent l="0" t="0" r="0" b="10160"/>
            <wp:docPr id="11" name="Grafikon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E2E8402-54B3-4FCE-8F19-0073961305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A529A" w:rsidRPr="00D11296" w:rsidRDefault="00C4151A" w:rsidP="000806C3">
      <w:pPr>
        <w:ind w:left="7080"/>
        <w:rPr>
          <w:i/>
          <w:iCs/>
          <w:sz w:val="18"/>
        </w:rPr>
      </w:pPr>
      <w:r>
        <w:rPr>
          <w:i/>
          <w:iCs/>
          <w:sz w:val="18"/>
        </w:rPr>
        <w:t>Извор</w:t>
      </w:r>
      <w:r w:rsidR="006A529A" w:rsidRPr="00D11296">
        <w:rPr>
          <w:i/>
          <w:iCs/>
          <w:sz w:val="18"/>
        </w:rPr>
        <w:t>: MONSTAT</w:t>
      </w:r>
    </w:p>
    <w:p w:rsidR="006A529A" w:rsidRPr="006A529A" w:rsidRDefault="006A529A" w:rsidP="000806C3">
      <w:pPr>
        <w:rPr>
          <w:i/>
          <w:iCs/>
          <w:sz w:val="22"/>
          <w:szCs w:val="22"/>
        </w:rPr>
      </w:pPr>
    </w:p>
    <w:bookmarkEnd w:id="12"/>
    <w:bookmarkEnd w:id="13"/>
    <w:bookmarkEnd w:id="14"/>
    <w:bookmarkEnd w:id="15"/>
    <w:p w:rsidR="00C4151A" w:rsidRDefault="00C4151A" w:rsidP="000806C3">
      <w:pPr>
        <w:rPr>
          <w:i/>
          <w:iCs/>
          <w:sz w:val="22"/>
          <w:szCs w:val="22"/>
        </w:rPr>
      </w:pPr>
      <w:r w:rsidRPr="00C4151A">
        <w:rPr>
          <w:i/>
          <w:iCs/>
          <w:sz w:val="22"/>
          <w:szCs w:val="22"/>
        </w:rPr>
        <w:t>Образовна структура становништва</w:t>
      </w:r>
    </w:p>
    <w:p w:rsidR="004F4141" w:rsidRPr="004F4141" w:rsidRDefault="004F4141" w:rsidP="000806C3">
      <w:pPr>
        <w:rPr>
          <w:i/>
          <w:iCs/>
          <w:sz w:val="22"/>
          <w:szCs w:val="22"/>
        </w:rPr>
      </w:pPr>
    </w:p>
    <w:p w:rsidR="006A529A" w:rsidRDefault="00C4151A" w:rsidP="000806C3">
      <w:pPr>
        <w:rPr>
          <w:iCs/>
          <w:szCs w:val="20"/>
        </w:rPr>
      </w:pPr>
      <w:r w:rsidRPr="00C4151A">
        <w:rPr>
          <w:rFonts w:cs="Arial"/>
        </w:rPr>
        <w:t>Табела 2: Образовна структура становништва (старости 15 и више година</w:t>
      </w:r>
      <w:r w:rsidR="006A529A" w:rsidRPr="006D281D">
        <w:rPr>
          <w:iCs/>
          <w:szCs w:val="20"/>
        </w:rPr>
        <w:t>)</w:t>
      </w:r>
      <w:r w:rsidR="006A529A" w:rsidRPr="006D281D">
        <w:rPr>
          <w:rStyle w:val="FootnoteReference"/>
          <w:rFonts w:cs="Arial"/>
          <w:b/>
          <w:bCs/>
          <w:iCs/>
          <w:szCs w:val="20"/>
        </w:rPr>
        <w:footnoteReference w:id="3"/>
      </w:r>
    </w:p>
    <w:tbl>
      <w:tblPr>
        <w:tblStyle w:val="TableGrid"/>
        <w:tblpPr w:leftFromText="141" w:rightFromText="141" w:vertAnchor="text" w:horzAnchor="margin" w:tblpXSpec="center" w:tblpY="145"/>
        <w:tblW w:w="8343"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tblPr>
      <w:tblGrid>
        <w:gridCol w:w="3205"/>
        <w:gridCol w:w="1284"/>
        <w:gridCol w:w="1122"/>
        <w:gridCol w:w="1542"/>
        <w:gridCol w:w="1190"/>
      </w:tblGrid>
      <w:tr w:rsidR="00D11296" w:rsidRPr="00D11296" w:rsidTr="00C43791">
        <w:trPr>
          <w:trHeight w:val="268"/>
        </w:trPr>
        <w:tc>
          <w:tcPr>
            <w:tcW w:w="3205" w:type="dxa"/>
            <w:shd w:val="clear" w:color="auto" w:fill="BFBFBF" w:themeFill="background1" w:themeFillShade="BF"/>
            <w:hideMark/>
          </w:tcPr>
          <w:p w:rsidR="00D11296" w:rsidRPr="00C4151A" w:rsidRDefault="00C4151A" w:rsidP="00D11296">
            <w:pPr>
              <w:rPr>
                <w:rFonts w:eastAsia="Times New Roman" w:cs="Calibri"/>
                <w:color w:val="000000"/>
                <w:sz w:val="18"/>
                <w:lang w:eastAsia="sl-SI"/>
              </w:rPr>
            </w:pPr>
            <w:r>
              <w:rPr>
                <w:rFonts w:eastAsia="Times New Roman" w:cs="Arial"/>
                <w:color w:val="000000"/>
                <w:sz w:val="18"/>
                <w:lang w:eastAsia="sl-SI"/>
              </w:rPr>
              <w:t>Степен образовања</w:t>
            </w:r>
          </w:p>
        </w:tc>
        <w:tc>
          <w:tcPr>
            <w:tcW w:w="1284" w:type="dxa"/>
            <w:shd w:val="clear" w:color="auto" w:fill="BFBFBF" w:themeFill="background1" w:themeFillShade="BF"/>
            <w:hideMark/>
          </w:tcPr>
          <w:p w:rsidR="00D11296" w:rsidRPr="00BF40F7" w:rsidRDefault="00BF40F7" w:rsidP="00D11296">
            <w:pPr>
              <w:jc w:val="center"/>
              <w:rPr>
                <w:rFonts w:eastAsia="Times New Roman" w:cs="Calibri"/>
                <w:color w:val="000000"/>
                <w:sz w:val="18"/>
                <w:lang w:eastAsia="sl-SI"/>
              </w:rPr>
            </w:pPr>
            <w:r>
              <w:rPr>
                <w:rFonts w:eastAsia="Times New Roman" w:cs="Calibri"/>
                <w:color w:val="000000"/>
                <w:sz w:val="18"/>
                <w:lang w:eastAsia="sl-SI"/>
              </w:rPr>
              <w:t>Беране</w:t>
            </w:r>
          </w:p>
        </w:tc>
        <w:tc>
          <w:tcPr>
            <w:tcW w:w="1122" w:type="dxa"/>
            <w:shd w:val="clear" w:color="auto" w:fill="BFBFBF" w:themeFill="background1" w:themeFillShade="BF"/>
            <w:hideMark/>
          </w:tcPr>
          <w:p w:rsidR="00D11296" w:rsidRPr="00D11296" w:rsidRDefault="00D11296" w:rsidP="00D11296">
            <w:pPr>
              <w:jc w:val="center"/>
              <w:rPr>
                <w:rFonts w:eastAsia="Times New Roman" w:cs="Calibri"/>
                <w:color w:val="000000"/>
                <w:sz w:val="18"/>
                <w:lang w:val="sl-SI" w:eastAsia="sl-SI"/>
              </w:rPr>
            </w:pPr>
            <w:r w:rsidRPr="00D11296">
              <w:rPr>
                <w:rFonts w:eastAsia="Times New Roman" w:cs="Arial"/>
                <w:sz w:val="18"/>
                <w:lang w:eastAsia="sl-SI"/>
              </w:rPr>
              <w:t>%</w:t>
            </w:r>
          </w:p>
        </w:tc>
        <w:tc>
          <w:tcPr>
            <w:tcW w:w="1542" w:type="dxa"/>
            <w:shd w:val="clear" w:color="auto" w:fill="BFBFBF" w:themeFill="background1" w:themeFillShade="BF"/>
            <w:hideMark/>
          </w:tcPr>
          <w:p w:rsidR="00D11296" w:rsidRPr="00BF40F7" w:rsidRDefault="00BF40F7" w:rsidP="00D11296">
            <w:pPr>
              <w:jc w:val="center"/>
              <w:rPr>
                <w:rFonts w:eastAsia="Times New Roman" w:cs="Calibri"/>
                <w:color w:val="000000"/>
                <w:sz w:val="18"/>
                <w:lang w:eastAsia="sl-SI"/>
              </w:rPr>
            </w:pPr>
            <w:r>
              <w:rPr>
                <w:rFonts w:eastAsia="Times New Roman" w:cs="Arial"/>
                <w:sz w:val="18"/>
                <w:lang w:eastAsia="sl-SI"/>
              </w:rPr>
              <w:t>Црна Гора</w:t>
            </w:r>
          </w:p>
        </w:tc>
        <w:tc>
          <w:tcPr>
            <w:tcW w:w="1190" w:type="dxa"/>
            <w:shd w:val="clear" w:color="auto" w:fill="BFBFBF" w:themeFill="background1" w:themeFillShade="BF"/>
            <w:hideMark/>
          </w:tcPr>
          <w:p w:rsidR="00D11296" w:rsidRPr="00D11296" w:rsidRDefault="00D11296" w:rsidP="00D11296">
            <w:pPr>
              <w:jc w:val="center"/>
              <w:rPr>
                <w:rFonts w:eastAsia="Times New Roman" w:cs="Calibri"/>
                <w:color w:val="000000"/>
                <w:sz w:val="18"/>
                <w:lang w:val="sl-SI" w:eastAsia="sl-SI"/>
              </w:rPr>
            </w:pPr>
            <w:r w:rsidRPr="00D11296">
              <w:rPr>
                <w:rFonts w:eastAsia="Times New Roman" w:cs="Calibri"/>
                <w:color w:val="000000"/>
                <w:sz w:val="18"/>
                <w:lang w:eastAsia="sl-SI"/>
              </w:rPr>
              <w:t>%</w:t>
            </w:r>
          </w:p>
        </w:tc>
      </w:tr>
      <w:tr w:rsidR="00D11296" w:rsidRPr="00D11296" w:rsidTr="00C43791">
        <w:trPr>
          <w:trHeight w:val="268"/>
        </w:trPr>
        <w:tc>
          <w:tcPr>
            <w:tcW w:w="3205" w:type="dxa"/>
            <w:hideMark/>
          </w:tcPr>
          <w:p w:rsidR="00D11296" w:rsidRPr="00D11296" w:rsidRDefault="00BF40F7" w:rsidP="00D11296">
            <w:pPr>
              <w:rPr>
                <w:rFonts w:eastAsia="Times New Roman" w:cs="Calibri"/>
                <w:color w:val="000000"/>
                <w:sz w:val="18"/>
                <w:lang w:val="sl-SI" w:eastAsia="sl-SI"/>
              </w:rPr>
            </w:pPr>
            <w:r w:rsidRPr="00BF40F7">
              <w:rPr>
                <w:rFonts w:eastAsia="Times New Roman" w:cs="Calibri"/>
                <w:color w:val="000000"/>
                <w:sz w:val="18"/>
                <w:lang w:val="sl-SI" w:eastAsia="sl-SI"/>
              </w:rPr>
              <w:t>Без школске спреме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745</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2.8</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11</w:t>
            </w:r>
            <w:r w:rsidR="003975FB">
              <w:rPr>
                <w:rFonts w:eastAsia="Times New Roman" w:cs="Calibri"/>
                <w:color w:val="000000"/>
                <w:sz w:val="18"/>
                <w:lang w:val="sl-SI" w:eastAsia="sl-SI"/>
              </w:rPr>
              <w:t>.</w:t>
            </w:r>
            <w:r w:rsidRPr="00D11296">
              <w:rPr>
                <w:rFonts w:eastAsia="Times New Roman" w:cs="Calibri"/>
                <w:color w:val="000000"/>
                <w:sz w:val="18"/>
                <w:lang w:val="sl-SI" w:eastAsia="sl-SI"/>
              </w:rPr>
              <w:t>324</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2,3</w:t>
            </w:r>
          </w:p>
        </w:tc>
      </w:tr>
      <w:tr w:rsidR="00D11296" w:rsidRPr="00D11296" w:rsidTr="00C43791">
        <w:trPr>
          <w:trHeight w:val="268"/>
        </w:trPr>
        <w:tc>
          <w:tcPr>
            <w:tcW w:w="3205" w:type="dxa"/>
            <w:hideMark/>
          </w:tcPr>
          <w:p w:rsidR="00D11296" w:rsidRPr="00D11296" w:rsidRDefault="00BF40F7" w:rsidP="00D11296">
            <w:pPr>
              <w:rPr>
                <w:rFonts w:eastAsia="Times New Roman" w:cs="Calibri"/>
                <w:color w:val="000000"/>
                <w:sz w:val="18"/>
                <w:lang w:val="sl-SI" w:eastAsia="sl-SI"/>
              </w:rPr>
            </w:pPr>
            <w:r w:rsidRPr="00BF40F7">
              <w:rPr>
                <w:rFonts w:eastAsia="Times New Roman" w:cs="Calibri"/>
                <w:color w:val="000000"/>
                <w:sz w:val="18"/>
                <w:lang w:val="sl-SI" w:eastAsia="sl-SI"/>
              </w:rPr>
              <w:t>Непотпуна основна школа</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2</w:t>
            </w:r>
            <w:r w:rsidR="003975FB">
              <w:rPr>
                <w:rFonts w:eastAsia="Times New Roman" w:cs="Calibri"/>
                <w:color w:val="000000"/>
                <w:sz w:val="18"/>
                <w:lang w:val="sl-SI" w:eastAsia="sl-SI"/>
              </w:rPr>
              <w:t>.</w:t>
            </w:r>
            <w:r w:rsidRPr="00D11296">
              <w:rPr>
                <w:rFonts w:eastAsia="Times New Roman" w:cs="Calibri"/>
                <w:color w:val="000000"/>
                <w:sz w:val="18"/>
                <w:lang w:val="sl-SI" w:eastAsia="sl-SI"/>
              </w:rPr>
              <w:t>453</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9.1</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36</w:t>
            </w:r>
            <w:r w:rsidR="003975FB">
              <w:rPr>
                <w:rFonts w:eastAsia="Times New Roman" w:cs="Calibri"/>
                <w:color w:val="000000"/>
                <w:sz w:val="18"/>
                <w:lang w:val="sl-SI" w:eastAsia="sl-SI"/>
              </w:rPr>
              <w:t>.</w:t>
            </w:r>
            <w:r w:rsidRPr="00D11296">
              <w:rPr>
                <w:rFonts w:eastAsia="Times New Roman" w:cs="Calibri"/>
                <w:color w:val="000000"/>
                <w:sz w:val="18"/>
                <w:lang w:val="sl-SI" w:eastAsia="sl-SI"/>
              </w:rPr>
              <w:t>783</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7,3</w:t>
            </w:r>
          </w:p>
        </w:tc>
      </w:tr>
      <w:tr w:rsidR="00D11296" w:rsidRPr="00D11296" w:rsidTr="00C43791">
        <w:trPr>
          <w:trHeight w:val="268"/>
        </w:trPr>
        <w:tc>
          <w:tcPr>
            <w:tcW w:w="3205" w:type="dxa"/>
            <w:hideMark/>
          </w:tcPr>
          <w:p w:rsidR="00D11296" w:rsidRPr="00BF40F7" w:rsidRDefault="00BF40F7" w:rsidP="00D11296">
            <w:pPr>
              <w:rPr>
                <w:rFonts w:eastAsia="Times New Roman" w:cs="Calibri"/>
                <w:color w:val="000000"/>
                <w:sz w:val="18"/>
                <w:lang w:eastAsia="sl-SI"/>
              </w:rPr>
            </w:pPr>
            <w:r>
              <w:rPr>
                <w:rFonts w:eastAsia="Times New Roman" w:cs="Calibri"/>
                <w:color w:val="000000"/>
                <w:sz w:val="18"/>
                <w:lang w:eastAsia="sl-SI"/>
              </w:rPr>
              <w:t>Основно образовање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7</w:t>
            </w:r>
            <w:r w:rsidR="003975FB">
              <w:rPr>
                <w:rFonts w:eastAsia="Times New Roman" w:cs="Calibri"/>
                <w:color w:val="000000"/>
                <w:sz w:val="18"/>
                <w:lang w:val="sl-SI" w:eastAsia="sl-SI"/>
              </w:rPr>
              <w:t>.</w:t>
            </w:r>
            <w:r w:rsidRPr="00D11296">
              <w:rPr>
                <w:rFonts w:eastAsia="Times New Roman" w:cs="Calibri"/>
                <w:color w:val="000000"/>
                <w:sz w:val="18"/>
                <w:lang w:val="sl-SI" w:eastAsia="sl-SI"/>
              </w:rPr>
              <w:t>594</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28.3</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104</w:t>
            </w:r>
            <w:r w:rsidR="003975FB">
              <w:rPr>
                <w:rFonts w:eastAsia="Times New Roman" w:cs="Calibri"/>
                <w:color w:val="000000"/>
                <w:sz w:val="18"/>
                <w:lang w:val="sl-SI" w:eastAsia="sl-SI"/>
              </w:rPr>
              <w:t>.</w:t>
            </w:r>
            <w:r w:rsidRPr="00D11296">
              <w:rPr>
                <w:rFonts w:eastAsia="Times New Roman" w:cs="Calibri"/>
                <w:color w:val="000000"/>
                <w:sz w:val="18"/>
                <w:lang w:val="sl-SI" w:eastAsia="sl-SI"/>
              </w:rPr>
              <w:t>415</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20</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Calibri"/>
                <w:color w:val="000000"/>
                <w:sz w:val="18"/>
                <w:lang w:eastAsia="sl-SI"/>
              </w:rPr>
              <w:t>Средње образовање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12</w:t>
            </w:r>
            <w:r w:rsidR="003975FB">
              <w:rPr>
                <w:rFonts w:eastAsia="Times New Roman" w:cs="Calibri"/>
                <w:color w:val="000000"/>
                <w:sz w:val="18"/>
                <w:lang w:val="sl-SI" w:eastAsia="sl-SI"/>
              </w:rPr>
              <w:t>.</w:t>
            </w:r>
            <w:r w:rsidRPr="00D11296">
              <w:rPr>
                <w:rFonts w:eastAsia="Times New Roman" w:cs="Calibri"/>
                <w:color w:val="000000"/>
                <w:sz w:val="18"/>
                <w:lang w:val="sl-SI" w:eastAsia="sl-SI"/>
              </w:rPr>
              <w:t>652</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47.2</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260</w:t>
            </w:r>
            <w:r w:rsidR="003975FB">
              <w:rPr>
                <w:rFonts w:eastAsia="Times New Roman" w:cs="Calibri"/>
                <w:color w:val="000000"/>
                <w:sz w:val="18"/>
                <w:lang w:val="sl-SI" w:eastAsia="sl-SI"/>
              </w:rPr>
              <w:t>.</w:t>
            </w:r>
            <w:r w:rsidRPr="00D11296">
              <w:rPr>
                <w:rFonts w:eastAsia="Times New Roman" w:cs="Calibri"/>
                <w:color w:val="000000"/>
                <w:sz w:val="18"/>
                <w:lang w:val="sl-SI" w:eastAsia="sl-SI"/>
              </w:rPr>
              <w:t>277</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51,9</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Calibri"/>
                <w:color w:val="000000"/>
                <w:sz w:val="18"/>
                <w:lang w:eastAsia="sl-SI"/>
              </w:rPr>
              <w:t>Више образовање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1</w:t>
            </w:r>
            <w:r w:rsidR="003975FB">
              <w:rPr>
                <w:rFonts w:eastAsia="Times New Roman" w:cs="Calibri"/>
                <w:color w:val="000000"/>
                <w:sz w:val="18"/>
                <w:lang w:val="sl-SI" w:eastAsia="sl-SI"/>
              </w:rPr>
              <w:t>.</w:t>
            </w:r>
            <w:r w:rsidRPr="00D11296">
              <w:rPr>
                <w:rFonts w:eastAsia="Times New Roman" w:cs="Calibri"/>
                <w:color w:val="000000"/>
                <w:sz w:val="18"/>
                <w:lang w:val="sl-SI" w:eastAsia="sl-SI"/>
              </w:rPr>
              <w:t>129</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4.2</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26</w:t>
            </w:r>
            <w:r w:rsidR="003975FB">
              <w:rPr>
                <w:rFonts w:eastAsia="Times New Roman" w:cs="Calibri"/>
                <w:color w:val="000000"/>
                <w:sz w:val="18"/>
                <w:lang w:val="sl-SI" w:eastAsia="sl-SI"/>
              </w:rPr>
              <w:t>.</w:t>
            </w:r>
            <w:r w:rsidRPr="00D11296">
              <w:rPr>
                <w:rFonts w:eastAsia="Times New Roman" w:cs="Calibri"/>
                <w:color w:val="000000"/>
                <w:sz w:val="18"/>
                <w:lang w:val="sl-SI" w:eastAsia="sl-SI"/>
              </w:rPr>
              <w:t>170</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5,2</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Arial"/>
                <w:color w:val="000000"/>
                <w:sz w:val="18"/>
                <w:lang w:eastAsia="sl-SI"/>
              </w:rPr>
              <w:t>Високо образовање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1</w:t>
            </w:r>
            <w:r w:rsidR="003975FB">
              <w:rPr>
                <w:rFonts w:eastAsia="Times New Roman" w:cs="Calibri"/>
                <w:color w:val="000000"/>
                <w:sz w:val="18"/>
                <w:lang w:val="sl-SI" w:eastAsia="sl-SI"/>
              </w:rPr>
              <w:t>.</w:t>
            </w:r>
            <w:r w:rsidRPr="00D11296">
              <w:rPr>
                <w:rFonts w:eastAsia="Times New Roman" w:cs="Calibri"/>
                <w:color w:val="000000"/>
                <w:sz w:val="18"/>
                <w:lang w:val="sl-SI" w:eastAsia="sl-SI"/>
              </w:rPr>
              <w:t>904</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7.1</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49</w:t>
            </w:r>
            <w:r w:rsidR="003975FB">
              <w:rPr>
                <w:rFonts w:eastAsia="Times New Roman" w:cs="Arial"/>
                <w:color w:val="000000"/>
                <w:sz w:val="18"/>
                <w:lang w:eastAsia="sl-SI"/>
              </w:rPr>
              <w:t>.</w:t>
            </w:r>
            <w:r w:rsidRPr="00D11296">
              <w:rPr>
                <w:rFonts w:eastAsia="Times New Roman" w:cs="Arial"/>
                <w:color w:val="000000"/>
                <w:sz w:val="18"/>
                <w:lang w:eastAsia="sl-SI"/>
              </w:rPr>
              <w:t>469</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9,9</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Arial"/>
                <w:color w:val="000000"/>
                <w:sz w:val="18"/>
                <w:lang w:eastAsia="sl-SI"/>
              </w:rPr>
              <w:t>Постдипломске студије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57</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0.2</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3</w:t>
            </w:r>
            <w:r w:rsidR="003975FB">
              <w:rPr>
                <w:rFonts w:eastAsia="Times New Roman" w:cs="Arial"/>
                <w:color w:val="000000"/>
                <w:sz w:val="18"/>
                <w:lang w:eastAsia="sl-SI"/>
              </w:rPr>
              <w:t>.</w:t>
            </w:r>
            <w:r w:rsidRPr="00D11296">
              <w:rPr>
                <w:rFonts w:eastAsia="Times New Roman" w:cs="Arial"/>
                <w:color w:val="000000"/>
                <w:sz w:val="18"/>
                <w:lang w:eastAsia="sl-SI"/>
              </w:rPr>
              <w:t>000</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0,6</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Arial"/>
                <w:color w:val="000000"/>
                <w:sz w:val="18"/>
                <w:lang w:eastAsia="sl-SI"/>
              </w:rPr>
              <w:t>Докторат</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9</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0.0</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964</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0,2</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Arial"/>
                <w:color w:val="000000"/>
                <w:sz w:val="18"/>
                <w:lang w:eastAsia="sl-SI"/>
              </w:rPr>
              <w:t>Oсновне академске студије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68</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0.3</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2</w:t>
            </w:r>
            <w:r w:rsidR="003975FB">
              <w:rPr>
                <w:rFonts w:eastAsia="Times New Roman" w:cs="Arial"/>
                <w:color w:val="000000"/>
                <w:sz w:val="18"/>
                <w:lang w:eastAsia="sl-SI"/>
              </w:rPr>
              <w:t>.</w:t>
            </w:r>
            <w:r w:rsidRPr="00D11296">
              <w:rPr>
                <w:rFonts w:eastAsia="Times New Roman" w:cs="Arial"/>
                <w:color w:val="000000"/>
                <w:sz w:val="18"/>
                <w:lang w:eastAsia="sl-SI"/>
              </w:rPr>
              <w:t>756</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0,5</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Arial"/>
                <w:color w:val="000000"/>
                <w:sz w:val="18"/>
                <w:lang w:eastAsia="sl-SI"/>
              </w:rPr>
              <w:t>Oсновне примијењене</w:t>
            </w:r>
            <w:r w:rsidR="00D11296" w:rsidRPr="00D11296">
              <w:rPr>
                <w:rFonts w:eastAsia="Times New Roman" w:cs="Arial"/>
                <w:color w:val="000000"/>
                <w:sz w:val="18"/>
                <w:lang w:eastAsia="sl-SI"/>
              </w:rPr>
              <w:t xml:space="preserve"> </w:t>
            </w:r>
            <w:r>
              <w:rPr>
                <w:rFonts w:eastAsia="Times New Roman" w:cs="Arial"/>
                <w:color w:val="000000"/>
                <w:sz w:val="18"/>
                <w:lang w:eastAsia="sl-SI"/>
              </w:rPr>
              <w:t>студије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38</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0.1</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1</w:t>
            </w:r>
            <w:r w:rsidR="003975FB">
              <w:rPr>
                <w:rFonts w:eastAsia="Times New Roman" w:cs="Arial"/>
                <w:color w:val="000000"/>
                <w:sz w:val="18"/>
                <w:lang w:eastAsia="sl-SI"/>
              </w:rPr>
              <w:t>.</w:t>
            </w:r>
            <w:r w:rsidRPr="00D11296">
              <w:rPr>
                <w:rFonts w:eastAsia="Times New Roman" w:cs="Arial"/>
                <w:color w:val="000000"/>
                <w:sz w:val="18"/>
                <w:lang w:eastAsia="sl-SI"/>
              </w:rPr>
              <w:t>343</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0,3</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Arial"/>
                <w:color w:val="000000"/>
                <w:sz w:val="18"/>
                <w:lang w:eastAsia="sl-SI"/>
              </w:rPr>
              <w:t xml:space="preserve">Постдипломске специјалистичке </w:t>
            </w:r>
            <w:r>
              <w:rPr>
                <w:rFonts w:eastAsia="Times New Roman" w:cs="Arial"/>
                <w:color w:val="000000"/>
                <w:sz w:val="18"/>
                <w:lang w:eastAsia="sl-SI"/>
              </w:rPr>
              <w:lastRenderedPageBreak/>
              <w:t>студије</w:t>
            </w:r>
            <w:r w:rsidR="00D11296" w:rsidRPr="00D11296">
              <w:rPr>
                <w:rFonts w:eastAsia="Times New Roman" w:cs="Arial"/>
                <w:color w:val="000000"/>
                <w:sz w:val="18"/>
                <w:lang w:eastAsia="sl-SI"/>
              </w:rPr>
              <w:t xml:space="preserve"> </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lastRenderedPageBreak/>
              <w:t>36</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0.1</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1</w:t>
            </w:r>
            <w:r w:rsidR="003975FB">
              <w:rPr>
                <w:rFonts w:eastAsia="Times New Roman" w:cs="Arial"/>
                <w:color w:val="000000"/>
                <w:sz w:val="18"/>
                <w:lang w:eastAsia="sl-SI"/>
              </w:rPr>
              <w:t>.</w:t>
            </w:r>
            <w:r w:rsidRPr="00D11296">
              <w:rPr>
                <w:rFonts w:eastAsia="Times New Roman" w:cs="Arial"/>
                <w:color w:val="000000"/>
                <w:sz w:val="18"/>
                <w:lang w:eastAsia="sl-SI"/>
              </w:rPr>
              <w:t>528</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0,3</w:t>
            </w:r>
          </w:p>
        </w:tc>
      </w:tr>
      <w:tr w:rsidR="00D11296" w:rsidRPr="00D11296" w:rsidTr="00C43791">
        <w:trPr>
          <w:trHeight w:val="268"/>
        </w:trPr>
        <w:tc>
          <w:tcPr>
            <w:tcW w:w="3205" w:type="dxa"/>
            <w:hideMark/>
          </w:tcPr>
          <w:p w:rsidR="00D11296" w:rsidRPr="00AF2498" w:rsidRDefault="00AF2498" w:rsidP="00D11296">
            <w:pPr>
              <w:rPr>
                <w:rFonts w:eastAsia="Times New Roman" w:cs="Calibri"/>
                <w:color w:val="000000"/>
                <w:sz w:val="18"/>
                <w:lang w:eastAsia="sl-SI"/>
              </w:rPr>
            </w:pPr>
            <w:r>
              <w:rPr>
                <w:rFonts w:eastAsia="Times New Roman" w:cs="Arial"/>
                <w:color w:val="000000"/>
                <w:sz w:val="18"/>
                <w:lang w:eastAsia="sl-SI"/>
              </w:rPr>
              <w:lastRenderedPageBreak/>
              <w:t xml:space="preserve">Постдипломске магистарске </w:t>
            </w:r>
            <w:r w:rsidR="00D11296" w:rsidRPr="00D11296">
              <w:rPr>
                <w:rFonts w:eastAsia="Times New Roman" w:cs="Arial"/>
                <w:color w:val="000000"/>
                <w:sz w:val="18"/>
                <w:lang w:eastAsia="sl-SI"/>
              </w:rPr>
              <w:t xml:space="preserve"> </w:t>
            </w:r>
            <w:r>
              <w:rPr>
                <w:rFonts w:eastAsia="Times New Roman" w:cs="Arial"/>
                <w:color w:val="000000"/>
                <w:sz w:val="18"/>
                <w:lang w:eastAsia="sl-SI"/>
              </w:rPr>
              <w:t>студије</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15</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0.1</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713</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0,1</w:t>
            </w:r>
          </w:p>
        </w:tc>
      </w:tr>
      <w:tr w:rsidR="00D11296" w:rsidRPr="00D11296" w:rsidTr="00C43791">
        <w:trPr>
          <w:trHeight w:val="268"/>
        </w:trPr>
        <w:tc>
          <w:tcPr>
            <w:tcW w:w="3205" w:type="dxa"/>
            <w:hideMark/>
          </w:tcPr>
          <w:p w:rsidR="00D11296" w:rsidRPr="00D11296" w:rsidRDefault="00AF2498" w:rsidP="00D11296">
            <w:pPr>
              <w:rPr>
                <w:rFonts w:eastAsia="Times New Roman" w:cs="Calibri"/>
                <w:color w:val="000000"/>
                <w:sz w:val="18"/>
                <w:lang w:val="sl-SI" w:eastAsia="sl-SI"/>
              </w:rPr>
            </w:pPr>
            <w:r>
              <w:rPr>
                <w:rFonts w:eastAsia="Times New Roman" w:cs="Arial"/>
                <w:color w:val="000000"/>
                <w:sz w:val="18"/>
                <w:lang w:eastAsia="sl-SI"/>
              </w:rPr>
              <w:t>Oстало (без изјашњавања</w:t>
            </w:r>
            <w:r w:rsidR="00D11296" w:rsidRPr="00D11296">
              <w:rPr>
                <w:rFonts w:eastAsia="Times New Roman" w:cs="Arial"/>
                <w:color w:val="000000"/>
                <w:sz w:val="18"/>
                <w:lang w:eastAsia="sl-SI"/>
              </w:rPr>
              <w:t>)</w:t>
            </w:r>
          </w:p>
        </w:tc>
        <w:tc>
          <w:tcPr>
            <w:tcW w:w="1284" w:type="dxa"/>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127</w:t>
            </w:r>
          </w:p>
        </w:tc>
        <w:tc>
          <w:tcPr>
            <w:tcW w:w="1122" w:type="dxa"/>
          </w:tcPr>
          <w:p w:rsidR="00D11296" w:rsidRPr="00D11296" w:rsidRDefault="00D11296" w:rsidP="00D11296">
            <w:pPr>
              <w:jc w:val="right"/>
              <w:rPr>
                <w:rFonts w:eastAsia="Times New Roman" w:cs="Calibri"/>
                <w:color w:val="000000"/>
                <w:sz w:val="18"/>
                <w:lang w:val="sl-SI" w:eastAsia="sl-SI"/>
              </w:rPr>
            </w:pPr>
            <w:r w:rsidRPr="00D11296">
              <w:rPr>
                <w:rFonts w:cs="Calibri"/>
                <w:color w:val="000000"/>
                <w:sz w:val="18"/>
              </w:rPr>
              <w:t>0.5</w:t>
            </w:r>
          </w:p>
        </w:tc>
        <w:tc>
          <w:tcPr>
            <w:tcW w:w="1542"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2</w:t>
            </w:r>
            <w:r w:rsidR="003975FB">
              <w:rPr>
                <w:rFonts w:eastAsia="Times New Roman" w:cs="Arial"/>
                <w:color w:val="000000"/>
                <w:sz w:val="18"/>
                <w:lang w:eastAsia="sl-SI"/>
              </w:rPr>
              <w:t>.</w:t>
            </w:r>
            <w:r w:rsidRPr="00D11296">
              <w:rPr>
                <w:rFonts w:eastAsia="Times New Roman" w:cs="Arial"/>
                <w:color w:val="000000"/>
                <w:sz w:val="18"/>
                <w:lang w:eastAsia="sl-SI"/>
              </w:rPr>
              <w:t>536</w:t>
            </w:r>
          </w:p>
        </w:tc>
        <w:tc>
          <w:tcPr>
            <w:tcW w:w="1190" w:type="dxa"/>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Arial"/>
                <w:color w:val="000000"/>
                <w:sz w:val="18"/>
                <w:lang w:eastAsia="sl-SI"/>
              </w:rPr>
              <w:t>0,4</w:t>
            </w:r>
          </w:p>
        </w:tc>
      </w:tr>
      <w:tr w:rsidR="00D11296" w:rsidRPr="00D11296" w:rsidTr="00C43791">
        <w:trPr>
          <w:trHeight w:val="268"/>
        </w:trPr>
        <w:tc>
          <w:tcPr>
            <w:tcW w:w="3205" w:type="dxa"/>
            <w:shd w:val="clear" w:color="auto" w:fill="BFBFBF" w:themeFill="background1" w:themeFillShade="BF"/>
            <w:hideMark/>
          </w:tcPr>
          <w:p w:rsidR="00D11296" w:rsidRPr="00AF2498" w:rsidRDefault="00AF2498" w:rsidP="00D11296">
            <w:pPr>
              <w:rPr>
                <w:rFonts w:eastAsia="Times New Roman" w:cs="Calibri"/>
                <w:color w:val="000000"/>
                <w:sz w:val="18"/>
                <w:lang w:eastAsia="sl-SI"/>
              </w:rPr>
            </w:pPr>
            <w:r>
              <w:rPr>
                <w:rFonts w:eastAsia="Times New Roman" w:cs="Arial"/>
                <w:sz w:val="18"/>
                <w:lang w:eastAsia="sl-SI"/>
              </w:rPr>
              <w:t>Укупно</w:t>
            </w:r>
          </w:p>
        </w:tc>
        <w:tc>
          <w:tcPr>
            <w:tcW w:w="1284" w:type="dxa"/>
            <w:shd w:val="clear" w:color="auto" w:fill="BFBFBF" w:themeFill="background1" w:themeFillShade="BF"/>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26</w:t>
            </w:r>
            <w:r w:rsidR="003975FB">
              <w:rPr>
                <w:rFonts w:eastAsia="Times New Roman" w:cs="Calibri"/>
                <w:color w:val="000000"/>
                <w:sz w:val="18"/>
                <w:lang w:val="sl-SI" w:eastAsia="sl-SI"/>
              </w:rPr>
              <w:t>.</w:t>
            </w:r>
            <w:r w:rsidRPr="00D11296">
              <w:rPr>
                <w:rFonts w:eastAsia="Times New Roman" w:cs="Calibri"/>
                <w:color w:val="000000"/>
                <w:sz w:val="18"/>
                <w:lang w:val="sl-SI" w:eastAsia="sl-SI"/>
              </w:rPr>
              <w:t>827</w:t>
            </w:r>
          </w:p>
        </w:tc>
        <w:tc>
          <w:tcPr>
            <w:tcW w:w="1122" w:type="dxa"/>
            <w:shd w:val="clear" w:color="auto" w:fill="BFBFBF" w:themeFill="background1" w:themeFillShade="BF"/>
            <w:noWrap/>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val="sl-SI" w:eastAsia="sl-SI"/>
              </w:rPr>
              <w:t>100</w:t>
            </w:r>
          </w:p>
        </w:tc>
        <w:tc>
          <w:tcPr>
            <w:tcW w:w="1542" w:type="dxa"/>
            <w:shd w:val="clear" w:color="auto" w:fill="BFBFBF" w:themeFill="background1" w:themeFillShade="BF"/>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eastAsia="sl-SI"/>
              </w:rPr>
              <w:t>501</w:t>
            </w:r>
            <w:r w:rsidR="003975FB">
              <w:rPr>
                <w:rFonts w:eastAsia="Times New Roman" w:cs="Calibri"/>
                <w:color w:val="000000"/>
                <w:sz w:val="18"/>
                <w:lang w:eastAsia="sl-SI"/>
              </w:rPr>
              <w:t>.</w:t>
            </w:r>
            <w:r w:rsidRPr="00D11296">
              <w:rPr>
                <w:rFonts w:eastAsia="Times New Roman" w:cs="Calibri"/>
                <w:color w:val="000000"/>
                <w:sz w:val="18"/>
                <w:lang w:eastAsia="sl-SI"/>
              </w:rPr>
              <w:t>278</w:t>
            </w:r>
          </w:p>
        </w:tc>
        <w:tc>
          <w:tcPr>
            <w:tcW w:w="1190" w:type="dxa"/>
            <w:shd w:val="clear" w:color="auto" w:fill="BFBFBF" w:themeFill="background1" w:themeFillShade="BF"/>
            <w:hideMark/>
          </w:tcPr>
          <w:p w:rsidR="00D11296" w:rsidRPr="00D11296" w:rsidRDefault="00D11296" w:rsidP="00D11296">
            <w:pPr>
              <w:jc w:val="right"/>
              <w:rPr>
                <w:rFonts w:eastAsia="Times New Roman" w:cs="Calibri"/>
                <w:color w:val="000000"/>
                <w:sz w:val="18"/>
                <w:lang w:val="sl-SI" w:eastAsia="sl-SI"/>
              </w:rPr>
            </w:pPr>
            <w:r w:rsidRPr="00D11296">
              <w:rPr>
                <w:rFonts w:eastAsia="Times New Roman" w:cs="Calibri"/>
                <w:color w:val="000000"/>
                <w:sz w:val="18"/>
                <w:lang w:eastAsia="sl-SI"/>
              </w:rPr>
              <w:t>100</w:t>
            </w:r>
          </w:p>
        </w:tc>
      </w:tr>
    </w:tbl>
    <w:p w:rsidR="00C43791" w:rsidRDefault="00C43791" w:rsidP="000806C3">
      <w:pPr>
        <w:rPr>
          <w:rFonts w:cs="Arial"/>
          <w:sz w:val="22"/>
          <w:szCs w:val="22"/>
        </w:rPr>
      </w:pPr>
    </w:p>
    <w:p w:rsidR="00C43791" w:rsidRPr="00CB655A" w:rsidRDefault="00AF2498" w:rsidP="00CB655A">
      <w:pPr>
        <w:jc w:val="right"/>
        <w:rPr>
          <w:rFonts w:cs="Arial"/>
          <w:i/>
          <w:sz w:val="18"/>
        </w:rPr>
      </w:pPr>
      <w:r>
        <w:rPr>
          <w:rFonts w:cs="Arial"/>
          <w:i/>
          <w:sz w:val="18"/>
        </w:rPr>
        <w:t>Извор</w:t>
      </w:r>
      <w:r w:rsidR="00C43791" w:rsidRPr="006D281D">
        <w:rPr>
          <w:rFonts w:cs="Arial"/>
          <w:i/>
          <w:sz w:val="18"/>
        </w:rPr>
        <w:t>: MONSTAT</w:t>
      </w:r>
    </w:p>
    <w:p w:rsidR="00D11296" w:rsidRDefault="00D11296" w:rsidP="00DF3799">
      <w:pPr>
        <w:jc w:val="both"/>
        <w:rPr>
          <w:iCs/>
          <w:szCs w:val="20"/>
        </w:rPr>
      </w:pPr>
    </w:p>
    <w:p w:rsidR="00D11296" w:rsidRDefault="00DF3799" w:rsidP="00DF3799">
      <w:pPr>
        <w:jc w:val="both"/>
        <w:rPr>
          <w:rFonts w:cs="Arial"/>
          <w:sz w:val="22"/>
          <w:szCs w:val="22"/>
        </w:rPr>
      </w:pPr>
      <w:r w:rsidRPr="00DF3799">
        <w:rPr>
          <w:rFonts w:cs="Arial"/>
          <w:sz w:val="22"/>
          <w:szCs w:val="22"/>
        </w:rPr>
        <w:t>Образовна структура одраслог становништва је један од кључних фактора за социо-економски развој друштва па и локалног тржишта рада. Према посљедњем попису становништва општина Беране има нешто веће учешће становништва са непотпуним основним образовањем и основном школом у односу на просјек Црне Горе. Са друге стране, ниже је учешће особа са вишим и високим образовањем.</w:t>
      </w:r>
    </w:p>
    <w:p w:rsidR="00DF3799" w:rsidRPr="00DF3799" w:rsidRDefault="00DF3799" w:rsidP="00DF3799">
      <w:pPr>
        <w:jc w:val="both"/>
        <w:rPr>
          <w:iCs/>
          <w:szCs w:val="20"/>
        </w:rPr>
      </w:pPr>
    </w:p>
    <w:p w:rsidR="006A529A" w:rsidRPr="006A529A" w:rsidRDefault="006A529A" w:rsidP="00D11296">
      <w:pPr>
        <w:pStyle w:val="Heading2"/>
        <w:numPr>
          <w:ilvl w:val="1"/>
          <w:numId w:val="6"/>
        </w:numPr>
        <w:spacing w:before="0"/>
        <w:ind w:left="567" w:hanging="567"/>
        <w:rPr>
          <w:rFonts w:cs="Arial"/>
        </w:rPr>
      </w:pPr>
      <w:bookmarkStart w:id="17" w:name="_Toc44873760"/>
      <w:bookmarkStart w:id="18" w:name="_Toc52644726"/>
      <w:bookmarkStart w:id="19" w:name="_Toc74296641"/>
      <w:r w:rsidRPr="006A529A">
        <w:rPr>
          <w:rFonts w:cs="Arial"/>
        </w:rPr>
        <w:t>E</w:t>
      </w:r>
      <w:bookmarkEnd w:id="17"/>
      <w:bookmarkEnd w:id="18"/>
      <w:r w:rsidR="00DF3799">
        <w:rPr>
          <w:rFonts w:cs="Arial"/>
        </w:rPr>
        <w:t>кономија</w:t>
      </w:r>
      <w:bookmarkEnd w:id="19"/>
    </w:p>
    <w:p w:rsidR="006A529A" w:rsidRPr="006A529A" w:rsidRDefault="006A529A" w:rsidP="000806C3">
      <w:pPr>
        <w:pStyle w:val="ListParagraph"/>
        <w:ind w:left="864"/>
      </w:pPr>
    </w:p>
    <w:p w:rsidR="00DF3799" w:rsidRDefault="006A529A" w:rsidP="00CB655A">
      <w:pPr>
        <w:pStyle w:val="Heading3"/>
        <w:spacing w:before="0"/>
      </w:pPr>
      <w:r w:rsidRPr="006A529A">
        <w:t xml:space="preserve">2.3.1 </w:t>
      </w:r>
      <w:r w:rsidR="00DF3799" w:rsidRPr="00DF3799">
        <w:t>Постојећа ситуација и економски трендови</w:t>
      </w:r>
    </w:p>
    <w:p w:rsidR="00CB655A" w:rsidRPr="00CB655A" w:rsidRDefault="00CB655A" w:rsidP="00CB655A"/>
    <w:p w:rsidR="006A529A" w:rsidRDefault="00DF3799" w:rsidP="00DF3799">
      <w:pPr>
        <w:jc w:val="both"/>
        <w:rPr>
          <w:sz w:val="22"/>
          <w:szCs w:val="22"/>
        </w:rPr>
      </w:pPr>
      <w:r w:rsidRPr="00DF3799">
        <w:rPr>
          <w:color w:val="000000" w:themeColor="text1"/>
          <w:sz w:val="22"/>
          <w:szCs w:val="22"/>
        </w:rPr>
        <w:t xml:space="preserve">Према индексу конкурентности </w:t>
      </w:r>
      <w:r>
        <w:rPr>
          <w:color w:val="000000" w:themeColor="text1"/>
          <w:sz w:val="22"/>
          <w:szCs w:val="22"/>
        </w:rPr>
        <w:t>општина</w:t>
      </w:r>
      <w:r w:rsidR="006A529A" w:rsidRPr="006A529A">
        <w:rPr>
          <w:rStyle w:val="FootnoteReference"/>
          <w:sz w:val="22"/>
          <w:szCs w:val="22"/>
        </w:rPr>
        <w:footnoteReference w:id="4"/>
      </w:r>
      <w:r w:rsidR="006A529A" w:rsidRPr="006A529A">
        <w:rPr>
          <w:sz w:val="22"/>
          <w:szCs w:val="22"/>
        </w:rPr>
        <w:t>,</w:t>
      </w:r>
      <w:r w:rsidR="00CB655A">
        <w:rPr>
          <w:sz w:val="22"/>
          <w:szCs w:val="22"/>
        </w:rPr>
        <w:t xml:space="preserve"> </w:t>
      </w:r>
      <w:r w:rsidRPr="00DF3799">
        <w:rPr>
          <w:sz w:val="22"/>
          <w:szCs w:val="22"/>
        </w:rPr>
        <w:t>општина Беране заузимала је 18. мјесто од 21 општине у израчунавању тог индекса за период 2012-2014. године. У односу на просјек конкурентности свих локалних самоуправа, индекс конкурентности у Беранама износио је 66,8, што значи да је био значајно испод нивоа просјека Црне Горе. Та позиција је иста као током претходног мјерења индекса конкурентности (2009-2011.) уз благи раст вриједности од 0,2 поена.</w:t>
      </w:r>
    </w:p>
    <w:p w:rsidR="00CB655A" w:rsidRPr="00CB655A" w:rsidRDefault="00CB655A" w:rsidP="00DF3799">
      <w:pPr>
        <w:jc w:val="both"/>
        <w:rPr>
          <w:sz w:val="22"/>
          <w:szCs w:val="22"/>
        </w:rPr>
      </w:pPr>
    </w:p>
    <w:p w:rsidR="006A529A" w:rsidRPr="0068745C" w:rsidRDefault="0068745C" w:rsidP="000806C3">
      <w:pPr>
        <w:jc w:val="both"/>
      </w:pPr>
      <w:r>
        <w:t>Табела 3: Oцјена нивоа конкурентности општине Беране</w:t>
      </w:r>
    </w:p>
    <w:p w:rsidR="00C954A0" w:rsidRPr="006A529A" w:rsidRDefault="00C954A0" w:rsidP="000806C3">
      <w:pPr>
        <w:jc w:val="both"/>
        <w:rPr>
          <w:color w:val="000000" w:themeColor="text1"/>
          <w:sz w:val="22"/>
          <w:szCs w:val="22"/>
        </w:rPr>
      </w:pPr>
    </w:p>
    <w:tbl>
      <w:tblPr>
        <w:tblW w:w="8066" w:type="dxa"/>
        <w:tblInd w:w="723" w:type="dxa"/>
        <w:tblCellMar>
          <w:left w:w="0" w:type="dxa"/>
          <w:right w:w="0" w:type="dxa"/>
        </w:tblCellMar>
        <w:tblLook w:val="04A0"/>
      </w:tblPr>
      <w:tblGrid>
        <w:gridCol w:w="2538"/>
        <w:gridCol w:w="1701"/>
        <w:gridCol w:w="1842"/>
        <w:gridCol w:w="1985"/>
      </w:tblGrid>
      <w:tr w:rsidR="006A529A" w:rsidRPr="006A529A" w:rsidTr="00E0199F">
        <w:trPr>
          <w:trHeight w:val="334"/>
        </w:trPr>
        <w:tc>
          <w:tcPr>
            <w:tcW w:w="2538" w:type="dxa"/>
            <w:tcBorders>
              <w:top w:val="single" w:sz="4" w:space="0" w:color="BFBFBF" w:themeColor="background1" w:themeShade="BF"/>
              <w:bottom w:val="single" w:sz="4" w:space="0" w:color="BFBFBF" w:themeColor="background1" w:themeShade="BF"/>
            </w:tcBorders>
            <w:shd w:val="clear" w:color="auto" w:fill="BFBFBF" w:themeFill="background1" w:themeFillShade="BF"/>
            <w:tcMar>
              <w:top w:w="15" w:type="dxa"/>
              <w:left w:w="104" w:type="dxa"/>
              <w:bottom w:w="0" w:type="dxa"/>
              <w:right w:w="104" w:type="dxa"/>
            </w:tcMar>
            <w:vAlign w:val="center"/>
            <w:hideMark/>
          </w:tcPr>
          <w:p w:rsidR="006A529A" w:rsidRPr="006A529A" w:rsidRDefault="006A529A" w:rsidP="000806C3">
            <w:pPr>
              <w:jc w:val="both"/>
              <w:rPr>
                <w:rFonts w:cs="Arial"/>
                <w:color w:val="000000" w:themeColor="text1"/>
                <w:szCs w:val="20"/>
                <w:lang w:val="sl-SI"/>
              </w:rPr>
            </w:pPr>
            <w:r w:rsidRPr="006A529A">
              <w:rPr>
                <w:rFonts w:cs="Arial"/>
                <w:color w:val="000000" w:themeColor="text1"/>
                <w:szCs w:val="20"/>
              </w:rPr>
              <w:t> </w:t>
            </w:r>
          </w:p>
        </w:tc>
        <w:tc>
          <w:tcPr>
            <w:tcW w:w="1701" w:type="dxa"/>
            <w:tcBorders>
              <w:top w:val="single" w:sz="4" w:space="0" w:color="BFBFBF" w:themeColor="background1" w:themeShade="BF"/>
              <w:bottom w:val="single" w:sz="4" w:space="0" w:color="BFBFBF" w:themeColor="background1" w:themeShade="BF"/>
            </w:tcBorders>
            <w:shd w:val="clear" w:color="auto" w:fill="BFBFBF" w:themeFill="background1" w:themeFillShade="BF"/>
            <w:tcMar>
              <w:top w:w="15" w:type="dxa"/>
              <w:left w:w="104" w:type="dxa"/>
              <w:bottom w:w="0" w:type="dxa"/>
              <w:right w:w="104" w:type="dxa"/>
            </w:tcMar>
            <w:vAlign w:val="center"/>
            <w:hideMark/>
          </w:tcPr>
          <w:p w:rsidR="006A529A" w:rsidRPr="00C954A0" w:rsidRDefault="006A529A" w:rsidP="000806C3">
            <w:pPr>
              <w:jc w:val="center"/>
              <w:rPr>
                <w:rFonts w:cs="Arial"/>
                <w:color w:val="000000" w:themeColor="text1"/>
                <w:sz w:val="18"/>
                <w:lang w:val="sl-SI"/>
              </w:rPr>
            </w:pPr>
            <w:r w:rsidRPr="00C954A0">
              <w:rPr>
                <w:rFonts w:cs="Arial"/>
                <w:color w:val="000000" w:themeColor="text1"/>
                <w:sz w:val="18"/>
              </w:rPr>
              <w:t>2009 -2011.</w:t>
            </w:r>
          </w:p>
        </w:tc>
        <w:tc>
          <w:tcPr>
            <w:tcW w:w="1842" w:type="dxa"/>
            <w:tcBorders>
              <w:top w:val="single" w:sz="4" w:space="0" w:color="BFBFBF" w:themeColor="background1" w:themeShade="BF"/>
              <w:bottom w:val="single" w:sz="4" w:space="0" w:color="BFBFBF" w:themeColor="background1" w:themeShade="BF"/>
            </w:tcBorders>
            <w:shd w:val="clear" w:color="auto" w:fill="BFBFBF" w:themeFill="background1" w:themeFillShade="BF"/>
            <w:tcMar>
              <w:top w:w="15" w:type="dxa"/>
              <w:left w:w="104" w:type="dxa"/>
              <w:bottom w:w="0" w:type="dxa"/>
              <w:right w:w="104" w:type="dxa"/>
            </w:tcMar>
            <w:vAlign w:val="center"/>
            <w:hideMark/>
          </w:tcPr>
          <w:p w:rsidR="006A529A" w:rsidRPr="00C954A0" w:rsidRDefault="006A529A" w:rsidP="000806C3">
            <w:pPr>
              <w:jc w:val="center"/>
              <w:rPr>
                <w:rFonts w:cs="Arial"/>
                <w:color w:val="000000" w:themeColor="text1"/>
                <w:sz w:val="18"/>
                <w:lang w:val="sl-SI"/>
              </w:rPr>
            </w:pPr>
            <w:r w:rsidRPr="00C954A0">
              <w:rPr>
                <w:rFonts w:cs="Arial"/>
                <w:color w:val="000000" w:themeColor="text1"/>
                <w:sz w:val="18"/>
              </w:rPr>
              <w:t>2012-2014.</w:t>
            </w:r>
          </w:p>
        </w:tc>
        <w:tc>
          <w:tcPr>
            <w:tcW w:w="1985" w:type="dxa"/>
            <w:tcBorders>
              <w:top w:val="single" w:sz="4" w:space="0" w:color="BFBFBF" w:themeColor="background1" w:themeShade="BF"/>
              <w:bottom w:val="single" w:sz="4" w:space="0" w:color="BFBFBF" w:themeColor="background1" w:themeShade="BF"/>
            </w:tcBorders>
            <w:shd w:val="clear" w:color="auto" w:fill="BFBFBF" w:themeFill="background1" w:themeFillShade="BF"/>
            <w:tcMar>
              <w:top w:w="15" w:type="dxa"/>
              <w:left w:w="104" w:type="dxa"/>
              <w:bottom w:w="0" w:type="dxa"/>
              <w:right w:w="104" w:type="dxa"/>
            </w:tcMar>
            <w:hideMark/>
          </w:tcPr>
          <w:p w:rsidR="00C954A0" w:rsidRDefault="00C954A0" w:rsidP="000806C3">
            <w:pPr>
              <w:jc w:val="center"/>
              <w:rPr>
                <w:rFonts w:cs="Arial"/>
                <w:color w:val="000000" w:themeColor="text1"/>
                <w:sz w:val="18"/>
              </w:rPr>
            </w:pPr>
          </w:p>
          <w:p w:rsidR="006A529A" w:rsidRDefault="006A529A" w:rsidP="000806C3">
            <w:pPr>
              <w:jc w:val="center"/>
              <w:rPr>
                <w:rFonts w:cs="Arial"/>
                <w:color w:val="000000" w:themeColor="text1"/>
                <w:sz w:val="18"/>
              </w:rPr>
            </w:pPr>
            <w:r w:rsidRPr="00C954A0">
              <w:rPr>
                <w:rFonts w:cs="Arial"/>
                <w:color w:val="000000" w:themeColor="text1"/>
                <w:sz w:val="18"/>
              </w:rPr>
              <w:t>2015-2017.</w:t>
            </w:r>
          </w:p>
          <w:p w:rsidR="00C954A0" w:rsidRPr="00C954A0" w:rsidRDefault="00C954A0" w:rsidP="000806C3">
            <w:pPr>
              <w:jc w:val="center"/>
              <w:rPr>
                <w:rFonts w:cs="Arial"/>
                <w:color w:val="000000" w:themeColor="text1"/>
                <w:sz w:val="18"/>
                <w:lang w:val="sl-SI"/>
              </w:rPr>
            </w:pPr>
          </w:p>
          <w:p w:rsidR="006A529A" w:rsidRPr="00C954A0" w:rsidRDefault="006A529A" w:rsidP="000806C3">
            <w:pPr>
              <w:jc w:val="center"/>
              <w:rPr>
                <w:rFonts w:cs="Arial"/>
                <w:color w:val="000000" w:themeColor="text1"/>
                <w:sz w:val="18"/>
                <w:lang w:val="sl-SI"/>
              </w:rPr>
            </w:pPr>
          </w:p>
        </w:tc>
      </w:tr>
      <w:tr w:rsidR="006A529A" w:rsidRPr="006A529A" w:rsidTr="00E0199F">
        <w:trPr>
          <w:trHeight w:val="119"/>
        </w:trPr>
        <w:tc>
          <w:tcPr>
            <w:tcW w:w="253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hideMark/>
          </w:tcPr>
          <w:p w:rsidR="006A529A" w:rsidRPr="0068745C" w:rsidRDefault="0068745C" w:rsidP="000806C3">
            <w:pPr>
              <w:jc w:val="both"/>
              <w:rPr>
                <w:rFonts w:cs="Arial"/>
                <w:color w:val="000000" w:themeColor="text1"/>
                <w:sz w:val="18"/>
              </w:rPr>
            </w:pPr>
            <w:r>
              <w:rPr>
                <w:rFonts w:cs="Arial"/>
                <w:color w:val="000000" w:themeColor="text1"/>
                <w:sz w:val="18"/>
              </w:rPr>
              <w:t>Индекс конкурентности</w:t>
            </w:r>
            <w:r w:rsidR="006A529A" w:rsidRPr="006A529A">
              <w:rPr>
                <w:rFonts w:cs="Arial"/>
                <w:color w:val="000000" w:themeColor="text1"/>
                <w:sz w:val="18"/>
              </w:rPr>
              <w:t xml:space="preserve"> </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tcPr>
          <w:p w:rsidR="006A529A" w:rsidRPr="006A529A" w:rsidRDefault="006A529A" w:rsidP="000806C3">
            <w:pPr>
              <w:jc w:val="center"/>
              <w:rPr>
                <w:rFonts w:cs="Arial"/>
                <w:color w:val="000000" w:themeColor="text1"/>
                <w:sz w:val="18"/>
                <w:lang w:val="sl-SI"/>
              </w:rPr>
            </w:pPr>
            <w:r w:rsidRPr="006A529A">
              <w:rPr>
                <w:rFonts w:cs="Arial"/>
                <w:color w:val="000000" w:themeColor="text1"/>
                <w:sz w:val="18"/>
                <w:lang w:val="sl-SI"/>
              </w:rPr>
              <w:t>66,6</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tcPr>
          <w:p w:rsidR="006A529A" w:rsidRPr="006A529A" w:rsidRDefault="006A529A" w:rsidP="000806C3">
            <w:pPr>
              <w:jc w:val="center"/>
              <w:rPr>
                <w:rFonts w:cs="Arial"/>
                <w:color w:val="000000" w:themeColor="text1"/>
                <w:sz w:val="18"/>
                <w:lang w:val="sl-SI"/>
              </w:rPr>
            </w:pPr>
            <w:r w:rsidRPr="006A529A">
              <w:rPr>
                <w:rFonts w:cs="Arial"/>
                <w:color w:val="000000" w:themeColor="text1"/>
                <w:sz w:val="18"/>
                <w:lang w:val="sl-SI"/>
              </w:rPr>
              <w:t>66,8</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15" w:type="dxa"/>
              <w:left w:w="104" w:type="dxa"/>
              <w:bottom w:w="0" w:type="dxa"/>
              <w:right w:w="104" w:type="dxa"/>
            </w:tcMar>
          </w:tcPr>
          <w:p w:rsidR="006A529A" w:rsidRPr="006A529A" w:rsidRDefault="006A529A" w:rsidP="000806C3">
            <w:pPr>
              <w:jc w:val="center"/>
              <w:rPr>
                <w:rFonts w:cs="Arial"/>
                <w:color w:val="000000" w:themeColor="text1"/>
                <w:sz w:val="18"/>
                <w:lang w:val="sl-SI"/>
              </w:rPr>
            </w:pPr>
            <w:r w:rsidRPr="006A529A">
              <w:rPr>
                <w:rFonts w:cs="Arial"/>
                <w:color w:val="000000" w:themeColor="text1"/>
                <w:sz w:val="18"/>
                <w:lang w:val="sl-SI"/>
              </w:rPr>
              <w:t>60,1</w:t>
            </w:r>
          </w:p>
        </w:tc>
      </w:tr>
      <w:tr w:rsidR="006A529A" w:rsidRPr="006A529A" w:rsidTr="00E0199F">
        <w:trPr>
          <w:trHeight w:val="234"/>
        </w:trPr>
        <w:tc>
          <w:tcPr>
            <w:tcW w:w="253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hideMark/>
          </w:tcPr>
          <w:p w:rsidR="006A529A" w:rsidRPr="0068745C" w:rsidRDefault="0068745C" w:rsidP="000806C3">
            <w:pPr>
              <w:jc w:val="both"/>
              <w:rPr>
                <w:rFonts w:cs="Arial"/>
                <w:color w:val="000000" w:themeColor="text1"/>
                <w:sz w:val="18"/>
              </w:rPr>
            </w:pPr>
            <w:r>
              <w:rPr>
                <w:rFonts w:cs="Arial"/>
                <w:color w:val="000000" w:themeColor="text1"/>
                <w:sz w:val="18"/>
              </w:rPr>
              <w:t xml:space="preserve">Степен </w:t>
            </w:r>
            <w:r w:rsidR="006A529A" w:rsidRPr="006A529A">
              <w:rPr>
                <w:rFonts w:cs="Arial"/>
                <w:color w:val="000000" w:themeColor="text1"/>
                <w:sz w:val="18"/>
              </w:rPr>
              <w:t xml:space="preserve"> </w:t>
            </w:r>
            <w:r>
              <w:rPr>
                <w:rFonts w:cs="Arial"/>
                <w:color w:val="000000" w:themeColor="text1"/>
                <w:sz w:val="18"/>
              </w:rPr>
              <w:t>конкурентности</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tcPr>
          <w:p w:rsidR="006A529A" w:rsidRPr="006A529A" w:rsidRDefault="006A529A" w:rsidP="000806C3">
            <w:pPr>
              <w:jc w:val="center"/>
              <w:rPr>
                <w:rFonts w:cs="Arial"/>
                <w:color w:val="000000" w:themeColor="text1"/>
                <w:sz w:val="18"/>
                <w:lang w:val="sl-SI"/>
              </w:rPr>
            </w:pPr>
            <w:r w:rsidRPr="006A529A">
              <w:rPr>
                <w:rFonts w:cs="Arial"/>
                <w:color w:val="000000" w:themeColor="text1"/>
                <w:sz w:val="18"/>
                <w:lang w:val="sl-SI"/>
              </w:rPr>
              <w:t>18</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tcPr>
          <w:p w:rsidR="006A529A" w:rsidRPr="006A529A" w:rsidRDefault="006A529A" w:rsidP="000806C3">
            <w:pPr>
              <w:jc w:val="center"/>
              <w:rPr>
                <w:rFonts w:cs="Arial"/>
                <w:color w:val="000000" w:themeColor="text1"/>
                <w:sz w:val="18"/>
                <w:lang w:val="sl-SI"/>
              </w:rPr>
            </w:pPr>
            <w:r w:rsidRPr="006A529A">
              <w:rPr>
                <w:rFonts w:cs="Arial"/>
                <w:color w:val="000000" w:themeColor="text1"/>
                <w:sz w:val="18"/>
                <w:lang w:val="sl-SI"/>
              </w:rPr>
              <w:t>18</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15" w:type="dxa"/>
              <w:left w:w="104" w:type="dxa"/>
              <w:bottom w:w="0" w:type="dxa"/>
              <w:right w:w="104" w:type="dxa"/>
            </w:tcMar>
          </w:tcPr>
          <w:p w:rsidR="006A529A" w:rsidRPr="006A529A" w:rsidRDefault="006A529A" w:rsidP="000806C3">
            <w:pPr>
              <w:jc w:val="center"/>
              <w:rPr>
                <w:rFonts w:cs="Arial"/>
                <w:color w:val="000000" w:themeColor="text1"/>
                <w:sz w:val="18"/>
                <w:lang w:val="sl-SI"/>
              </w:rPr>
            </w:pPr>
            <w:r w:rsidRPr="006A529A">
              <w:rPr>
                <w:rFonts w:cs="Arial"/>
                <w:color w:val="000000" w:themeColor="text1"/>
                <w:sz w:val="18"/>
                <w:lang w:val="sl-SI"/>
              </w:rPr>
              <w:t>21</w:t>
            </w:r>
          </w:p>
        </w:tc>
      </w:tr>
    </w:tbl>
    <w:p w:rsidR="006A529A" w:rsidRPr="0068745C" w:rsidRDefault="0068745C" w:rsidP="000806C3">
      <w:pPr>
        <w:jc w:val="right"/>
        <w:rPr>
          <w:rFonts w:cs="Arial"/>
          <w:i/>
          <w:color w:val="000000" w:themeColor="text1"/>
          <w:sz w:val="18"/>
        </w:rPr>
      </w:pPr>
      <w:r>
        <w:rPr>
          <w:rFonts w:cs="Arial"/>
          <w:i/>
          <w:color w:val="000000" w:themeColor="text1"/>
          <w:sz w:val="18"/>
        </w:rPr>
        <w:t>Извор: Министарство економије  Црне Горе</w:t>
      </w:r>
    </w:p>
    <w:p w:rsidR="006A529A" w:rsidRDefault="006A529A" w:rsidP="000806C3">
      <w:pPr>
        <w:jc w:val="both"/>
        <w:rPr>
          <w:color w:val="000000" w:themeColor="text1"/>
          <w:sz w:val="22"/>
          <w:szCs w:val="22"/>
        </w:rPr>
      </w:pPr>
    </w:p>
    <w:p w:rsidR="006A529A" w:rsidRDefault="00CB655A" w:rsidP="000806C3">
      <w:pPr>
        <w:jc w:val="both"/>
        <w:rPr>
          <w:color w:val="000000" w:themeColor="text1"/>
          <w:sz w:val="22"/>
          <w:szCs w:val="22"/>
        </w:rPr>
      </w:pPr>
      <w:r w:rsidRPr="00CB655A">
        <w:rPr>
          <w:color w:val="000000" w:themeColor="text1"/>
          <w:sz w:val="22"/>
          <w:szCs w:val="22"/>
        </w:rPr>
        <w:t>У периоду 2015-2017. ситуација се знатно погоршала кад је у питању вриједност индекса (60,1), али и када је ријеч о позицији међу општинама (21. на ранг листи од 23 општине).</w:t>
      </w:r>
    </w:p>
    <w:p w:rsidR="00CB655A" w:rsidRPr="00CB655A" w:rsidRDefault="00CB655A" w:rsidP="000806C3">
      <w:pPr>
        <w:jc w:val="both"/>
        <w:rPr>
          <w:color w:val="000000" w:themeColor="text1"/>
          <w:sz w:val="22"/>
          <w:szCs w:val="22"/>
        </w:rPr>
      </w:pPr>
    </w:p>
    <w:p w:rsidR="006A529A" w:rsidRDefault="0068745C" w:rsidP="000806C3">
      <w:pPr>
        <w:jc w:val="both"/>
      </w:pPr>
      <w:r>
        <w:t>Табела</w:t>
      </w:r>
      <w:r w:rsidR="006A529A">
        <w:t xml:space="preserve"> 4</w:t>
      </w:r>
      <w:r w:rsidR="006A529A" w:rsidRPr="00C75D9B">
        <w:t xml:space="preserve">: </w:t>
      </w:r>
      <w:r>
        <w:t>Оцјена нивоа развије</w:t>
      </w:r>
      <w:r w:rsidRPr="0068745C">
        <w:t>ности општине Беране</w:t>
      </w:r>
    </w:p>
    <w:tbl>
      <w:tblPr>
        <w:tblpPr w:leftFromText="141" w:rightFromText="141" w:vertAnchor="text" w:horzAnchor="margin" w:tblpXSpec="center" w:tblpY="159"/>
        <w:tblW w:w="6521" w:type="dxa"/>
        <w:tblCellMar>
          <w:left w:w="0" w:type="dxa"/>
          <w:right w:w="0" w:type="dxa"/>
        </w:tblCellMar>
        <w:tblLook w:val="04A0"/>
      </w:tblPr>
      <w:tblGrid>
        <w:gridCol w:w="2268"/>
        <w:gridCol w:w="2127"/>
        <w:gridCol w:w="2126"/>
      </w:tblGrid>
      <w:tr w:rsidR="00D458A7" w:rsidRPr="006A529A" w:rsidTr="00E0199F">
        <w:trPr>
          <w:trHeight w:val="222"/>
        </w:trPr>
        <w:tc>
          <w:tcPr>
            <w:tcW w:w="2268" w:type="dxa"/>
            <w:tcBorders>
              <w:top w:val="single" w:sz="4" w:space="0" w:color="BFBFBF" w:themeColor="background1" w:themeShade="BF"/>
              <w:bottom w:val="single" w:sz="4" w:space="0" w:color="BFBFBF" w:themeColor="background1" w:themeShade="BF"/>
            </w:tcBorders>
            <w:shd w:val="clear" w:color="auto" w:fill="BFBFBF" w:themeFill="background1" w:themeFillShade="BF"/>
            <w:tcMar>
              <w:top w:w="15" w:type="dxa"/>
              <w:left w:w="104" w:type="dxa"/>
              <w:bottom w:w="0" w:type="dxa"/>
              <w:right w:w="104" w:type="dxa"/>
            </w:tcMar>
            <w:vAlign w:val="center"/>
            <w:hideMark/>
          </w:tcPr>
          <w:p w:rsidR="00D458A7" w:rsidRPr="006A529A" w:rsidRDefault="00D458A7" w:rsidP="00D458A7">
            <w:pPr>
              <w:jc w:val="both"/>
              <w:rPr>
                <w:rFonts w:cs="Arial"/>
                <w:color w:val="000000" w:themeColor="text1"/>
                <w:sz w:val="18"/>
                <w:lang w:val="sl-SI"/>
              </w:rPr>
            </w:pPr>
            <w:r w:rsidRPr="006A529A">
              <w:rPr>
                <w:rFonts w:cs="Arial"/>
                <w:color w:val="000000" w:themeColor="text1"/>
                <w:sz w:val="18"/>
              </w:rPr>
              <w:t> </w:t>
            </w:r>
          </w:p>
        </w:tc>
        <w:tc>
          <w:tcPr>
            <w:tcW w:w="2127" w:type="dxa"/>
            <w:tcBorders>
              <w:top w:val="single" w:sz="4" w:space="0" w:color="BFBFBF" w:themeColor="background1" w:themeShade="BF"/>
              <w:bottom w:val="single" w:sz="4" w:space="0" w:color="BFBFBF" w:themeColor="background1" w:themeShade="BF"/>
            </w:tcBorders>
            <w:shd w:val="clear" w:color="auto" w:fill="BFBFBF" w:themeFill="background1" w:themeFillShade="BF"/>
            <w:tcMar>
              <w:top w:w="15" w:type="dxa"/>
              <w:left w:w="104" w:type="dxa"/>
              <w:bottom w:w="0" w:type="dxa"/>
              <w:right w:w="104" w:type="dxa"/>
            </w:tcMar>
            <w:vAlign w:val="center"/>
            <w:hideMark/>
          </w:tcPr>
          <w:p w:rsidR="00D458A7" w:rsidRPr="006A529A" w:rsidRDefault="00D458A7" w:rsidP="00D458A7">
            <w:pPr>
              <w:jc w:val="center"/>
              <w:rPr>
                <w:rFonts w:cs="Arial"/>
                <w:color w:val="000000" w:themeColor="text1"/>
                <w:sz w:val="18"/>
                <w:lang w:val="sl-SI"/>
              </w:rPr>
            </w:pPr>
            <w:r w:rsidRPr="006A529A">
              <w:rPr>
                <w:rFonts w:cs="Arial"/>
                <w:color w:val="000000" w:themeColor="text1"/>
                <w:sz w:val="18"/>
              </w:rPr>
              <w:t>2013-2015.</w:t>
            </w:r>
          </w:p>
        </w:tc>
        <w:tc>
          <w:tcPr>
            <w:tcW w:w="2126" w:type="dxa"/>
            <w:tcBorders>
              <w:top w:val="single" w:sz="4" w:space="0" w:color="BFBFBF" w:themeColor="background1" w:themeShade="BF"/>
              <w:bottom w:val="single" w:sz="4" w:space="0" w:color="BFBFBF" w:themeColor="background1" w:themeShade="BF"/>
            </w:tcBorders>
            <w:shd w:val="clear" w:color="auto" w:fill="BFBFBF" w:themeFill="background1" w:themeFillShade="BF"/>
            <w:tcMar>
              <w:top w:w="15" w:type="dxa"/>
              <w:left w:w="104" w:type="dxa"/>
              <w:bottom w:w="0" w:type="dxa"/>
              <w:right w:w="104" w:type="dxa"/>
            </w:tcMar>
            <w:vAlign w:val="center"/>
            <w:hideMark/>
          </w:tcPr>
          <w:p w:rsidR="00D458A7" w:rsidRDefault="00D458A7" w:rsidP="00D458A7">
            <w:pPr>
              <w:jc w:val="center"/>
              <w:rPr>
                <w:rFonts w:cs="Arial"/>
                <w:color w:val="000000" w:themeColor="text1"/>
                <w:sz w:val="18"/>
              </w:rPr>
            </w:pPr>
          </w:p>
          <w:p w:rsidR="00D458A7" w:rsidRDefault="00D458A7" w:rsidP="00D458A7">
            <w:pPr>
              <w:jc w:val="center"/>
              <w:rPr>
                <w:rFonts w:cs="Arial"/>
                <w:color w:val="000000" w:themeColor="text1"/>
                <w:sz w:val="18"/>
              </w:rPr>
            </w:pPr>
            <w:r>
              <w:rPr>
                <w:rFonts w:cs="Arial"/>
                <w:color w:val="000000" w:themeColor="text1"/>
                <w:sz w:val="18"/>
              </w:rPr>
              <w:t>2016</w:t>
            </w:r>
            <w:r w:rsidRPr="006A529A">
              <w:rPr>
                <w:rFonts w:cs="Arial"/>
                <w:color w:val="000000" w:themeColor="text1"/>
                <w:sz w:val="18"/>
              </w:rPr>
              <w:t>-2018.</w:t>
            </w:r>
          </w:p>
          <w:p w:rsidR="00D458A7" w:rsidRPr="006A529A" w:rsidRDefault="00D458A7" w:rsidP="00D458A7">
            <w:pPr>
              <w:jc w:val="center"/>
              <w:rPr>
                <w:rFonts w:cs="Arial"/>
                <w:color w:val="000000" w:themeColor="text1"/>
                <w:sz w:val="18"/>
                <w:lang w:val="sl-SI"/>
              </w:rPr>
            </w:pPr>
          </w:p>
          <w:p w:rsidR="00D458A7" w:rsidRPr="006A529A" w:rsidRDefault="00D458A7" w:rsidP="00D458A7">
            <w:pPr>
              <w:jc w:val="center"/>
              <w:rPr>
                <w:rFonts w:cs="Arial"/>
                <w:color w:val="000000" w:themeColor="text1"/>
                <w:sz w:val="18"/>
                <w:lang w:val="sl-SI"/>
              </w:rPr>
            </w:pPr>
          </w:p>
        </w:tc>
      </w:tr>
      <w:tr w:rsidR="00D458A7" w:rsidRPr="006A529A" w:rsidTr="00E0199F">
        <w:trPr>
          <w:trHeight w:val="87"/>
        </w:trPr>
        <w:tc>
          <w:tcPr>
            <w:tcW w:w="22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hideMark/>
          </w:tcPr>
          <w:p w:rsidR="00D458A7" w:rsidRPr="00486860" w:rsidRDefault="00486860" w:rsidP="00D458A7">
            <w:pPr>
              <w:jc w:val="both"/>
              <w:rPr>
                <w:rFonts w:cs="Arial"/>
                <w:color w:val="000000" w:themeColor="text1"/>
                <w:sz w:val="18"/>
              </w:rPr>
            </w:pPr>
            <w:r>
              <w:rPr>
                <w:rFonts w:cs="Arial"/>
                <w:color w:val="000000" w:themeColor="text1"/>
                <w:sz w:val="18"/>
              </w:rPr>
              <w:t>Индекс развијености</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tcPr>
          <w:p w:rsidR="00D458A7" w:rsidRPr="006A529A" w:rsidRDefault="00D458A7" w:rsidP="00D458A7">
            <w:pPr>
              <w:jc w:val="center"/>
              <w:rPr>
                <w:rFonts w:cs="Arial"/>
                <w:color w:val="000000" w:themeColor="text1"/>
                <w:sz w:val="18"/>
                <w:lang w:val="sl-SI"/>
              </w:rPr>
            </w:pPr>
            <w:r w:rsidRPr="006A529A">
              <w:rPr>
                <w:rFonts w:cs="Arial"/>
                <w:color w:val="000000" w:themeColor="text1"/>
                <w:sz w:val="18"/>
                <w:lang w:val="sl-SI"/>
              </w:rPr>
              <w:t>65,55</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15" w:type="dxa"/>
              <w:left w:w="104" w:type="dxa"/>
              <w:bottom w:w="0" w:type="dxa"/>
              <w:right w:w="104" w:type="dxa"/>
            </w:tcMar>
          </w:tcPr>
          <w:p w:rsidR="00D458A7" w:rsidRPr="006A529A" w:rsidRDefault="00D458A7" w:rsidP="00D458A7">
            <w:pPr>
              <w:jc w:val="center"/>
              <w:rPr>
                <w:rFonts w:cs="Arial"/>
                <w:color w:val="000000" w:themeColor="text1"/>
                <w:sz w:val="18"/>
                <w:lang w:val="sl-SI"/>
              </w:rPr>
            </w:pPr>
            <w:r w:rsidRPr="006A529A">
              <w:rPr>
                <w:rFonts w:cs="Arial"/>
                <w:color w:val="000000" w:themeColor="text1"/>
                <w:sz w:val="18"/>
                <w:lang w:val="sl-SI"/>
              </w:rPr>
              <w:t>58,32</w:t>
            </w:r>
          </w:p>
        </w:tc>
      </w:tr>
      <w:tr w:rsidR="00D458A7" w:rsidRPr="006A529A" w:rsidTr="00E0199F">
        <w:trPr>
          <w:trHeight w:val="171"/>
        </w:trPr>
        <w:tc>
          <w:tcPr>
            <w:tcW w:w="22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hideMark/>
          </w:tcPr>
          <w:p w:rsidR="00D458A7" w:rsidRPr="00486860" w:rsidRDefault="00486860" w:rsidP="00D458A7">
            <w:pPr>
              <w:jc w:val="both"/>
              <w:rPr>
                <w:rFonts w:cs="Arial"/>
                <w:color w:val="000000" w:themeColor="text1"/>
                <w:sz w:val="18"/>
              </w:rPr>
            </w:pPr>
            <w:r>
              <w:rPr>
                <w:rFonts w:cs="Arial"/>
                <w:color w:val="000000" w:themeColor="text1"/>
                <w:sz w:val="18"/>
              </w:rPr>
              <w:t>Степен развијености</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15" w:type="dxa"/>
              <w:left w:w="104" w:type="dxa"/>
              <w:bottom w:w="0" w:type="dxa"/>
              <w:right w:w="104" w:type="dxa"/>
            </w:tcMar>
          </w:tcPr>
          <w:p w:rsidR="00D458A7" w:rsidRPr="006A529A" w:rsidRDefault="00D458A7" w:rsidP="00D458A7">
            <w:pPr>
              <w:jc w:val="center"/>
              <w:rPr>
                <w:rFonts w:cs="Arial"/>
                <w:color w:val="000000" w:themeColor="text1"/>
                <w:sz w:val="18"/>
                <w:lang w:val="sl-SI"/>
              </w:rPr>
            </w:pPr>
            <w:r w:rsidRPr="006A529A">
              <w:rPr>
                <w:rFonts w:cs="Arial"/>
                <w:color w:val="000000" w:themeColor="text1"/>
                <w:sz w:val="18"/>
                <w:lang w:val="sl-SI"/>
              </w:rPr>
              <w:t>14</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15" w:type="dxa"/>
              <w:left w:w="104" w:type="dxa"/>
              <w:bottom w:w="0" w:type="dxa"/>
              <w:right w:w="104" w:type="dxa"/>
            </w:tcMar>
          </w:tcPr>
          <w:p w:rsidR="00D458A7" w:rsidRPr="006A529A" w:rsidRDefault="00D458A7" w:rsidP="00D458A7">
            <w:pPr>
              <w:jc w:val="center"/>
              <w:rPr>
                <w:rFonts w:cs="Arial"/>
                <w:color w:val="000000" w:themeColor="text1"/>
                <w:sz w:val="18"/>
                <w:lang w:val="sl-SI"/>
              </w:rPr>
            </w:pPr>
            <w:r w:rsidRPr="006A529A">
              <w:rPr>
                <w:rFonts w:cs="Arial"/>
                <w:color w:val="000000" w:themeColor="text1"/>
                <w:sz w:val="18"/>
                <w:lang w:val="sl-SI"/>
              </w:rPr>
              <w:t>18</w:t>
            </w:r>
          </w:p>
        </w:tc>
      </w:tr>
    </w:tbl>
    <w:p w:rsidR="00C954A0" w:rsidRPr="006A529A" w:rsidRDefault="00C954A0" w:rsidP="000806C3">
      <w:pPr>
        <w:jc w:val="both"/>
        <w:rPr>
          <w:rFonts w:cs="Arial"/>
          <w:color w:val="000000" w:themeColor="text1"/>
          <w:sz w:val="22"/>
          <w:szCs w:val="22"/>
        </w:rPr>
      </w:pPr>
    </w:p>
    <w:p w:rsidR="00D458A7" w:rsidRDefault="00D458A7" w:rsidP="000806C3">
      <w:pPr>
        <w:jc w:val="right"/>
        <w:rPr>
          <w:rFonts w:cs="Arial"/>
          <w:i/>
          <w:color w:val="000000" w:themeColor="text1"/>
          <w:sz w:val="18"/>
        </w:rPr>
      </w:pPr>
    </w:p>
    <w:p w:rsidR="00D458A7" w:rsidRDefault="00D458A7" w:rsidP="000806C3">
      <w:pPr>
        <w:jc w:val="right"/>
        <w:rPr>
          <w:rFonts w:cs="Arial"/>
          <w:i/>
          <w:color w:val="000000" w:themeColor="text1"/>
          <w:sz w:val="18"/>
        </w:rPr>
      </w:pPr>
    </w:p>
    <w:p w:rsidR="00D458A7" w:rsidRDefault="00D458A7" w:rsidP="000806C3">
      <w:pPr>
        <w:jc w:val="right"/>
        <w:rPr>
          <w:rFonts w:cs="Arial"/>
          <w:i/>
          <w:color w:val="000000" w:themeColor="text1"/>
          <w:sz w:val="18"/>
        </w:rPr>
      </w:pPr>
    </w:p>
    <w:p w:rsidR="00D458A7" w:rsidRDefault="00D458A7" w:rsidP="000806C3">
      <w:pPr>
        <w:jc w:val="right"/>
        <w:rPr>
          <w:rFonts w:cs="Arial"/>
          <w:i/>
          <w:color w:val="000000" w:themeColor="text1"/>
          <w:sz w:val="18"/>
        </w:rPr>
      </w:pPr>
    </w:p>
    <w:p w:rsidR="00D458A7" w:rsidRDefault="00D458A7" w:rsidP="000806C3">
      <w:pPr>
        <w:jc w:val="right"/>
        <w:rPr>
          <w:rFonts w:cs="Arial"/>
          <w:i/>
          <w:color w:val="000000" w:themeColor="text1"/>
          <w:sz w:val="18"/>
        </w:rPr>
      </w:pPr>
    </w:p>
    <w:p w:rsidR="00D458A7" w:rsidRDefault="00D458A7" w:rsidP="000806C3">
      <w:pPr>
        <w:jc w:val="right"/>
        <w:rPr>
          <w:rFonts w:cs="Arial"/>
          <w:i/>
          <w:color w:val="000000" w:themeColor="text1"/>
          <w:sz w:val="18"/>
        </w:rPr>
      </w:pPr>
    </w:p>
    <w:p w:rsidR="00486860" w:rsidRPr="0068745C" w:rsidRDefault="00486860" w:rsidP="00486860">
      <w:pPr>
        <w:jc w:val="right"/>
        <w:rPr>
          <w:rFonts w:cs="Arial"/>
          <w:i/>
          <w:color w:val="000000" w:themeColor="text1"/>
          <w:sz w:val="18"/>
        </w:rPr>
      </w:pPr>
      <w:r>
        <w:rPr>
          <w:rFonts w:cs="Arial"/>
          <w:i/>
          <w:color w:val="000000" w:themeColor="text1"/>
          <w:sz w:val="18"/>
        </w:rPr>
        <w:t>Извор: Министарство економије  Црне Горе</w:t>
      </w:r>
    </w:p>
    <w:p w:rsidR="00486860" w:rsidRPr="00486860" w:rsidRDefault="00486860" w:rsidP="00CB655A">
      <w:pPr>
        <w:jc w:val="right"/>
        <w:rPr>
          <w:rFonts w:cs="Arial"/>
          <w:i/>
          <w:color w:val="000000" w:themeColor="text1"/>
          <w:sz w:val="18"/>
        </w:rPr>
      </w:pPr>
    </w:p>
    <w:p w:rsidR="006A529A" w:rsidRDefault="00CB655A" w:rsidP="000806C3">
      <w:pPr>
        <w:jc w:val="both"/>
        <w:rPr>
          <w:color w:val="000000" w:themeColor="text1"/>
          <w:sz w:val="22"/>
          <w:szCs w:val="22"/>
        </w:rPr>
      </w:pPr>
      <w:r w:rsidRPr="00CB655A">
        <w:rPr>
          <w:color w:val="000000" w:themeColor="text1"/>
          <w:sz w:val="22"/>
          <w:szCs w:val="22"/>
        </w:rPr>
        <w:lastRenderedPageBreak/>
        <w:t xml:space="preserve">Кад је ријеч о индикатору – </w:t>
      </w:r>
      <w:r w:rsidRPr="00CB655A">
        <w:rPr>
          <w:i/>
          <w:color w:val="000000" w:themeColor="text1"/>
          <w:sz w:val="22"/>
          <w:szCs w:val="22"/>
        </w:rPr>
        <w:t>индексу</w:t>
      </w:r>
      <w:r w:rsidRPr="00CB655A">
        <w:rPr>
          <w:color w:val="000000" w:themeColor="text1"/>
          <w:sz w:val="22"/>
          <w:szCs w:val="22"/>
        </w:rPr>
        <w:t xml:space="preserve"> </w:t>
      </w:r>
      <w:r w:rsidRPr="00CB655A">
        <w:rPr>
          <w:i/>
          <w:color w:val="000000" w:themeColor="text1"/>
          <w:sz w:val="22"/>
          <w:szCs w:val="22"/>
        </w:rPr>
        <w:t>развијености јединица локалне самоуправе</w:t>
      </w:r>
      <w:r w:rsidR="006A529A" w:rsidRPr="006A529A">
        <w:rPr>
          <w:rStyle w:val="FootnoteReference"/>
          <w:sz w:val="22"/>
          <w:szCs w:val="22"/>
        </w:rPr>
        <w:footnoteReference w:id="5"/>
      </w:r>
      <w:r w:rsidR="006A529A" w:rsidRPr="006A529A">
        <w:rPr>
          <w:color w:val="000000" w:themeColor="text1"/>
          <w:sz w:val="22"/>
          <w:szCs w:val="22"/>
        </w:rPr>
        <w:t xml:space="preserve">, </w:t>
      </w:r>
      <w:r w:rsidRPr="00CB655A">
        <w:rPr>
          <w:color w:val="000000" w:themeColor="text1"/>
          <w:sz w:val="22"/>
          <w:szCs w:val="22"/>
        </w:rPr>
        <w:t>у периоду 2016-2018. у Беранама је овај показатељ био на нивоу од само 58,32, што је значајно испод просјека на нивоу Црне Горе, а пад је у односу на 2013-2015. годину када је индекс износио 65,55 (Црна Гора =100).</w:t>
      </w:r>
    </w:p>
    <w:p w:rsidR="006A529A" w:rsidRPr="006A529A" w:rsidRDefault="006A529A" w:rsidP="000806C3"/>
    <w:p w:rsidR="00CB655A" w:rsidRPr="00CB655A" w:rsidRDefault="00CB655A" w:rsidP="00CB655A">
      <w:pPr>
        <w:jc w:val="both"/>
        <w:rPr>
          <w:i/>
          <w:iCs/>
          <w:sz w:val="22"/>
          <w:szCs w:val="22"/>
        </w:rPr>
      </w:pPr>
      <w:r w:rsidRPr="00CB655A">
        <w:rPr>
          <w:i/>
          <w:iCs/>
          <w:sz w:val="22"/>
          <w:szCs w:val="22"/>
        </w:rPr>
        <w:t>Активни пословни субјекти у општини</w:t>
      </w:r>
    </w:p>
    <w:p w:rsidR="00CB655A" w:rsidRPr="00CB655A" w:rsidRDefault="00CB655A" w:rsidP="00CB655A">
      <w:pPr>
        <w:jc w:val="both"/>
        <w:rPr>
          <w:iCs/>
          <w:sz w:val="22"/>
          <w:szCs w:val="22"/>
        </w:rPr>
      </w:pPr>
    </w:p>
    <w:p w:rsidR="00CB655A" w:rsidRPr="00CB655A" w:rsidRDefault="00CB655A" w:rsidP="00CB655A">
      <w:pPr>
        <w:jc w:val="both"/>
        <w:rPr>
          <w:iCs/>
          <w:sz w:val="22"/>
          <w:szCs w:val="22"/>
        </w:rPr>
      </w:pPr>
      <w:r w:rsidRPr="00CB655A">
        <w:rPr>
          <w:iCs/>
          <w:sz w:val="22"/>
          <w:szCs w:val="22"/>
        </w:rPr>
        <w:t xml:space="preserve">Према подацима Монстата (Статистички  бизнис регистар Црне Горе), у 2019. години укупан број привредних субјеката у општини Беране износио је 549, што је за 18,1% привредних субјеката више у односу на 2011. годину. Овај раст је првенствено посљедица раста сектора грађевинарства, прерађивачке индустрије, трговине, и сл. </w:t>
      </w:r>
    </w:p>
    <w:p w:rsidR="006A529A" w:rsidRPr="00CB655A" w:rsidRDefault="00CB655A" w:rsidP="00CB655A">
      <w:pPr>
        <w:jc w:val="both"/>
        <w:rPr>
          <w:iCs/>
          <w:sz w:val="22"/>
          <w:szCs w:val="22"/>
        </w:rPr>
      </w:pPr>
      <w:r w:rsidRPr="00CB655A">
        <w:rPr>
          <w:iCs/>
          <w:sz w:val="22"/>
          <w:szCs w:val="22"/>
        </w:rPr>
        <w:t>Број активних пословних субјеката у Беранама у 2019. години представља 14,6% свих активних пословних субјеката у Сјеверном региону и 1,6% свих у Црној Гори.</w:t>
      </w:r>
    </w:p>
    <w:p w:rsidR="00CB655A" w:rsidRPr="00CB655A" w:rsidRDefault="00CB655A" w:rsidP="00CB655A">
      <w:pPr>
        <w:jc w:val="both"/>
        <w:rPr>
          <w:rFonts w:cs="Arial"/>
          <w:color w:val="000000" w:themeColor="text1"/>
          <w:sz w:val="22"/>
          <w:szCs w:val="22"/>
        </w:rPr>
      </w:pPr>
    </w:p>
    <w:p w:rsidR="00437065" w:rsidRDefault="00312484" w:rsidP="000806C3">
      <w:pPr>
        <w:rPr>
          <w:rFonts w:cs="Arial"/>
          <w:color w:val="000000" w:themeColor="text1"/>
          <w:szCs w:val="20"/>
        </w:rPr>
      </w:pPr>
      <w:r>
        <w:rPr>
          <w:rFonts w:cs="Arial"/>
          <w:color w:val="000000" w:themeColor="text1"/>
          <w:szCs w:val="20"/>
        </w:rPr>
        <w:t>График</w:t>
      </w:r>
      <w:r w:rsidR="006A529A" w:rsidRPr="006A529A">
        <w:rPr>
          <w:rFonts w:cs="Arial"/>
          <w:color w:val="000000" w:themeColor="text1"/>
          <w:szCs w:val="20"/>
        </w:rPr>
        <w:t xml:space="preserve"> </w:t>
      </w:r>
      <w:r w:rsidR="006D281D">
        <w:rPr>
          <w:rFonts w:cs="Arial"/>
          <w:color w:val="000000" w:themeColor="text1"/>
          <w:szCs w:val="20"/>
        </w:rPr>
        <w:t>3:</w:t>
      </w:r>
      <w:r w:rsidR="006A529A" w:rsidRPr="006A529A">
        <w:rPr>
          <w:rFonts w:cs="Arial"/>
          <w:color w:val="000000" w:themeColor="text1"/>
          <w:szCs w:val="20"/>
        </w:rPr>
        <w:t xml:space="preserve"> </w:t>
      </w:r>
      <w:r w:rsidRPr="00312484">
        <w:rPr>
          <w:rFonts w:cs="Arial"/>
          <w:color w:val="000000" w:themeColor="text1"/>
          <w:szCs w:val="20"/>
        </w:rPr>
        <w:t>Број активних пословних субјеката у општини</w:t>
      </w:r>
    </w:p>
    <w:p w:rsidR="00312484" w:rsidRPr="00312484" w:rsidRDefault="00312484" w:rsidP="000806C3">
      <w:pPr>
        <w:rPr>
          <w:rFonts w:cs="Arial"/>
          <w:color w:val="000000" w:themeColor="text1"/>
          <w:szCs w:val="20"/>
        </w:rPr>
      </w:pPr>
    </w:p>
    <w:p w:rsidR="00437065" w:rsidRDefault="00437065" w:rsidP="00437065">
      <w:pPr>
        <w:jc w:val="center"/>
        <w:rPr>
          <w:rFonts w:cs="Arial"/>
          <w:color w:val="000000" w:themeColor="text1"/>
          <w:szCs w:val="20"/>
        </w:rPr>
      </w:pPr>
      <w:r w:rsidRPr="00437065">
        <w:rPr>
          <w:noProof/>
          <w:shd w:val="clear" w:color="auto" w:fill="D9D9D9" w:themeFill="background1" w:themeFillShade="D9"/>
          <w:lang w:val="en-US"/>
        </w:rPr>
        <w:drawing>
          <wp:inline distT="0" distB="0" distL="0" distR="0">
            <wp:extent cx="4961947" cy="1529080"/>
            <wp:effectExtent l="0" t="0" r="10160" b="13970"/>
            <wp:docPr id="12" name="Grafikon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4DA5762-FE03-458C-917D-E3187FB74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A529A" w:rsidRPr="00F7360E" w:rsidRDefault="00312484" w:rsidP="000806C3">
      <w:pPr>
        <w:tabs>
          <w:tab w:val="left" w:pos="1567"/>
        </w:tabs>
        <w:ind w:left="6372"/>
        <w:jc w:val="right"/>
        <w:rPr>
          <w:i/>
          <w:noProof/>
          <w:sz w:val="18"/>
        </w:rPr>
      </w:pPr>
      <w:r>
        <w:rPr>
          <w:i/>
          <w:noProof/>
          <w:sz w:val="18"/>
        </w:rPr>
        <w:t>Извор</w:t>
      </w:r>
      <w:r w:rsidR="006A529A" w:rsidRPr="00F7360E">
        <w:rPr>
          <w:i/>
          <w:noProof/>
          <w:sz w:val="18"/>
        </w:rPr>
        <w:t>: MONSTAT</w:t>
      </w:r>
    </w:p>
    <w:p w:rsidR="006A529A" w:rsidRDefault="00CB655A" w:rsidP="000806C3">
      <w:pPr>
        <w:jc w:val="both"/>
        <w:rPr>
          <w:rFonts w:cs="Arial"/>
          <w:color w:val="000000" w:themeColor="text1"/>
          <w:sz w:val="22"/>
          <w:szCs w:val="22"/>
        </w:rPr>
      </w:pPr>
      <w:r w:rsidRPr="00CB655A">
        <w:rPr>
          <w:rFonts w:cs="Arial"/>
          <w:color w:val="000000" w:themeColor="text1"/>
          <w:sz w:val="22"/>
          <w:szCs w:val="22"/>
        </w:rPr>
        <w:t>Узимајући у обзир број активних пословних субјеката у 2019. години прорачунато по глави становника (2,06), општина Беране налази се нешто испод просјека Сјеверног региона (2,31), а значајно је испод просјека у Црној Гори (5,58). Ипак, у односу на 2011. годину регистрован је раст овог индикатора (1,37 у 2011. години).</w:t>
      </w:r>
    </w:p>
    <w:p w:rsidR="00CB655A" w:rsidRPr="00CB655A" w:rsidRDefault="00CB655A" w:rsidP="000806C3">
      <w:pPr>
        <w:jc w:val="both"/>
        <w:rPr>
          <w:rFonts w:eastAsia="Times New Roman" w:cs="Arial"/>
          <w:color w:val="000000"/>
          <w:szCs w:val="20"/>
          <w:lang w:eastAsia="sl-SI"/>
        </w:rPr>
      </w:pPr>
    </w:p>
    <w:p w:rsidR="006A529A" w:rsidRPr="006A529A" w:rsidRDefault="00312484" w:rsidP="000806C3">
      <w:pPr>
        <w:jc w:val="both"/>
        <w:rPr>
          <w:rFonts w:cs="Arial"/>
          <w:color w:val="000000" w:themeColor="text1"/>
          <w:szCs w:val="20"/>
        </w:rPr>
      </w:pPr>
      <w:r>
        <w:rPr>
          <w:rFonts w:eastAsia="Times New Roman" w:cs="Arial"/>
          <w:color w:val="000000"/>
          <w:szCs w:val="20"/>
          <w:lang w:eastAsia="sl-SI"/>
        </w:rPr>
        <w:t>Табела</w:t>
      </w:r>
      <w:r w:rsidR="006A529A">
        <w:rPr>
          <w:rFonts w:eastAsia="Times New Roman" w:cs="Arial"/>
          <w:color w:val="000000"/>
          <w:szCs w:val="20"/>
          <w:lang w:val="sl-SI" w:eastAsia="sl-SI"/>
        </w:rPr>
        <w:t xml:space="preserve"> 5</w:t>
      </w:r>
      <w:r w:rsidR="006A529A" w:rsidRPr="006A529A">
        <w:rPr>
          <w:rFonts w:eastAsia="Times New Roman" w:cs="Arial"/>
          <w:color w:val="000000"/>
          <w:szCs w:val="20"/>
          <w:lang w:val="sl-SI" w:eastAsia="sl-SI"/>
        </w:rPr>
        <w:t xml:space="preserve">: </w:t>
      </w:r>
      <w:r w:rsidRPr="00312484">
        <w:rPr>
          <w:rFonts w:eastAsia="Times New Roman" w:cs="Arial"/>
          <w:color w:val="000000"/>
          <w:szCs w:val="20"/>
          <w:lang w:val="sl-SI" w:eastAsia="sl-SI"/>
        </w:rPr>
        <w:t>Активни пословни субјекти на укупан број становника</w:t>
      </w:r>
    </w:p>
    <w:tbl>
      <w:tblPr>
        <w:tblStyle w:val="TableGrid"/>
        <w:tblpPr w:leftFromText="141" w:rightFromText="141" w:vertAnchor="text" w:horzAnchor="page" w:tblpX="2711" w:tblpY="166"/>
        <w:tblW w:w="6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
        <w:gridCol w:w="1470"/>
        <w:gridCol w:w="1276"/>
        <w:gridCol w:w="1134"/>
        <w:gridCol w:w="1276"/>
      </w:tblGrid>
      <w:tr w:rsidR="006A529A" w:rsidRPr="006A529A" w:rsidTr="00D458A7">
        <w:trPr>
          <w:trHeight w:val="413"/>
        </w:trPr>
        <w:tc>
          <w:tcPr>
            <w:tcW w:w="1502" w:type="dxa"/>
            <w:vMerge w:val="restart"/>
            <w:tcBorders>
              <w:top w:val="single" w:sz="4" w:space="0" w:color="BFBFBF" w:themeColor="background1" w:themeShade="BF"/>
            </w:tcBorders>
            <w:shd w:val="clear" w:color="auto" w:fill="D9D9D9" w:themeFill="background1" w:themeFillShade="D9"/>
            <w:noWrap/>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 </w:t>
            </w:r>
          </w:p>
        </w:tc>
        <w:tc>
          <w:tcPr>
            <w:tcW w:w="5156" w:type="dxa"/>
            <w:gridSpan w:val="4"/>
            <w:vMerge w:val="restart"/>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hideMark/>
          </w:tcPr>
          <w:p w:rsidR="006A529A" w:rsidRPr="006A529A" w:rsidRDefault="00312484" w:rsidP="000806C3">
            <w:pPr>
              <w:jc w:val="center"/>
              <w:rPr>
                <w:rFonts w:eastAsia="Times New Roman" w:cs="Arial"/>
                <w:color w:val="000000"/>
                <w:sz w:val="18"/>
                <w:lang w:val="sl-SI" w:eastAsia="sl-SI"/>
              </w:rPr>
            </w:pPr>
            <w:r w:rsidRPr="00312484">
              <w:rPr>
                <w:rFonts w:eastAsia="Times New Roman" w:cs="Arial"/>
                <w:color w:val="000000"/>
                <w:sz w:val="18"/>
                <w:lang w:val="sl-SI" w:eastAsia="sl-SI"/>
              </w:rPr>
              <w:t>Активни пословни субјекти на укупан број становника</w:t>
            </w:r>
            <w:r w:rsidR="006A529A" w:rsidRPr="006A529A">
              <w:rPr>
                <w:rFonts w:eastAsia="Times New Roman" w:cs="Arial"/>
                <w:color w:val="000000"/>
                <w:sz w:val="18"/>
                <w:lang w:val="sl-SI" w:eastAsia="sl-SI"/>
              </w:rPr>
              <w:t>*100</w:t>
            </w:r>
          </w:p>
        </w:tc>
      </w:tr>
      <w:tr w:rsidR="006A529A" w:rsidRPr="006A529A" w:rsidTr="00D458A7">
        <w:trPr>
          <w:trHeight w:val="234"/>
        </w:trPr>
        <w:tc>
          <w:tcPr>
            <w:tcW w:w="1502" w:type="dxa"/>
            <w:vMerge/>
            <w:shd w:val="clear" w:color="auto" w:fill="D9D9D9" w:themeFill="background1" w:themeFillShade="D9"/>
            <w:hideMark/>
          </w:tcPr>
          <w:p w:rsidR="006A529A" w:rsidRPr="006A529A" w:rsidRDefault="006A529A" w:rsidP="000806C3">
            <w:pPr>
              <w:rPr>
                <w:rFonts w:eastAsia="Times New Roman" w:cs="Arial"/>
                <w:color w:val="000000"/>
                <w:sz w:val="18"/>
                <w:lang w:val="sl-SI" w:eastAsia="sl-SI"/>
              </w:rPr>
            </w:pPr>
          </w:p>
        </w:tc>
        <w:tc>
          <w:tcPr>
            <w:tcW w:w="5156" w:type="dxa"/>
            <w:gridSpan w:val="4"/>
            <w:vMerge/>
            <w:tcBorders>
              <w:bottom w:val="single" w:sz="4" w:space="0" w:color="BFBFBF" w:themeColor="background1" w:themeShade="BF"/>
            </w:tcBorders>
            <w:shd w:val="clear" w:color="auto" w:fill="D9D9D9" w:themeFill="background1" w:themeFillShade="D9"/>
            <w:hideMark/>
          </w:tcPr>
          <w:p w:rsidR="006A529A" w:rsidRPr="006A529A" w:rsidRDefault="006A529A" w:rsidP="000806C3">
            <w:pPr>
              <w:rPr>
                <w:rFonts w:eastAsia="Times New Roman" w:cs="Arial"/>
                <w:color w:val="000000"/>
                <w:sz w:val="18"/>
                <w:lang w:val="sl-SI" w:eastAsia="sl-SI"/>
              </w:rPr>
            </w:pPr>
          </w:p>
        </w:tc>
      </w:tr>
      <w:tr w:rsidR="006A529A" w:rsidRPr="006A529A" w:rsidTr="00D458A7">
        <w:trPr>
          <w:trHeight w:val="249"/>
        </w:trPr>
        <w:tc>
          <w:tcPr>
            <w:tcW w:w="1502" w:type="dxa"/>
            <w:vMerge/>
            <w:tcBorders>
              <w:bottom w:val="single" w:sz="4" w:space="0" w:color="BFBFBF" w:themeColor="background1" w:themeShade="BF"/>
            </w:tcBorders>
            <w:shd w:val="clear" w:color="auto" w:fill="D9D9D9" w:themeFill="background1" w:themeFillShade="D9"/>
            <w:hideMark/>
          </w:tcPr>
          <w:p w:rsidR="006A529A" w:rsidRPr="006A529A" w:rsidRDefault="006A529A" w:rsidP="000806C3">
            <w:pPr>
              <w:rPr>
                <w:rFonts w:eastAsia="Times New Roman" w:cs="Arial"/>
                <w:color w:val="000000"/>
                <w:sz w:val="18"/>
                <w:lang w:val="sl-SI" w:eastAsia="sl-SI"/>
              </w:rPr>
            </w:pPr>
          </w:p>
        </w:tc>
        <w:tc>
          <w:tcPr>
            <w:tcW w:w="1470" w:type="dxa"/>
            <w:tcBorders>
              <w:top w:val="single" w:sz="4" w:space="0" w:color="BFBFBF" w:themeColor="background1" w:themeShade="BF"/>
              <w:bottom w:val="single" w:sz="4" w:space="0" w:color="BFBFBF" w:themeColor="background1" w:themeShade="BF"/>
            </w:tcBorders>
            <w:shd w:val="clear" w:color="auto" w:fill="D9D9D9" w:themeFill="background1" w:themeFillShade="D9"/>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2011.</w:t>
            </w:r>
          </w:p>
        </w:tc>
        <w:tc>
          <w:tcPr>
            <w:tcW w:w="1276" w:type="dxa"/>
            <w:tcBorders>
              <w:top w:val="single" w:sz="4" w:space="0" w:color="BFBFBF" w:themeColor="background1" w:themeShade="BF"/>
              <w:bottom w:val="single" w:sz="4" w:space="0" w:color="BFBFBF" w:themeColor="background1" w:themeShade="BF"/>
            </w:tcBorders>
            <w:shd w:val="clear" w:color="auto" w:fill="D9D9D9" w:themeFill="background1" w:themeFillShade="D9"/>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2016.</w:t>
            </w:r>
          </w:p>
        </w:tc>
        <w:tc>
          <w:tcPr>
            <w:tcW w:w="1134" w:type="dxa"/>
            <w:tcBorders>
              <w:top w:val="single" w:sz="4" w:space="0" w:color="BFBFBF" w:themeColor="background1" w:themeShade="BF"/>
              <w:bottom w:val="single" w:sz="4" w:space="0" w:color="BFBFBF" w:themeColor="background1" w:themeShade="BF"/>
            </w:tcBorders>
            <w:shd w:val="clear" w:color="auto" w:fill="D9D9D9" w:themeFill="background1" w:themeFillShade="D9"/>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2018.</w:t>
            </w:r>
          </w:p>
        </w:tc>
        <w:tc>
          <w:tcPr>
            <w:tcW w:w="1276" w:type="dxa"/>
            <w:tcBorders>
              <w:top w:val="single" w:sz="4" w:space="0" w:color="BFBFBF" w:themeColor="background1" w:themeShade="BF"/>
              <w:bottom w:val="single" w:sz="4" w:space="0" w:color="BFBFBF" w:themeColor="background1" w:themeShade="BF"/>
            </w:tcBorders>
            <w:shd w:val="clear" w:color="auto" w:fill="D9D9D9" w:themeFill="background1" w:themeFillShade="D9"/>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2019</w:t>
            </w:r>
          </w:p>
        </w:tc>
      </w:tr>
      <w:tr w:rsidR="006A529A" w:rsidRPr="006A529A" w:rsidTr="00D458A7">
        <w:trPr>
          <w:trHeight w:val="249"/>
        </w:trPr>
        <w:tc>
          <w:tcPr>
            <w:tcW w:w="1502"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tcPr>
          <w:p w:rsidR="006A529A" w:rsidRPr="00C06E5B" w:rsidRDefault="00C06E5B" w:rsidP="000806C3">
            <w:pPr>
              <w:rPr>
                <w:rFonts w:eastAsia="Times New Roman" w:cs="Arial"/>
                <w:color w:val="000000"/>
                <w:sz w:val="18"/>
                <w:lang w:eastAsia="sl-SI"/>
              </w:rPr>
            </w:pPr>
            <w:r>
              <w:rPr>
                <w:rFonts w:eastAsia="Times New Roman" w:cs="Arial"/>
                <w:color w:val="000000"/>
                <w:sz w:val="18"/>
                <w:lang w:eastAsia="sl-SI"/>
              </w:rPr>
              <w:t xml:space="preserve">Беране </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6A529A" w:rsidRPr="006A529A" w:rsidRDefault="006A529A" w:rsidP="000806C3">
            <w:pPr>
              <w:jc w:val="center"/>
              <w:rPr>
                <w:rFonts w:eastAsia="Times New Roman" w:cs="Arial"/>
                <w:color w:val="000000"/>
                <w:sz w:val="18"/>
                <w:lang w:val="sl-SI" w:eastAsia="sl-SI"/>
              </w:rPr>
            </w:pPr>
            <w:r w:rsidRPr="006A529A">
              <w:rPr>
                <w:rFonts w:cs="Calibri"/>
                <w:color w:val="000000"/>
                <w:sz w:val="18"/>
              </w:rPr>
              <w:t>1,37</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6A529A" w:rsidRPr="006A529A" w:rsidRDefault="006A529A" w:rsidP="000806C3">
            <w:pPr>
              <w:jc w:val="center"/>
              <w:rPr>
                <w:rFonts w:eastAsia="Times New Roman" w:cs="Arial"/>
                <w:color w:val="000000"/>
                <w:sz w:val="18"/>
                <w:lang w:val="sl-SI" w:eastAsia="sl-SI"/>
              </w:rPr>
            </w:pPr>
            <w:r w:rsidRPr="006A529A">
              <w:rPr>
                <w:rFonts w:cs="Calibri"/>
                <w:color w:val="000000"/>
                <w:sz w:val="18"/>
              </w:rPr>
              <w:t>1,84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6A529A" w:rsidRPr="006A529A" w:rsidRDefault="006A529A" w:rsidP="000806C3">
            <w:pPr>
              <w:jc w:val="center"/>
              <w:rPr>
                <w:rFonts w:eastAsia="Times New Roman" w:cs="Arial"/>
                <w:color w:val="000000"/>
                <w:sz w:val="18"/>
                <w:lang w:val="sl-SI" w:eastAsia="sl-SI"/>
              </w:rPr>
            </w:pPr>
            <w:r w:rsidRPr="006A529A">
              <w:rPr>
                <w:rFonts w:cs="Calibri"/>
                <w:color w:val="000000"/>
                <w:sz w:val="18"/>
              </w:rPr>
              <w:t>2,03</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tcPr>
          <w:p w:rsidR="006A529A" w:rsidRPr="006A529A" w:rsidRDefault="006A529A" w:rsidP="000806C3">
            <w:pPr>
              <w:jc w:val="center"/>
              <w:rPr>
                <w:rFonts w:eastAsia="Times New Roman" w:cs="Arial"/>
                <w:color w:val="000000"/>
                <w:sz w:val="18"/>
                <w:lang w:val="sl-SI" w:eastAsia="sl-SI"/>
              </w:rPr>
            </w:pPr>
            <w:r w:rsidRPr="006A529A">
              <w:rPr>
                <w:rFonts w:cs="Calibri"/>
                <w:color w:val="000000"/>
                <w:sz w:val="18"/>
              </w:rPr>
              <w:t>2,06</w:t>
            </w:r>
          </w:p>
        </w:tc>
      </w:tr>
      <w:tr w:rsidR="006A529A" w:rsidRPr="006A529A" w:rsidTr="00D458A7">
        <w:trPr>
          <w:trHeight w:val="249"/>
        </w:trPr>
        <w:tc>
          <w:tcPr>
            <w:tcW w:w="1502"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tcPr>
          <w:p w:rsidR="006A529A" w:rsidRPr="00C06E5B" w:rsidRDefault="00C06E5B" w:rsidP="000806C3">
            <w:pPr>
              <w:rPr>
                <w:rFonts w:eastAsia="Times New Roman" w:cs="Arial"/>
                <w:color w:val="000000"/>
                <w:sz w:val="18"/>
                <w:lang w:eastAsia="sl-SI"/>
              </w:rPr>
            </w:pPr>
            <w:r>
              <w:rPr>
                <w:rFonts w:eastAsia="Times New Roman" w:cs="Arial"/>
                <w:color w:val="000000"/>
                <w:sz w:val="18"/>
                <w:lang w:eastAsia="sl-SI"/>
              </w:rPr>
              <w:t>Сјеверни регион</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6A529A" w:rsidRPr="006A529A" w:rsidRDefault="006A529A" w:rsidP="000806C3">
            <w:pPr>
              <w:jc w:val="center"/>
              <w:rPr>
                <w:rFonts w:eastAsia="Times New Roman" w:cs="Arial"/>
                <w:color w:val="000000"/>
                <w:sz w:val="18"/>
                <w:lang w:val="sl-SI" w:eastAsia="sl-SI"/>
              </w:rPr>
            </w:pPr>
            <w:r w:rsidRPr="006A529A">
              <w:rPr>
                <w:rFonts w:cs="Calibri"/>
                <w:iCs/>
                <w:color w:val="000000"/>
                <w:sz w:val="18"/>
              </w:rPr>
              <w:t>1,67</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6A529A" w:rsidRPr="006A529A" w:rsidRDefault="006A529A" w:rsidP="000806C3">
            <w:pPr>
              <w:jc w:val="center"/>
              <w:rPr>
                <w:rFonts w:eastAsia="Times New Roman" w:cs="Arial"/>
                <w:color w:val="000000"/>
                <w:sz w:val="18"/>
                <w:lang w:val="sl-SI" w:eastAsia="sl-SI"/>
              </w:rPr>
            </w:pPr>
            <w:r w:rsidRPr="006A529A">
              <w:rPr>
                <w:rFonts w:cs="Calibri"/>
                <w:iCs/>
                <w:color w:val="000000"/>
                <w:sz w:val="18"/>
              </w:rPr>
              <w:t>2,03</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rsidR="006A529A" w:rsidRPr="006A529A" w:rsidRDefault="006A529A" w:rsidP="000806C3">
            <w:pPr>
              <w:jc w:val="center"/>
              <w:rPr>
                <w:rFonts w:eastAsia="Times New Roman" w:cs="Arial"/>
                <w:color w:val="000000"/>
                <w:sz w:val="18"/>
                <w:lang w:val="sl-SI" w:eastAsia="sl-SI"/>
              </w:rPr>
            </w:pPr>
            <w:r w:rsidRPr="006A529A">
              <w:rPr>
                <w:rFonts w:cs="Calibri"/>
                <w:iCs/>
                <w:color w:val="000000"/>
                <w:sz w:val="18"/>
              </w:rPr>
              <w:t>2,29</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tcPr>
          <w:p w:rsidR="006A529A" w:rsidRPr="006A529A" w:rsidRDefault="006A529A" w:rsidP="000806C3">
            <w:pPr>
              <w:jc w:val="center"/>
              <w:rPr>
                <w:rFonts w:eastAsia="Times New Roman" w:cs="Arial"/>
                <w:color w:val="000000"/>
                <w:sz w:val="18"/>
                <w:lang w:val="sl-SI" w:eastAsia="sl-SI"/>
              </w:rPr>
            </w:pPr>
            <w:r w:rsidRPr="006A529A">
              <w:rPr>
                <w:rFonts w:cs="Calibri"/>
                <w:iCs/>
                <w:color w:val="000000"/>
                <w:sz w:val="18"/>
              </w:rPr>
              <w:t>2,31</w:t>
            </w:r>
          </w:p>
        </w:tc>
      </w:tr>
      <w:tr w:rsidR="006A529A" w:rsidRPr="006A529A" w:rsidTr="00D458A7">
        <w:trPr>
          <w:trHeight w:val="249"/>
        </w:trPr>
        <w:tc>
          <w:tcPr>
            <w:tcW w:w="1502" w:type="dxa"/>
            <w:tcBorders>
              <w:top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6A529A" w:rsidRPr="00C06E5B" w:rsidRDefault="00C06E5B" w:rsidP="000806C3">
            <w:pPr>
              <w:rPr>
                <w:rFonts w:eastAsia="Times New Roman" w:cs="Arial"/>
                <w:color w:val="000000"/>
                <w:sz w:val="18"/>
                <w:lang w:eastAsia="sl-SI"/>
              </w:rPr>
            </w:pPr>
            <w:r>
              <w:rPr>
                <w:rFonts w:eastAsia="Times New Roman" w:cs="Arial"/>
                <w:color w:val="000000"/>
                <w:sz w:val="18"/>
                <w:lang w:eastAsia="sl-SI"/>
              </w:rPr>
              <w:t>Црна Гора</w:t>
            </w:r>
          </w:p>
        </w:tc>
        <w:tc>
          <w:tcPr>
            <w:tcW w:w="14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3,41</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4,54</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5,43</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tcBorders>
            <w:noWrap/>
            <w:hideMark/>
          </w:tcPr>
          <w:p w:rsidR="006A529A" w:rsidRPr="006A529A" w:rsidRDefault="006A529A"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5,58</w:t>
            </w:r>
          </w:p>
        </w:tc>
      </w:tr>
    </w:tbl>
    <w:p w:rsidR="006A529A" w:rsidRPr="006A529A" w:rsidRDefault="006A529A" w:rsidP="000806C3">
      <w:pPr>
        <w:jc w:val="both"/>
        <w:rPr>
          <w:rFonts w:cs="Arial"/>
          <w:color w:val="000000" w:themeColor="text1"/>
          <w:sz w:val="18"/>
        </w:rPr>
      </w:pPr>
    </w:p>
    <w:p w:rsidR="006A529A" w:rsidRPr="006A529A" w:rsidRDefault="006A529A" w:rsidP="000806C3">
      <w:pPr>
        <w:jc w:val="both"/>
        <w:rPr>
          <w:rFonts w:cs="Arial"/>
          <w:color w:val="000000" w:themeColor="text1"/>
          <w:sz w:val="18"/>
        </w:rPr>
      </w:pPr>
    </w:p>
    <w:p w:rsidR="006A529A" w:rsidRPr="006A529A" w:rsidRDefault="006A529A" w:rsidP="000806C3">
      <w:pPr>
        <w:jc w:val="both"/>
        <w:rPr>
          <w:rFonts w:cs="Arial"/>
          <w:color w:val="000000" w:themeColor="text1"/>
          <w:sz w:val="18"/>
        </w:rPr>
      </w:pPr>
    </w:p>
    <w:p w:rsidR="006A529A" w:rsidRPr="006A529A" w:rsidRDefault="006A529A" w:rsidP="000806C3">
      <w:pPr>
        <w:jc w:val="both"/>
        <w:rPr>
          <w:rFonts w:cs="Arial"/>
          <w:color w:val="000000" w:themeColor="text1"/>
          <w:sz w:val="18"/>
        </w:rPr>
      </w:pPr>
    </w:p>
    <w:p w:rsidR="006A529A" w:rsidRPr="006A529A" w:rsidRDefault="006A529A" w:rsidP="000806C3">
      <w:pPr>
        <w:jc w:val="both"/>
        <w:rPr>
          <w:rFonts w:cs="Arial"/>
          <w:color w:val="000000" w:themeColor="text1"/>
          <w:sz w:val="18"/>
        </w:rPr>
      </w:pPr>
    </w:p>
    <w:p w:rsidR="006A529A" w:rsidRPr="006A529A" w:rsidRDefault="006A529A" w:rsidP="000806C3">
      <w:pPr>
        <w:jc w:val="both"/>
        <w:rPr>
          <w:rFonts w:cs="Arial"/>
          <w:color w:val="000000" w:themeColor="text1"/>
          <w:sz w:val="18"/>
        </w:rPr>
      </w:pPr>
    </w:p>
    <w:p w:rsidR="006A529A" w:rsidRPr="006A529A" w:rsidRDefault="006A529A" w:rsidP="000806C3">
      <w:pPr>
        <w:jc w:val="both"/>
        <w:rPr>
          <w:rFonts w:cs="Arial"/>
          <w:color w:val="000000" w:themeColor="text1"/>
          <w:sz w:val="18"/>
        </w:rPr>
      </w:pPr>
    </w:p>
    <w:p w:rsidR="006A529A" w:rsidRPr="006A529A" w:rsidRDefault="006A529A" w:rsidP="000806C3">
      <w:pPr>
        <w:jc w:val="both"/>
        <w:rPr>
          <w:rFonts w:cs="Arial"/>
          <w:color w:val="000000" w:themeColor="text1"/>
          <w:sz w:val="18"/>
        </w:rPr>
      </w:pPr>
    </w:p>
    <w:p w:rsidR="006A529A" w:rsidRPr="006A529A" w:rsidRDefault="006A529A" w:rsidP="000806C3">
      <w:pPr>
        <w:jc w:val="both"/>
        <w:rPr>
          <w:rFonts w:cs="Arial"/>
          <w:color w:val="000000" w:themeColor="text1"/>
          <w:sz w:val="22"/>
          <w:szCs w:val="22"/>
        </w:rPr>
      </w:pPr>
    </w:p>
    <w:p w:rsidR="00C06E5B" w:rsidRDefault="00C06E5B" w:rsidP="000806C3">
      <w:pPr>
        <w:tabs>
          <w:tab w:val="left" w:pos="1567"/>
        </w:tabs>
        <w:ind w:left="6372"/>
        <w:rPr>
          <w:i/>
          <w:noProof/>
          <w:sz w:val="18"/>
        </w:rPr>
      </w:pPr>
    </w:p>
    <w:p w:rsidR="006A529A" w:rsidRPr="00C06E5B" w:rsidRDefault="00C06E5B" w:rsidP="00C06E5B">
      <w:pPr>
        <w:tabs>
          <w:tab w:val="left" w:pos="1567"/>
        </w:tabs>
        <w:rPr>
          <w:i/>
          <w:noProof/>
          <w:sz w:val="18"/>
        </w:rPr>
      </w:pPr>
      <w:r>
        <w:rPr>
          <w:i/>
          <w:noProof/>
          <w:sz w:val="18"/>
        </w:rPr>
        <w:t xml:space="preserve">                                                                                                                           Извор: MONSTAT, калкулације аутора</w:t>
      </w:r>
    </w:p>
    <w:p w:rsidR="00C954A0" w:rsidRDefault="00C954A0" w:rsidP="000806C3">
      <w:pPr>
        <w:jc w:val="both"/>
        <w:rPr>
          <w:rFonts w:cs="Arial"/>
          <w:color w:val="000000" w:themeColor="text1"/>
          <w:sz w:val="22"/>
          <w:szCs w:val="22"/>
        </w:rPr>
      </w:pPr>
    </w:p>
    <w:p w:rsidR="006A529A" w:rsidRDefault="00CB655A" w:rsidP="000806C3">
      <w:pPr>
        <w:jc w:val="both"/>
        <w:rPr>
          <w:rFonts w:cs="Arial"/>
          <w:color w:val="000000" w:themeColor="text1"/>
          <w:sz w:val="22"/>
          <w:szCs w:val="22"/>
        </w:rPr>
      </w:pPr>
      <w:r w:rsidRPr="00CB655A">
        <w:rPr>
          <w:rFonts w:cs="Arial"/>
          <w:color w:val="000000" w:themeColor="text1"/>
          <w:sz w:val="22"/>
          <w:szCs w:val="22"/>
        </w:rPr>
        <w:t>Привреда општине Беране доминантно је заснована на сектору микро и малих предузећа. Према подацима Пореске управе међу пословним субјектима који су предали финансијски извјештај за 2019. годину 98,2% су била предузећа која запошљавају до 50 радника, док је свега 8 предузећа запошљавало преко 51 радника (од чега ниједно предузеће није запошљавало преко 250 радника).</w:t>
      </w:r>
    </w:p>
    <w:p w:rsidR="00CB655A" w:rsidRPr="00CB655A" w:rsidRDefault="00CB655A" w:rsidP="000806C3">
      <w:pPr>
        <w:jc w:val="both"/>
        <w:rPr>
          <w:rFonts w:cs="Arial"/>
          <w:color w:val="000000" w:themeColor="text1"/>
          <w:sz w:val="22"/>
          <w:szCs w:val="22"/>
        </w:rPr>
      </w:pPr>
    </w:p>
    <w:p w:rsidR="007E7AB4" w:rsidRDefault="007E7AB4" w:rsidP="000806C3">
      <w:pPr>
        <w:jc w:val="both"/>
        <w:rPr>
          <w:rFonts w:cs="Arial"/>
          <w:color w:val="000000" w:themeColor="text1"/>
          <w:szCs w:val="20"/>
        </w:rPr>
      </w:pPr>
    </w:p>
    <w:p w:rsidR="006A529A" w:rsidRDefault="007E7AB4" w:rsidP="000806C3">
      <w:pPr>
        <w:jc w:val="both"/>
        <w:rPr>
          <w:rFonts w:cs="Arial"/>
          <w:color w:val="000000" w:themeColor="text1"/>
          <w:szCs w:val="20"/>
        </w:rPr>
      </w:pPr>
      <w:r>
        <w:rPr>
          <w:rFonts w:cs="Arial"/>
          <w:color w:val="000000" w:themeColor="text1"/>
          <w:szCs w:val="20"/>
        </w:rPr>
        <w:lastRenderedPageBreak/>
        <w:t>Табела</w:t>
      </w:r>
      <w:r w:rsidR="00235E36">
        <w:rPr>
          <w:rFonts w:cs="Arial"/>
          <w:color w:val="000000" w:themeColor="text1"/>
          <w:szCs w:val="20"/>
        </w:rPr>
        <w:t xml:space="preserve"> 6</w:t>
      </w:r>
      <w:r w:rsidR="006A529A" w:rsidRPr="006A529A">
        <w:rPr>
          <w:rFonts w:cs="Arial"/>
          <w:color w:val="000000" w:themeColor="text1"/>
          <w:szCs w:val="20"/>
        </w:rPr>
        <w:t xml:space="preserve">: </w:t>
      </w:r>
      <w:r w:rsidRPr="007E7AB4">
        <w:rPr>
          <w:rFonts w:cs="Arial"/>
          <w:color w:val="000000" w:themeColor="text1"/>
          <w:szCs w:val="20"/>
        </w:rPr>
        <w:t>Преглед података о привредним субјектима у 2019. години</w:t>
      </w:r>
    </w:p>
    <w:p w:rsidR="00C954A0" w:rsidRPr="006A529A" w:rsidRDefault="00C954A0" w:rsidP="000806C3">
      <w:pPr>
        <w:jc w:val="both"/>
        <w:rPr>
          <w:rFonts w:cs="Arial"/>
          <w:color w:val="000000" w:themeColor="text1"/>
          <w:szCs w:val="20"/>
        </w:rPr>
      </w:pPr>
    </w:p>
    <w:tbl>
      <w:tblPr>
        <w:tblW w:w="5000" w:type="pct"/>
        <w:tblLayout w:type="fixed"/>
        <w:tblLook w:val="04A0"/>
      </w:tblPr>
      <w:tblGrid>
        <w:gridCol w:w="4499"/>
        <w:gridCol w:w="1190"/>
        <w:gridCol w:w="1566"/>
        <w:gridCol w:w="1016"/>
        <w:gridCol w:w="1186"/>
      </w:tblGrid>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w:t>
            </w:r>
          </w:p>
        </w:tc>
        <w:tc>
          <w:tcPr>
            <w:tcW w:w="629" w:type="pct"/>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rsidR="00C57437" w:rsidRPr="00C954A0" w:rsidRDefault="007E7AB4" w:rsidP="000806C3">
            <w:pPr>
              <w:rPr>
                <w:rFonts w:eastAsia="Times New Roman" w:cs="Calibri"/>
                <w:color w:val="000000"/>
                <w:sz w:val="18"/>
                <w:lang w:val="en-US"/>
              </w:rPr>
            </w:pPr>
            <w:r w:rsidRPr="007E7AB4">
              <w:rPr>
                <w:rFonts w:eastAsia="Times New Roman" w:cs="Calibri"/>
                <w:color w:val="000000"/>
                <w:sz w:val="18"/>
                <w:lang w:val="en-US"/>
              </w:rPr>
              <w:t>Број привредних субјеката</w:t>
            </w:r>
          </w:p>
        </w:tc>
        <w:tc>
          <w:tcPr>
            <w:tcW w:w="828" w:type="pct"/>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rsidR="00C57437" w:rsidRPr="00C954A0" w:rsidRDefault="007E7AB4" w:rsidP="000806C3">
            <w:pPr>
              <w:rPr>
                <w:rFonts w:eastAsia="Times New Roman" w:cs="Calibri"/>
                <w:color w:val="000000"/>
                <w:sz w:val="18"/>
                <w:lang w:val="en-US"/>
              </w:rPr>
            </w:pPr>
            <w:r w:rsidRPr="007E7AB4">
              <w:rPr>
                <w:rFonts w:eastAsia="Times New Roman" w:cs="Calibri"/>
                <w:color w:val="000000"/>
                <w:sz w:val="18"/>
                <w:lang w:val="en-US"/>
              </w:rPr>
              <w:t>Приходи у ЕУР</w:t>
            </w:r>
          </w:p>
        </w:tc>
        <w:tc>
          <w:tcPr>
            <w:tcW w:w="537" w:type="pct"/>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rsidR="00C57437" w:rsidRPr="00C954A0" w:rsidRDefault="007E7AB4" w:rsidP="000806C3">
            <w:pPr>
              <w:rPr>
                <w:rFonts w:eastAsia="Times New Roman" w:cs="Calibri"/>
                <w:color w:val="000000"/>
                <w:sz w:val="18"/>
                <w:lang w:val="en-US"/>
              </w:rPr>
            </w:pPr>
            <w:r w:rsidRPr="007E7AB4">
              <w:rPr>
                <w:rFonts w:eastAsia="Times New Roman" w:cs="Calibri"/>
                <w:color w:val="000000"/>
                <w:sz w:val="18"/>
                <w:lang w:val="en-US"/>
              </w:rPr>
              <w:t>Приходи учешће</w:t>
            </w:r>
          </w:p>
        </w:tc>
        <w:tc>
          <w:tcPr>
            <w:tcW w:w="627" w:type="pct"/>
            <w:tcBorders>
              <w:top w:val="single" w:sz="4" w:space="0" w:color="BFBFBF" w:themeColor="background1" w:themeShade="BF"/>
              <w:bottom w:val="single" w:sz="4" w:space="0" w:color="BFBFBF" w:themeColor="background1" w:themeShade="BF"/>
            </w:tcBorders>
            <w:shd w:val="clear" w:color="auto" w:fill="D9D9D9" w:themeFill="background1" w:themeFillShade="D9"/>
            <w:noWrap/>
            <w:vAlign w:val="center"/>
            <w:hideMark/>
          </w:tcPr>
          <w:p w:rsidR="00C57437" w:rsidRPr="007E7AB4" w:rsidRDefault="007E7AB4" w:rsidP="000806C3">
            <w:pPr>
              <w:rPr>
                <w:rFonts w:eastAsia="Times New Roman" w:cs="Calibri"/>
                <w:color w:val="000000"/>
                <w:sz w:val="18"/>
              </w:rPr>
            </w:pPr>
            <w:r>
              <w:rPr>
                <w:rFonts w:eastAsia="Times New Roman" w:cs="Calibri"/>
                <w:color w:val="000000"/>
                <w:sz w:val="18"/>
              </w:rPr>
              <w:t>Бруто зараде</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Пољопривреда, шумарство и рибарство</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12</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500.919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0,7</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125.399</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Вађење руда и камена</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1</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1.512.105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2,1</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806.310</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Прерађивачка индустрија</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80</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25.577.331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35,8</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2.410.442</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Снабдијевање електричном енергијом гасом и паром</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5</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2.618.676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3,7</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155.261</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276A2C" w:rsidRDefault="00276A2C" w:rsidP="00276A2C">
            <w:pPr>
              <w:rPr>
                <w:rFonts w:eastAsia="Times New Roman" w:cs="Calibri"/>
                <w:color w:val="000000"/>
                <w:sz w:val="18"/>
              </w:rPr>
            </w:pPr>
            <w:r w:rsidRPr="00276A2C">
              <w:rPr>
                <w:rFonts w:eastAsia="Times New Roman" w:cs="Calibri"/>
                <w:color w:val="000000"/>
                <w:sz w:val="18"/>
              </w:rPr>
              <w:t>Снабдијевањем водом, управљање отпадним водама</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5</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2.058.297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2,9</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1.410.125</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Грађевинарство</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29</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3.425.692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4,8</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353.727</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Трговина на велико и трговина мало и поправка моторних возила</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153</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25.575.597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35,8</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2.188.624</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Саобраћај и складиштење</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35</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4.724.483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6,6</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881.595   </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Услуге смјештаја и исхране</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53</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1.507.913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2,1</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492.505   </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sidRPr="00276A2C">
              <w:rPr>
                <w:rFonts w:eastAsia="Times New Roman" w:cs="Calibri"/>
                <w:color w:val="000000"/>
                <w:sz w:val="18"/>
                <w:lang w:val="en-US"/>
              </w:rPr>
              <w:t>Информисање и комуникације</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8</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119.726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0,2</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43.225   </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276A2C" w:rsidP="000806C3">
            <w:pPr>
              <w:rPr>
                <w:rFonts w:eastAsia="Times New Roman" w:cs="Calibri"/>
                <w:color w:val="000000"/>
                <w:sz w:val="18"/>
                <w:lang w:val="en-US"/>
              </w:rPr>
            </w:pPr>
            <w:r>
              <w:rPr>
                <w:rFonts w:eastAsia="Times New Roman" w:cs="Calibri"/>
                <w:color w:val="000000"/>
                <w:sz w:val="18"/>
                <w:lang w:val="en-US"/>
              </w:rPr>
              <w:t xml:space="preserve">Финансијске </w:t>
            </w:r>
            <w:r>
              <w:rPr>
                <w:rFonts w:eastAsia="Times New Roman" w:cs="Calibri"/>
                <w:color w:val="000000"/>
                <w:sz w:val="18"/>
              </w:rPr>
              <w:t>дј</w:t>
            </w:r>
            <w:r w:rsidR="007946EA">
              <w:rPr>
                <w:rFonts w:eastAsia="Times New Roman" w:cs="Calibri"/>
                <w:color w:val="000000"/>
                <w:sz w:val="18"/>
                <w:lang w:val="en-US"/>
              </w:rPr>
              <w:t xml:space="preserve">елатности и </w:t>
            </w:r>
            <w:r w:rsidR="007946EA">
              <w:rPr>
                <w:rFonts w:eastAsia="Times New Roman" w:cs="Calibri"/>
                <w:color w:val="000000"/>
                <w:sz w:val="18"/>
              </w:rPr>
              <w:t>дј</w:t>
            </w:r>
            <w:r w:rsidRPr="00276A2C">
              <w:rPr>
                <w:rFonts w:eastAsia="Times New Roman" w:cs="Calibri"/>
                <w:color w:val="000000"/>
                <w:sz w:val="18"/>
                <w:lang w:val="en-US"/>
              </w:rPr>
              <w:t>елатност осигурања</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0</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0,0</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     </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7946EA" w:rsidP="000806C3">
            <w:pPr>
              <w:rPr>
                <w:rFonts w:eastAsia="Times New Roman" w:cs="Calibri"/>
                <w:color w:val="000000"/>
                <w:sz w:val="18"/>
                <w:lang w:val="en-US"/>
              </w:rPr>
            </w:pPr>
            <w:r w:rsidRPr="007946EA">
              <w:rPr>
                <w:rFonts w:eastAsia="Times New Roman" w:cs="Calibri"/>
                <w:color w:val="000000"/>
                <w:sz w:val="18"/>
                <w:lang w:val="en-US"/>
              </w:rPr>
              <w:t>Пословање некретнинама</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1</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367.145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0,5</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     </w:t>
            </w:r>
          </w:p>
        </w:tc>
      </w:tr>
      <w:tr w:rsidR="00C57437" w:rsidRPr="00C57437" w:rsidTr="00C8311D">
        <w:trPr>
          <w:trHeight w:val="94"/>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7946EA" w:rsidP="000806C3">
            <w:pPr>
              <w:rPr>
                <w:rFonts w:eastAsia="Times New Roman" w:cs="Calibri"/>
                <w:color w:val="000000"/>
                <w:sz w:val="18"/>
                <w:lang w:val="en-US"/>
              </w:rPr>
            </w:pPr>
            <w:r>
              <w:rPr>
                <w:rFonts w:eastAsia="Times New Roman" w:cs="Calibri"/>
                <w:color w:val="000000"/>
                <w:sz w:val="18"/>
                <w:lang w:val="en-US"/>
              </w:rPr>
              <w:t xml:space="preserve">Стручне, научне и техничке </w:t>
            </w:r>
            <w:r>
              <w:rPr>
                <w:rFonts w:eastAsia="Times New Roman" w:cs="Calibri"/>
                <w:color w:val="000000"/>
                <w:sz w:val="18"/>
              </w:rPr>
              <w:t>дј</w:t>
            </w:r>
            <w:r w:rsidRPr="007946EA">
              <w:rPr>
                <w:rFonts w:eastAsia="Times New Roman" w:cs="Calibri"/>
                <w:color w:val="000000"/>
                <w:sz w:val="18"/>
                <w:lang w:val="en-US"/>
              </w:rPr>
              <w:t>елатности</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24</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748.559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1,0</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377.056   </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7946EA" w:rsidP="000806C3">
            <w:pPr>
              <w:rPr>
                <w:rFonts w:eastAsia="Times New Roman" w:cs="Calibri"/>
                <w:color w:val="000000"/>
                <w:sz w:val="18"/>
                <w:lang w:val="en-US"/>
              </w:rPr>
            </w:pPr>
            <w:r w:rsidRPr="007946EA">
              <w:rPr>
                <w:rFonts w:eastAsia="Times New Roman" w:cs="Calibri"/>
                <w:color w:val="000000"/>
                <w:sz w:val="18"/>
                <w:lang w:val="en-US"/>
              </w:rPr>
              <w:t>Адм</w:t>
            </w:r>
            <w:r>
              <w:rPr>
                <w:rFonts w:eastAsia="Times New Roman" w:cs="Calibri"/>
                <w:color w:val="000000"/>
                <w:sz w:val="18"/>
                <w:lang w:val="en-US"/>
              </w:rPr>
              <w:t xml:space="preserve">инистративне и помоћне услужне </w:t>
            </w:r>
            <w:r>
              <w:rPr>
                <w:rFonts w:eastAsia="Times New Roman" w:cs="Calibri"/>
                <w:color w:val="000000"/>
                <w:sz w:val="18"/>
              </w:rPr>
              <w:t>дј</w:t>
            </w:r>
            <w:r w:rsidRPr="007946EA">
              <w:rPr>
                <w:rFonts w:eastAsia="Times New Roman" w:cs="Calibri"/>
                <w:color w:val="000000"/>
                <w:sz w:val="18"/>
                <w:lang w:val="en-US"/>
              </w:rPr>
              <w:t>елатности</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7</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865.023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1,2</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65.619   </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7946EA" w:rsidRDefault="007946EA" w:rsidP="000806C3">
            <w:pPr>
              <w:rPr>
                <w:rFonts w:eastAsia="Times New Roman" w:cs="Calibri"/>
                <w:color w:val="000000"/>
                <w:sz w:val="18"/>
              </w:rPr>
            </w:pPr>
            <w:r>
              <w:rPr>
                <w:rFonts w:eastAsia="Times New Roman" w:cs="Calibri"/>
                <w:color w:val="000000"/>
                <w:sz w:val="18"/>
              </w:rPr>
              <w:t>Образовање</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5</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257.933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0,4</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86.733   </w:t>
            </w:r>
          </w:p>
        </w:tc>
      </w:tr>
      <w:tr w:rsidR="00C57437" w:rsidRPr="00C57437" w:rsidTr="00C8311D">
        <w:trPr>
          <w:trHeight w:val="208"/>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8311D" w:rsidP="000806C3">
            <w:pPr>
              <w:rPr>
                <w:rFonts w:eastAsia="Times New Roman" w:cs="Calibri"/>
                <w:color w:val="000000"/>
                <w:sz w:val="18"/>
                <w:lang w:val="en-US"/>
              </w:rPr>
            </w:pPr>
            <w:r w:rsidRPr="00C8311D">
              <w:rPr>
                <w:rFonts w:eastAsia="Times New Roman" w:cs="Calibri"/>
                <w:color w:val="000000"/>
                <w:sz w:val="18"/>
                <w:lang w:val="en-US"/>
              </w:rPr>
              <w:t>Здравствена и социјална заштита</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30</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1.052.246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1,5</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502.901   </w:t>
            </w:r>
          </w:p>
        </w:tc>
      </w:tr>
      <w:tr w:rsidR="00C57437" w:rsidRPr="00C57437" w:rsidTr="00C8311D">
        <w:trPr>
          <w:trHeight w:val="185"/>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8311D" w:rsidP="000806C3">
            <w:pPr>
              <w:rPr>
                <w:rFonts w:eastAsia="Times New Roman" w:cs="Calibri"/>
                <w:color w:val="000000"/>
                <w:sz w:val="18"/>
                <w:lang w:val="en-US"/>
              </w:rPr>
            </w:pPr>
            <w:r w:rsidRPr="00C8311D">
              <w:rPr>
                <w:rFonts w:eastAsia="Times New Roman" w:cs="Calibri"/>
                <w:color w:val="000000"/>
                <w:sz w:val="18"/>
                <w:lang w:val="en-US"/>
              </w:rPr>
              <w:t>Умјетност, забава и рекреација</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6</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442.507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0,6</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414.953   </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8311D" w:rsidP="000806C3">
            <w:pPr>
              <w:rPr>
                <w:rFonts w:eastAsia="Times New Roman" w:cs="Calibri"/>
                <w:color w:val="000000"/>
                <w:sz w:val="18"/>
                <w:lang w:val="en-US"/>
              </w:rPr>
            </w:pPr>
            <w:r>
              <w:rPr>
                <w:rFonts w:eastAsia="Times New Roman" w:cs="Calibri"/>
                <w:color w:val="000000"/>
                <w:sz w:val="18"/>
                <w:lang w:val="en-US"/>
              </w:rPr>
              <w:t xml:space="preserve">Остале услужне </w:t>
            </w:r>
            <w:r>
              <w:rPr>
                <w:rFonts w:eastAsia="Times New Roman" w:cs="Calibri"/>
                <w:color w:val="000000"/>
                <w:sz w:val="18"/>
              </w:rPr>
              <w:t>дј</w:t>
            </w:r>
            <w:r w:rsidRPr="00C8311D">
              <w:rPr>
                <w:rFonts w:eastAsia="Times New Roman" w:cs="Calibri"/>
                <w:color w:val="000000"/>
                <w:sz w:val="18"/>
                <w:lang w:val="en-US"/>
              </w:rPr>
              <w:t>елатности</w:t>
            </w:r>
          </w:p>
        </w:tc>
        <w:tc>
          <w:tcPr>
            <w:tcW w:w="6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6</w:t>
            </w:r>
          </w:p>
        </w:tc>
        <w:tc>
          <w:tcPr>
            <w:tcW w:w="8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177.091   </w:t>
            </w:r>
          </w:p>
        </w:tc>
        <w:tc>
          <w:tcPr>
            <w:tcW w:w="53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0,2</w:t>
            </w:r>
          </w:p>
        </w:tc>
        <w:tc>
          <w:tcPr>
            <w:tcW w:w="627"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209.494   </w:t>
            </w:r>
          </w:p>
        </w:tc>
      </w:tr>
      <w:tr w:rsidR="00C57437" w:rsidRPr="00C57437" w:rsidTr="00C8311D">
        <w:trPr>
          <w:trHeight w:val="290"/>
        </w:trPr>
        <w:tc>
          <w:tcPr>
            <w:tcW w:w="2379" w:type="pct"/>
            <w:tcBorders>
              <w:top w:val="single" w:sz="4" w:space="0" w:color="BFBFBF" w:themeColor="background1" w:themeShade="BF"/>
              <w:bottom w:val="single" w:sz="4" w:space="0" w:color="BFBFBF" w:themeColor="background1" w:themeShade="BF"/>
            </w:tcBorders>
            <w:shd w:val="clear" w:color="auto" w:fill="BFBFBF" w:themeFill="background1" w:themeFillShade="BF"/>
            <w:noWrap/>
            <w:vAlign w:val="center"/>
            <w:hideMark/>
          </w:tcPr>
          <w:p w:rsidR="00C57437" w:rsidRPr="00C8311D" w:rsidRDefault="00C8311D" w:rsidP="000806C3">
            <w:pPr>
              <w:rPr>
                <w:rFonts w:eastAsia="Times New Roman" w:cs="Calibri"/>
                <w:color w:val="000000"/>
                <w:sz w:val="18"/>
              </w:rPr>
            </w:pPr>
            <w:r>
              <w:rPr>
                <w:rFonts w:eastAsia="Times New Roman" w:cs="Calibri"/>
                <w:color w:val="000000"/>
                <w:sz w:val="18"/>
              </w:rPr>
              <w:t>Укупно</w:t>
            </w:r>
          </w:p>
        </w:tc>
        <w:tc>
          <w:tcPr>
            <w:tcW w:w="629" w:type="pct"/>
            <w:tcBorders>
              <w:top w:val="single" w:sz="4" w:space="0" w:color="BFBFBF" w:themeColor="background1" w:themeShade="BF"/>
              <w:bottom w:val="single" w:sz="4" w:space="0" w:color="BFBFBF" w:themeColor="background1" w:themeShade="BF"/>
            </w:tcBorders>
            <w:shd w:val="clear" w:color="auto" w:fill="BFBFBF" w:themeFill="background1" w:themeFillShade="BF"/>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460</w:t>
            </w:r>
          </w:p>
        </w:tc>
        <w:tc>
          <w:tcPr>
            <w:tcW w:w="828" w:type="pct"/>
            <w:tcBorders>
              <w:top w:val="single" w:sz="4" w:space="0" w:color="BFBFBF" w:themeColor="background1" w:themeShade="BF"/>
              <w:bottom w:val="single" w:sz="4" w:space="0" w:color="BFBFBF" w:themeColor="background1" w:themeShade="BF"/>
            </w:tcBorders>
            <w:shd w:val="clear" w:color="auto" w:fill="BFBFBF" w:themeFill="background1" w:themeFillShade="BF"/>
            <w:noWrap/>
            <w:vAlign w:val="center"/>
            <w:hideMark/>
          </w:tcPr>
          <w:p w:rsidR="00C57437" w:rsidRPr="00C954A0" w:rsidRDefault="00C57437" w:rsidP="000806C3">
            <w:pPr>
              <w:rPr>
                <w:rFonts w:eastAsia="Times New Roman" w:cs="Calibri"/>
                <w:color w:val="000000"/>
                <w:sz w:val="18"/>
                <w:lang w:val="en-US"/>
              </w:rPr>
            </w:pPr>
            <w:r w:rsidRPr="00C954A0">
              <w:rPr>
                <w:rFonts w:eastAsia="Times New Roman" w:cs="Calibri"/>
                <w:color w:val="000000"/>
                <w:sz w:val="18"/>
                <w:lang w:val="en-US"/>
              </w:rPr>
              <w:t xml:space="preserve">        71.531.243   </w:t>
            </w:r>
          </w:p>
        </w:tc>
        <w:tc>
          <w:tcPr>
            <w:tcW w:w="537" w:type="pct"/>
            <w:tcBorders>
              <w:top w:val="single" w:sz="4" w:space="0" w:color="BFBFBF" w:themeColor="background1" w:themeShade="BF"/>
              <w:bottom w:val="single" w:sz="4" w:space="0" w:color="BFBFBF" w:themeColor="background1" w:themeShade="BF"/>
            </w:tcBorders>
            <w:shd w:val="clear" w:color="auto" w:fill="BFBFBF" w:themeFill="background1" w:themeFillShade="BF"/>
            <w:noWrap/>
            <w:vAlign w:val="center"/>
            <w:hideMark/>
          </w:tcPr>
          <w:p w:rsidR="00C57437" w:rsidRPr="00C954A0" w:rsidRDefault="00C57437" w:rsidP="000806C3">
            <w:pPr>
              <w:jc w:val="right"/>
              <w:rPr>
                <w:rFonts w:eastAsia="Times New Roman" w:cs="Calibri"/>
                <w:color w:val="000000"/>
                <w:sz w:val="18"/>
                <w:lang w:val="en-US"/>
              </w:rPr>
            </w:pPr>
            <w:r w:rsidRPr="00C954A0">
              <w:rPr>
                <w:rFonts w:eastAsia="Times New Roman" w:cs="Calibri"/>
                <w:color w:val="000000"/>
                <w:sz w:val="18"/>
                <w:lang w:val="en-US"/>
              </w:rPr>
              <w:t>100</w:t>
            </w:r>
          </w:p>
        </w:tc>
        <w:tc>
          <w:tcPr>
            <w:tcW w:w="627" w:type="pct"/>
            <w:tcBorders>
              <w:top w:val="single" w:sz="4" w:space="0" w:color="BFBFBF" w:themeColor="background1" w:themeShade="BF"/>
              <w:bottom w:val="single" w:sz="4" w:space="0" w:color="BFBFBF" w:themeColor="background1" w:themeShade="BF"/>
            </w:tcBorders>
            <w:shd w:val="clear" w:color="auto" w:fill="BFBFBF" w:themeFill="background1" w:themeFillShade="BF"/>
            <w:noWrap/>
            <w:vAlign w:val="center"/>
            <w:hideMark/>
          </w:tcPr>
          <w:p w:rsidR="00C57437" w:rsidRPr="00C954A0" w:rsidRDefault="00C57437" w:rsidP="00D458A7">
            <w:pPr>
              <w:jc w:val="right"/>
              <w:rPr>
                <w:rFonts w:eastAsia="Times New Roman" w:cs="Calibri"/>
                <w:color w:val="000000"/>
                <w:sz w:val="18"/>
                <w:lang w:val="en-US"/>
              </w:rPr>
            </w:pPr>
            <w:r w:rsidRPr="00C954A0">
              <w:rPr>
                <w:rFonts w:eastAsia="Times New Roman" w:cs="Calibri"/>
                <w:color w:val="000000"/>
                <w:sz w:val="18"/>
                <w:lang w:val="en-US"/>
              </w:rPr>
              <w:t xml:space="preserve"> 10.523.969   </w:t>
            </w:r>
          </w:p>
        </w:tc>
      </w:tr>
    </w:tbl>
    <w:p w:rsidR="006A529A" w:rsidRPr="00C8311D" w:rsidRDefault="00C8311D" w:rsidP="00C8311D">
      <w:pPr>
        <w:jc w:val="right"/>
        <w:rPr>
          <w:rFonts w:cs="Arial"/>
          <w:i/>
          <w:iCs/>
          <w:color w:val="000000" w:themeColor="text1"/>
          <w:sz w:val="18"/>
        </w:rPr>
      </w:pPr>
      <w:r w:rsidRPr="00C8311D">
        <w:rPr>
          <w:rFonts w:cs="Arial"/>
          <w:i/>
          <w:iCs/>
          <w:color w:val="000000" w:themeColor="text1"/>
          <w:sz w:val="18"/>
        </w:rPr>
        <w:t>Извор: Црногорска привреда 2020, Привредна Комора Црне Горе</w:t>
      </w:r>
    </w:p>
    <w:p w:rsidR="00C8311D" w:rsidRDefault="00C8311D" w:rsidP="000806C3">
      <w:pPr>
        <w:jc w:val="both"/>
        <w:rPr>
          <w:rFonts w:cs="Arial"/>
          <w:color w:val="000000" w:themeColor="text1"/>
          <w:sz w:val="22"/>
          <w:szCs w:val="22"/>
        </w:rPr>
      </w:pPr>
    </w:p>
    <w:p w:rsidR="006A529A" w:rsidRDefault="00CB655A" w:rsidP="000806C3">
      <w:pPr>
        <w:jc w:val="both"/>
        <w:rPr>
          <w:rFonts w:cs="Arial"/>
          <w:color w:val="000000" w:themeColor="text1"/>
          <w:sz w:val="22"/>
          <w:szCs w:val="22"/>
        </w:rPr>
      </w:pPr>
      <w:r w:rsidRPr="00CB655A">
        <w:rPr>
          <w:rFonts w:cs="Arial"/>
          <w:color w:val="000000" w:themeColor="text1"/>
          <w:sz w:val="22"/>
          <w:szCs w:val="22"/>
        </w:rPr>
        <w:t xml:space="preserve">Према броју привредних субјеката </w:t>
      </w:r>
      <w:r w:rsidR="00ED1ADB">
        <w:rPr>
          <w:rFonts w:cs="Arial"/>
          <w:color w:val="000000" w:themeColor="text1"/>
          <w:sz w:val="22"/>
          <w:szCs w:val="22"/>
        </w:rPr>
        <w:t>у Беранама преовлађују сектори дј</w:t>
      </w:r>
      <w:r w:rsidRPr="00CB655A">
        <w:rPr>
          <w:rFonts w:cs="Arial"/>
          <w:color w:val="000000" w:themeColor="text1"/>
          <w:sz w:val="22"/>
          <w:szCs w:val="22"/>
        </w:rPr>
        <w:t>елатности трговина на велико и трговина на мало, поправка моторних возила и мотоцикала (27,7% свих у 2018.  и 33,3% у 2019.  години)  и прерађивачка индустрија (7,6% у 2018. и 17,4% у 2019. години). Такође, значајан број пословних субјеката је у оквиру сектора услуга смјештаја и исхране, као и сектора саобраћај и складиштење.</w:t>
      </w:r>
    </w:p>
    <w:p w:rsidR="00CB655A" w:rsidRDefault="00CB655A" w:rsidP="000806C3">
      <w:pPr>
        <w:jc w:val="both"/>
        <w:rPr>
          <w:rFonts w:cs="Arial"/>
          <w:color w:val="000000" w:themeColor="text1"/>
          <w:sz w:val="22"/>
          <w:szCs w:val="22"/>
        </w:rPr>
      </w:pPr>
    </w:p>
    <w:p w:rsidR="00C8311D" w:rsidRPr="00C8311D" w:rsidRDefault="00C8311D" w:rsidP="000806C3">
      <w:pPr>
        <w:jc w:val="both"/>
        <w:rPr>
          <w:rFonts w:cs="Arial"/>
          <w:color w:val="000000" w:themeColor="text1"/>
          <w:sz w:val="22"/>
          <w:szCs w:val="22"/>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C8311D" w:rsidRDefault="00C8311D" w:rsidP="000806C3">
      <w:pPr>
        <w:jc w:val="both"/>
        <w:rPr>
          <w:rFonts w:cs="Arial"/>
          <w:iCs/>
          <w:color w:val="000000" w:themeColor="text1"/>
          <w:szCs w:val="20"/>
        </w:rPr>
      </w:pPr>
    </w:p>
    <w:p w:rsidR="006A529A" w:rsidRPr="006A529A" w:rsidRDefault="00C8311D" w:rsidP="00C8311D">
      <w:pPr>
        <w:rPr>
          <w:rFonts w:cs="Arial"/>
          <w:color w:val="000000" w:themeColor="text1"/>
          <w:sz w:val="22"/>
          <w:szCs w:val="22"/>
        </w:rPr>
      </w:pPr>
      <w:r>
        <w:rPr>
          <w:rFonts w:cs="Arial"/>
          <w:iCs/>
          <w:color w:val="000000" w:themeColor="text1"/>
          <w:szCs w:val="20"/>
        </w:rPr>
        <w:lastRenderedPageBreak/>
        <w:t>График4:</w:t>
      </w:r>
      <w:r w:rsidR="00A143F2">
        <w:rPr>
          <w:rFonts w:cs="Arial"/>
          <w:iCs/>
          <w:color w:val="000000" w:themeColor="text1"/>
          <w:szCs w:val="20"/>
        </w:rPr>
        <w:t xml:space="preserve"> </w:t>
      </w:r>
      <w:r w:rsidRPr="00C8311D">
        <w:rPr>
          <w:rFonts w:cs="Arial"/>
          <w:iCs/>
          <w:color w:val="000000" w:themeColor="text1"/>
          <w:szCs w:val="20"/>
        </w:rPr>
        <w:t>Учешће привредних субјекта у укупним приходима у општини, 2019. година</w:t>
      </w:r>
      <w:r w:rsidR="006A529A" w:rsidRPr="00D458A7">
        <w:rPr>
          <w:noProof/>
          <w:shd w:val="clear" w:color="auto" w:fill="D9D9D9" w:themeFill="background1" w:themeFillShade="D9"/>
          <w:lang w:val="en-US"/>
        </w:rPr>
        <w:drawing>
          <wp:inline distT="0" distB="0" distL="0" distR="0">
            <wp:extent cx="5650230" cy="3832860"/>
            <wp:effectExtent l="0" t="0" r="762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D281D" w:rsidRPr="00C8311D" w:rsidRDefault="00C8311D" w:rsidP="00C8311D">
      <w:pPr>
        <w:jc w:val="right"/>
        <w:rPr>
          <w:rFonts w:cs="Arial"/>
          <w:i/>
          <w:iCs/>
          <w:color w:val="000000" w:themeColor="text1"/>
          <w:sz w:val="18"/>
        </w:rPr>
      </w:pPr>
      <w:r w:rsidRPr="00C8311D">
        <w:rPr>
          <w:rFonts w:cs="Arial"/>
          <w:i/>
          <w:iCs/>
          <w:color w:val="000000" w:themeColor="text1"/>
          <w:sz w:val="18"/>
        </w:rPr>
        <w:t>Извор: Црногорска привреда 2020, Привредна Комора Црне Горе</w:t>
      </w:r>
    </w:p>
    <w:p w:rsidR="00CB655A" w:rsidRDefault="00CB655A" w:rsidP="00F0787D">
      <w:pPr>
        <w:rPr>
          <w:rFonts w:cs="Arial"/>
          <w:color w:val="000000" w:themeColor="text1"/>
          <w:sz w:val="22"/>
          <w:szCs w:val="22"/>
        </w:rPr>
      </w:pPr>
      <w:r w:rsidRPr="00CB655A">
        <w:rPr>
          <w:rFonts w:cs="Arial"/>
          <w:color w:val="000000" w:themeColor="text1"/>
          <w:sz w:val="22"/>
          <w:szCs w:val="22"/>
        </w:rPr>
        <w:t>У 2019. години највеће учешће у укупним приходима у Беранама</w:t>
      </w:r>
      <w:r>
        <w:rPr>
          <w:rFonts w:cs="Arial"/>
          <w:color w:val="000000" w:themeColor="text1"/>
          <w:sz w:val="22"/>
          <w:szCs w:val="22"/>
        </w:rPr>
        <w:t xml:space="preserve"> имали су привредни субјекти у дј</w:t>
      </w:r>
      <w:r w:rsidRPr="00CB655A">
        <w:rPr>
          <w:rFonts w:cs="Arial"/>
          <w:color w:val="000000" w:themeColor="text1"/>
          <w:sz w:val="22"/>
          <w:szCs w:val="22"/>
        </w:rPr>
        <w:t xml:space="preserve">елатности трговине, прерађивачке индустрије, саобраћаја и грађевинарства који су заједно остварили 83% прихода свих пословних субјеката у овој општини у наведеном периоду. </w:t>
      </w:r>
    </w:p>
    <w:p w:rsidR="00CB655A" w:rsidRPr="00CB655A" w:rsidRDefault="00CB655A" w:rsidP="00F0787D">
      <w:pPr>
        <w:rPr>
          <w:rFonts w:cs="Arial"/>
          <w:b/>
          <w:color w:val="000000" w:themeColor="text1"/>
          <w:sz w:val="22"/>
          <w:szCs w:val="22"/>
        </w:rPr>
      </w:pPr>
    </w:p>
    <w:p w:rsidR="006A529A" w:rsidRPr="00CB655A" w:rsidRDefault="00CB655A" w:rsidP="000806C3">
      <w:pPr>
        <w:jc w:val="both"/>
        <w:rPr>
          <w:b/>
          <w:sz w:val="22"/>
          <w:szCs w:val="22"/>
        </w:rPr>
      </w:pPr>
      <w:r w:rsidRPr="00CB655A">
        <w:rPr>
          <w:b/>
          <w:sz w:val="22"/>
          <w:szCs w:val="22"/>
        </w:rPr>
        <w:t>2.3.2 Пољопривреда и рурални развој</w:t>
      </w:r>
    </w:p>
    <w:p w:rsidR="00CB655A" w:rsidRPr="00CB655A" w:rsidRDefault="00CB655A" w:rsidP="000806C3">
      <w:pPr>
        <w:jc w:val="both"/>
        <w:rPr>
          <w:rFonts w:cs="Arial"/>
          <w:sz w:val="22"/>
          <w:szCs w:val="22"/>
        </w:rPr>
      </w:pPr>
    </w:p>
    <w:p w:rsidR="00CB655A" w:rsidRPr="00CB655A" w:rsidRDefault="00CB655A" w:rsidP="00CB655A">
      <w:pPr>
        <w:jc w:val="both"/>
        <w:rPr>
          <w:rFonts w:cs="Arial"/>
          <w:sz w:val="22"/>
          <w:szCs w:val="22"/>
        </w:rPr>
      </w:pPr>
      <w:r w:rsidRPr="00CB655A">
        <w:rPr>
          <w:rFonts w:cs="Arial"/>
          <w:sz w:val="22"/>
          <w:szCs w:val="22"/>
        </w:rPr>
        <w:t xml:space="preserve">Пољопривреда има значајан потенцијал за даљи развој у општини Беране. У општини постоји 3.156 пољопривредних газдинстава која газдују са значајним површинама пољопривредног земљишта. Пољопривредно земљиште чини преко половине укупно категорисаног земљишта општине, а поред пољопривредног земљишта доброг квалитета, значајан дио категорисаног земљишта се односи и на оранице, воћњаке и ливаде. Основни предуслов за даљи развој пољопривреде су додатна улагања која би омогућила интензивнији почетак пољопривредне производње, а тиме и запошљавање радно способног сеоског становништва. </w:t>
      </w:r>
    </w:p>
    <w:p w:rsidR="00CB655A" w:rsidRPr="00C8311D" w:rsidRDefault="00CB655A" w:rsidP="00CB655A">
      <w:pPr>
        <w:jc w:val="both"/>
        <w:rPr>
          <w:rFonts w:cs="Arial"/>
          <w:sz w:val="22"/>
          <w:szCs w:val="22"/>
        </w:rPr>
      </w:pPr>
      <w:r w:rsidRPr="00CB655A">
        <w:rPr>
          <w:rFonts w:cs="Arial"/>
          <w:sz w:val="22"/>
          <w:szCs w:val="22"/>
        </w:rPr>
        <w:t>Ипак, укупан број регистрованих пољопривредних осигураника у 2019. години у Беранама износио је свега 81. што је у односу на 2011. годину, мање за 34,1%, али ипак треба имати у виду да су у 2011. години били укључени пољопривредни осигураници из општине Петњица</w:t>
      </w:r>
    </w:p>
    <w:p w:rsidR="006A529A" w:rsidRPr="00C8311D" w:rsidRDefault="00C8311D" w:rsidP="000806C3">
      <w:pPr>
        <w:rPr>
          <w:rFonts w:cs="Arial"/>
          <w:color w:val="000000" w:themeColor="text1"/>
          <w:szCs w:val="20"/>
        </w:rPr>
      </w:pPr>
      <w:r>
        <w:rPr>
          <w:rFonts w:cs="Arial"/>
          <w:color w:val="000000" w:themeColor="text1"/>
          <w:szCs w:val="20"/>
        </w:rPr>
        <w:t>Табела</w:t>
      </w:r>
      <w:r w:rsidR="00235E36">
        <w:rPr>
          <w:rFonts w:cs="Arial"/>
          <w:color w:val="000000" w:themeColor="text1"/>
          <w:szCs w:val="20"/>
        </w:rPr>
        <w:t xml:space="preserve"> </w:t>
      </w:r>
      <w:r w:rsidR="000A57F6">
        <w:rPr>
          <w:rFonts w:cs="Arial"/>
          <w:color w:val="000000" w:themeColor="text1"/>
          <w:szCs w:val="20"/>
        </w:rPr>
        <w:t>7</w:t>
      </w:r>
      <w:r>
        <w:rPr>
          <w:rFonts w:cs="Arial"/>
          <w:color w:val="000000" w:themeColor="text1"/>
          <w:szCs w:val="20"/>
        </w:rPr>
        <w:t>: Пољопривредни осигураници</w:t>
      </w:r>
    </w:p>
    <w:tbl>
      <w:tblPr>
        <w:tblStyle w:val="TableGrid"/>
        <w:tblpPr w:leftFromText="141" w:rightFromText="141" w:vertAnchor="text" w:horzAnchor="margin" w:tblpXSpec="center" w:tblpY="96"/>
        <w:tblW w:w="6431"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tblPr>
      <w:tblGrid>
        <w:gridCol w:w="2291"/>
        <w:gridCol w:w="1379"/>
        <w:gridCol w:w="1379"/>
        <w:gridCol w:w="1382"/>
      </w:tblGrid>
      <w:tr w:rsidR="006D281D" w:rsidRPr="006A529A" w:rsidTr="00D458A7">
        <w:trPr>
          <w:trHeight w:val="379"/>
        </w:trPr>
        <w:tc>
          <w:tcPr>
            <w:tcW w:w="2291" w:type="dxa"/>
            <w:vMerge w:val="restart"/>
            <w:shd w:val="clear" w:color="auto" w:fill="BFBFBF" w:themeFill="background1" w:themeFillShade="BF"/>
            <w:noWrap/>
            <w:hideMark/>
          </w:tcPr>
          <w:p w:rsidR="006D281D" w:rsidRPr="006A529A" w:rsidRDefault="006D281D"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 </w:t>
            </w:r>
          </w:p>
        </w:tc>
        <w:tc>
          <w:tcPr>
            <w:tcW w:w="4140" w:type="dxa"/>
            <w:gridSpan w:val="3"/>
            <w:vMerge w:val="restart"/>
            <w:shd w:val="clear" w:color="auto" w:fill="BFBFBF" w:themeFill="background1" w:themeFillShade="BF"/>
            <w:noWrap/>
            <w:hideMark/>
          </w:tcPr>
          <w:p w:rsidR="006D281D" w:rsidRPr="006A529A" w:rsidRDefault="00C8311D" w:rsidP="00C8311D">
            <w:pPr>
              <w:jc w:val="center"/>
              <w:rPr>
                <w:rFonts w:eastAsia="Times New Roman" w:cs="Arial"/>
                <w:color w:val="000000"/>
                <w:sz w:val="18"/>
                <w:lang w:val="sl-SI" w:eastAsia="sl-SI"/>
              </w:rPr>
            </w:pPr>
            <w:r>
              <w:rPr>
                <w:rFonts w:cs="Arial"/>
                <w:color w:val="000000" w:themeColor="text1"/>
                <w:szCs w:val="20"/>
              </w:rPr>
              <w:t>Пољопривредни осигураници</w:t>
            </w:r>
          </w:p>
        </w:tc>
      </w:tr>
      <w:tr w:rsidR="006D281D" w:rsidRPr="006A529A" w:rsidTr="00D458A7">
        <w:trPr>
          <w:trHeight w:val="235"/>
        </w:trPr>
        <w:tc>
          <w:tcPr>
            <w:tcW w:w="2291" w:type="dxa"/>
            <w:vMerge/>
            <w:shd w:val="clear" w:color="auto" w:fill="BFBFBF" w:themeFill="background1" w:themeFillShade="BF"/>
            <w:hideMark/>
          </w:tcPr>
          <w:p w:rsidR="006D281D" w:rsidRPr="006A529A" w:rsidRDefault="006D281D" w:rsidP="000806C3">
            <w:pPr>
              <w:rPr>
                <w:rFonts w:eastAsia="Times New Roman" w:cs="Arial"/>
                <w:color w:val="000000"/>
                <w:sz w:val="18"/>
                <w:lang w:val="sl-SI" w:eastAsia="sl-SI"/>
              </w:rPr>
            </w:pPr>
          </w:p>
        </w:tc>
        <w:tc>
          <w:tcPr>
            <w:tcW w:w="4140" w:type="dxa"/>
            <w:gridSpan w:val="3"/>
            <w:vMerge/>
            <w:shd w:val="clear" w:color="auto" w:fill="BFBFBF" w:themeFill="background1" w:themeFillShade="BF"/>
            <w:hideMark/>
          </w:tcPr>
          <w:p w:rsidR="006D281D" w:rsidRPr="006A529A" w:rsidRDefault="006D281D" w:rsidP="000806C3">
            <w:pPr>
              <w:rPr>
                <w:rFonts w:eastAsia="Times New Roman" w:cs="Arial"/>
                <w:color w:val="000000"/>
                <w:sz w:val="18"/>
                <w:lang w:val="sl-SI" w:eastAsia="sl-SI"/>
              </w:rPr>
            </w:pPr>
          </w:p>
        </w:tc>
      </w:tr>
      <w:tr w:rsidR="006D281D" w:rsidRPr="006A529A" w:rsidTr="004E6FC2">
        <w:trPr>
          <w:trHeight w:val="264"/>
        </w:trPr>
        <w:tc>
          <w:tcPr>
            <w:tcW w:w="2291" w:type="dxa"/>
            <w:vMerge/>
            <w:shd w:val="clear" w:color="auto" w:fill="BFBFBF" w:themeFill="background1" w:themeFillShade="BF"/>
            <w:hideMark/>
          </w:tcPr>
          <w:p w:rsidR="006D281D" w:rsidRPr="006A529A" w:rsidRDefault="006D281D" w:rsidP="000806C3">
            <w:pPr>
              <w:rPr>
                <w:rFonts w:eastAsia="Times New Roman" w:cs="Arial"/>
                <w:color w:val="000000"/>
                <w:sz w:val="18"/>
                <w:lang w:val="sl-SI" w:eastAsia="sl-SI"/>
              </w:rPr>
            </w:pPr>
          </w:p>
        </w:tc>
        <w:tc>
          <w:tcPr>
            <w:tcW w:w="1379" w:type="dxa"/>
            <w:tcBorders>
              <w:bottom w:val="single" w:sz="4" w:space="0" w:color="BFBFBF" w:themeColor="background1" w:themeShade="BF"/>
            </w:tcBorders>
            <w:shd w:val="clear" w:color="auto" w:fill="BFBFBF" w:themeFill="background1" w:themeFillShade="BF"/>
            <w:noWrap/>
            <w:hideMark/>
          </w:tcPr>
          <w:p w:rsidR="006D281D" w:rsidRPr="006A529A" w:rsidRDefault="006D281D"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2011.</w:t>
            </w:r>
          </w:p>
        </w:tc>
        <w:tc>
          <w:tcPr>
            <w:tcW w:w="1379" w:type="dxa"/>
            <w:tcBorders>
              <w:bottom w:val="single" w:sz="4" w:space="0" w:color="BFBFBF" w:themeColor="background1" w:themeShade="BF"/>
            </w:tcBorders>
            <w:shd w:val="clear" w:color="auto" w:fill="BFBFBF" w:themeFill="background1" w:themeFillShade="BF"/>
            <w:noWrap/>
            <w:hideMark/>
          </w:tcPr>
          <w:p w:rsidR="006D281D" w:rsidRPr="006A529A" w:rsidRDefault="006D281D"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2018.</w:t>
            </w:r>
          </w:p>
        </w:tc>
        <w:tc>
          <w:tcPr>
            <w:tcW w:w="1380" w:type="dxa"/>
            <w:shd w:val="clear" w:color="auto" w:fill="BFBFBF" w:themeFill="background1" w:themeFillShade="BF"/>
            <w:noWrap/>
            <w:hideMark/>
          </w:tcPr>
          <w:p w:rsidR="006D281D" w:rsidRPr="006A529A" w:rsidRDefault="006D281D"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2019.</w:t>
            </w:r>
          </w:p>
        </w:tc>
      </w:tr>
      <w:tr w:rsidR="006D281D" w:rsidRPr="006A529A" w:rsidTr="004E6FC2">
        <w:trPr>
          <w:trHeight w:val="264"/>
        </w:trPr>
        <w:tc>
          <w:tcPr>
            <w:tcW w:w="2291" w:type="dxa"/>
            <w:tcBorders>
              <w:right w:val="nil"/>
            </w:tcBorders>
            <w:noWrap/>
            <w:hideMark/>
          </w:tcPr>
          <w:p w:rsidR="006D281D" w:rsidRPr="00C8311D" w:rsidRDefault="00C8311D" w:rsidP="000806C3">
            <w:pPr>
              <w:rPr>
                <w:rFonts w:eastAsia="Times New Roman" w:cs="Arial"/>
                <w:color w:val="000000"/>
                <w:sz w:val="18"/>
                <w:lang w:eastAsia="sl-SI"/>
              </w:rPr>
            </w:pPr>
            <w:r>
              <w:rPr>
                <w:rFonts w:eastAsia="Times New Roman" w:cs="Arial"/>
                <w:color w:val="000000"/>
                <w:sz w:val="18"/>
                <w:lang w:eastAsia="sl-SI"/>
              </w:rPr>
              <w:t>Беране</w:t>
            </w:r>
          </w:p>
        </w:tc>
        <w:tc>
          <w:tcPr>
            <w:tcW w:w="1379" w:type="dxa"/>
            <w:tcBorders>
              <w:left w:val="nil"/>
              <w:right w:val="nil"/>
            </w:tcBorders>
            <w:noWrap/>
          </w:tcPr>
          <w:p w:rsidR="006D281D" w:rsidRPr="006A529A" w:rsidRDefault="006D281D"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123</w:t>
            </w:r>
          </w:p>
        </w:tc>
        <w:tc>
          <w:tcPr>
            <w:tcW w:w="1379" w:type="dxa"/>
            <w:tcBorders>
              <w:left w:val="nil"/>
              <w:right w:val="nil"/>
            </w:tcBorders>
            <w:noWrap/>
          </w:tcPr>
          <w:p w:rsidR="006D281D" w:rsidRPr="006A529A" w:rsidRDefault="006D281D"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78</w:t>
            </w:r>
          </w:p>
        </w:tc>
        <w:tc>
          <w:tcPr>
            <w:tcW w:w="1380" w:type="dxa"/>
            <w:tcBorders>
              <w:left w:val="nil"/>
            </w:tcBorders>
            <w:noWrap/>
          </w:tcPr>
          <w:p w:rsidR="006D281D" w:rsidRPr="006A529A" w:rsidRDefault="006D281D" w:rsidP="000806C3">
            <w:pPr>
              <w:jc w:val="center"/>
              <w:rPr>
                <w:rFonts w:eastAsia="Times New Roman" w:cs="Arial"/>
                <w:color w:val="000000"/>
                <w:sz w:val="18"/>
                <w:lang w:val="sl-SI" w:eastAsia="sl-SI"/>
              </w:rPr>
            </w:pPr>
            <w:r w:rsidRPr="006A529A">
              <w:rPr>
                <w:rFonts w:eastAsia="Times New Roman" w:cs="Arial"/>
                <w:color w:val="000000"/>
                <w:sz w:val="18"/>
                <w:lang w:val="sl-SI" w:eastAsia="sl-SI"/>
              </w:rPr>
              <w:t>81</w:t>
            </w:r>
          </w:p>
        </w:tc>
      </w:tr>
      <w:tr w:rsidR="006D281D" w:rsidRPr="006A529A" w:rsidTr="004E6FC2">
        <w:trPr>
          <w:trHeight w:val="264"/>
        </w:trPr>
        <w:tc>
          <w:tcPr>
            <w:tcW w:w="2291" w:type="dxa"/>
            <w:tcBorders>
              <w:right w:val="nil"/>
            </w:tcBorders>
            <w:noWrap/>
            <w:hideMark/>
          </w:tcPr>
          <w:p w:rsidR="006D281D" w:rsidRPr="00C8311D" w:rsidRDefault="00C8311D" w:rsidP="000806C3">
            <w:pPr>
              <w:rPr>
                <w:rFonts w:eastAsia="Times New Roman" w:cs="Arial"/>
                <w:color w:val="000000"/>
                <w:sz w:val="18"/>
                <w:lang w:eastAsia="sl-SI"/>
              </w:rPr>
            </w:pPr>
            <w:r>
              <w:rPr>
                <w:rFonts w:eastAsia="Times New Roman" w:cs="Arial"/>
                <w:color w:val="000000"/>
                <w:sz w:val="18"/>
                <w:lang w:eastAsia="sl-SI"/>
              </w:rPr>
              <w:t>Сјеверни регион</w:t>
            </w:r>
          </w:p>
        </w:tc>
        <w:tc>
          <w:tcPr>
            <w:tcW w:w="1379" w:type="dxa"/>
            <w:tcBorders>
              <w:left w:val="nil"/>
              <w:right w:val="nil"/>
            </w:tcBorders>
            <w:noWrap/>
          </w:tcPr>
          <w:p w:rsidR="006D281D" w:rsidRPr="006A529A" w:rsidRDefault="006D281D" w:rsidP="000806C3">
            <w:pPr>
              <w:jc w:val="center"/>
              <w:rPr>
                <w:rFonts w:eastAsia="Times New Roman" w:cs="Arial"/>
                <w:color w:val="000000"/>
                <w:sz w:val="18"/>
                <w:lang w:val="sl-SI" w:eastAsia="sl-SI"/>
              </w:rPr>
            </w:pPr>
            <w:r w:rsidRPr="006A529A">
              <w:rPr>
                <w:rFonts w:cs="Calibri"/>
                <w:iCs/>
                <w:color w:val="000000"/>
                <w:sz w:val="18"/>
              </w:rPr>
              <w:t>718</w:t>
            </w:r>
          </w:p>
        </w:tc>
        <w:tc>
          <w:tcPr>
            <w:tcW w:w="1379" w:type="dxa"/>
            <w:tcBorders>
              <w:left w:val="nil"/>
              <w:right w:val="nil"/>
            </w:tcBorders>
            <w:noWrap/>
          </w:tcPr>
          <w:p w:rsidR="006D281D" w:rsidRPr="006A529A" w:rsidRDefault="006D281D" w:rsidP="000806C3">
            <w:pPr>
              <w:jc w:val="center"/>
              <w:rPr>
                <w:rFonts w:eastAsia="Times New Roman" w:cs="Arial"/>
                <w:color w:val="000000"/>
                <w:sz w:val="18"/>
                <w:lang w:val="sl-SI" w:eastAsia="sl-SI"/>
              </w:rPr>
            </w:pPr>
            <w:r w:rsidRPr="006A529A">
              <w:rPr>
                <w:rFonts w:cs="Calibri"/>
                <w:iCs/>
                <w:color w:val="000000"/>
                <w:sz w:val="18"/>
              </w:rPr>
              <w:t>664</w:t>
            </w:r>
          </w:p>
        </w:tc>
        <w:tc>
          <w:tcPr>
            <w:tcW w:w="1380" w:type="dxa"/>
            <w:tcBorders>
              <w:left w:val="nil"/>
            </w:tcBorders>
            <w:noWrap/>
          </w:tcPr>
          <w:p w:rsidR="006D281D" w:rsidRPr="006A529A" w:rsidRDefault="006D281D" w:rsidP="000806C3">
            <w:pPr>
              <w:jc w:val="center"/>
              <w:rPr>
                <w:rFonts w:eastAsia="Times New Roman" w:cs="Arial"/>
                <w:color w:val="FF0000"/>
                <w:sz w:val="18"/>
                <w:lang w:val="sl-SI" w:eastAsia="sl-SI"/>
              </w:rPr>
            </w:pPr>
            <w:r w:rsidRPr="006A529A">
              <w:rPr>
                <w:rFonts w:cs="Calibri"/>
                <w:iCs/>
                <w:color w:val="000000"/>
                <w:sz w:val="18"/>
              </w:rPr>
              <w:t>691</w:t>
            </w:r>
          </w:p>
        </w:tc>
      </w:tr>
      <w:tr w:rsidR="006D281D" w:rsidRPr="006A529A" w:rsidTr="004E6FC2">
        <w:trPr>
          <w:trHeight w:val="264"/>
        </w:trPr>
        <w:tc>
          <w:tcPr>
            <w:tcW w:w="2291" w:type="dxa"/>
            <w:tcBorders>
              <w:right w:val="nil"/>
            </w:tcBorders>
            <w:noWrap/>
            <w:hideMark/>
          </w:tcPr>
          <w:p w:rsidR="006D281D" w:rsidRPr="00C8311D" w:rsidRDefault="00C8311D" w:rsidP="000806C3">
            <w:pPr>
              <w:rPr>
                <w:rFonts w:eastAsia="Times New Roman" w:cs="Arial"/>
                <w:color w:val="000000"/>
                <w:sz w:val="18"/>
                <w:lang w:eastAsia="sl-SI"/>
              </w:rPr>
            </w:pPr>
            <w:r>
              <w:rPr>
                <w:rFonts w:eastAsia="Times New Roman" w:cs="Arial"/>
                <w:color w:val="000000"/>
                <w:sz w:val="18"/>
                <w:lang w:eastAsia="sl-SI"/>
              </w:rPr>
              <w:t>Црна Гора</w:t>
            </w:r>
          </w:p>
        </w:tc>
        <w:tc>
          <w:tcPr>
            <w:tcW w:w="1379" w:type="dxa"/>
            <w:tcBorders>
              <w:left w:val="nil"/>
              <w:right w:val="nil"/>
            </w:tcBorders>
            <w:noWrap/>
          </w:tcPr>
          <w:p w:rsidR="006D281D" w:rsidRPr="006A529A" w:rsidRDefault="006D281D" w:rsidP="000806C3">
            <w:pPr>
              <w:jc w:val="center"/>
              <w:rPr>
                <w:rFonts w:eastAsia="Times New Roman" w:cs="Arial"/>
                <w:color w:val="000000"/>
                <w:sz w:val="18"/>
                <w:lang w:val="sl-SI" w:eastAsia="sl-SI"/>
              </w:rPr>
            </w:pPr>
            <w:r w:rsidRPr="006A529A">
              <w:rPr>
                <w:rFonts w:cs="Calibri"/>
                <w:color w:val="000000"/>
                <w:sz w:val="18"/>
              </w:rPr>
              <w:t>1</w:t>
            </w:r>
            <w:r w:rsidR="003975FB">
              <w:rPr>
                <w:rFonts w:cs="Calibri"/>
                <w:color w:val="000000"/>
                <w:sz w:val="18"/>
              </w:rPr>
              <w:t>.</w:t>
            </w:r>
            <w:r w:rsidRPr="006A529A">
              <w:rPr>
                <w:rFonts w:cs="Calibri"/>
                <w:color w:val="000000"/>
                <w:sz w:val="18"/>
              </w:rPr>
              <w:t>480</w:t>
            </w:r>
          </w:p>
        </w:tc>
        <w:tc>
          <w:tcPr>
            <w:tcW w:w="1379" w:type="dxa"/>
            <w:tcBorders>
              <w:left w:val="nil"/>
              <w:right w:val="nil"/>
            </w:tcBorders>
            <w:noWrap/>
          </w:tcPr>
          <w:p w:rsidR="006D281D" w:rsidRPr="006A529A" w:rsidRDefault="006D281D" w:rsidP="000806C3">
            <w:pPr>
              <w:jc w:val="center"/>
              <w:rPr>
                <w:rFonts w:eastAsia="Times New Roman" w:cs="Arial"/>
                <w:color w:val="000000"/>
                <w:sz w:val="18"/>
                <w:lang w:val="sl-SI" w:eastAsia="sl-SI"/>
              </w:rPr>
            </w:pPr>
            <w:r w:rsidRPr="006A529A">
              <w:rPr>
                <w:rFonts w:cs="Calibri"/>
                <w:color w:val="000000"/>
                <w:sz w:val="18"/>
              </w:rPr>
              <w:t>1</w:t>
            </w:r>
            <w:r w:rsidR="003975FB">
              <w:rPr>
                <w:rFonts w:cs="Calibri"/>
                <w:color w:val="000000"/>
                <w:sz w:val="18"/>
              </w:rPr>
              <w:t>.</w:t>
            </w:r>
            <w:r w:rsidRPr="006A529A">
              <w:rPr>
                <w:rFonts w:cs="Calibri"/>
                <w:color w:val="000000"/>
                <w:sz w:val="18"/>
              </w:rPr>
              <w:t>527</w:t>
            </w:r>
          </w:p>
        </w:tc>
        <w:tc>
          <w:tcPr>
            <w:tcW w:w="1380" w:type="dxa"/>
            <w:tcBorders>
              <w:left w:val="nil"/>
            </w:tcBorders>
            <w:noWrap/>
          </w:tcPr>
          <w:p w:rsidR="006D281D" w:rsidRPr="006A529A" w:rsidRDefault="006D281D" w:rsidP="000806C3">
            <w:pPr>
              <w:jc w:val="center"/>
              <w:rPr>
                <w:rFonts w:eastAsia="Times New Roman" w:cs="Arial"/>
                <w:color w:val="FF0000"/>
                <w:sz w:val="18"/>
                <w:lang w:val="sl-SI" w:eastAsia="sl-SI"/>
              </w:rPr>
            </w:pPr>
            <w:r w:rsidRPr="006A529A">
              <w:rPr>
                <w:rFonts w:cs="Calibri"/>
                <w:sz w:val="18"/>
              </w:rPr>
              <w:t>1</w:t>
            </w:r>
            <w:r w:rsidR="003975FB">
              <w:rPr>
                <w:rFonts w:cs="Calibri"/>
                <w:sz w:val="18"/>
              </w:rPr>
              <w:t>.</w:t>
            </w:r>
            <w:r w:rsidRPr="006A529A">
              <w:rPr>
                <w:rFonts w:cs="Calibri"/>
                <w:sz w:val="18"/>
              </w:rPr>
              <w:t>587</w:t>
            </w:r>
          </w:p>
        </w:tc>
      </w:tr>
    </w:tbl>
    <w:p w:rsidR="006A529A" w:rsidRPr="006A529A" w:rsidRDefault="006A529A" w:rsidP="000806C3">
      <w:pPr>
        <w:jc w:val="both"/>
        <w:rPr>
          <w:rFonts w:cs="Arial"/>
          <w:color w:val="000000" w:themeColor="text1"/>
          <w:sz w:val="22"/>
          <w:szCs w:val="22"/>
        </w:rPr>
      </w:pPr>
    </w:p>
    <w:p w:rsidR="006A529A" w:rsidRPr="006A529A" w:rsidRDefault="006A529A" w:rsidP="000806C3">
      <w:pPr>
        <w:jc w:val="both"/>
        <w:rPr>
          <w:rFonts w:cs="Arial"/>
          <w:color w:val="000000" w:themeColor="text1"/>
          <w:sz w:val="22"/>
          <w:szCs w:val="22"/>
        </w:rPr>
      </w:pPr>
    </w:p>
    <w:p w:rsidR="006A529A" w:rsidRPr="006A529A" w:rsidRDefault="006A529A" w:rsidP="000806C3">
      <w:pPr>
        <w:jc w:val="both"/>
        <w:rPr>
          <w:rFonts w:cs="Arial"/>
          <w:color w:val="000000" w:themeColor="text1"/>
          <w:sz w:val="22"/>
          <w:szCs w:val="22"/>
        </w:rPr>
      </w:pPr>
    </w:p>
    <w:p w:rsidR="006A529A" w:rsidRPr="006A529A" w:rsidRDefault="006A529A" w:rsidP="000806C3">
      <w:pPr>
        <w:jc w:val="both"/>
        <w:rPr>
          <w:rFonts w:cs="Arial"/>
          <w:color w:val="000000" w:themeColor="text1"/>
          <w:sz w:val="22"/>
          <w:szCs w:val="22"/>
        </w:rPr>
      </w:pPr>
    </w:p>
    <w:p w:rsidR="006A529A" w:rsidRPr="006A529A" w:rsidRDefault="006A529A" w:rsidP="000806C3">
      <w:pPr>
        <w:jc w:val="both"/>
        <w:rPr>
          <w:rFonts w:cs="Arial"/>
          <w:color w:val="000000" w:themeColor="text1"/>
          <w:sz w:val="22"/>
          <w:szCs w:val="22"/>
        </w:rPr>
      </w:pPr>
    </w:p>
    <w:p w:rsidR="006A529A" w:rsidRPr="006A529A" w:rsidRDefault="006A529A" w:rsidP="000806C3">
      <w:pPr>
        <w:jc w:val="both"/>
        <w:rPr>
          <w:rFonts w:cs="Arial"/>
          <w:color w:val="000000" w:themeColor="text1"/>
          <w:sz w:val="22"/>
          <w:szCs w:val="22"/>
        </w:rPr>
      </w:pPr>
    </w:p>
    <w:p w:rsidR="006A529A" w:rsidRPr="006A529A" w:rsidRDefault="006A529A" w:rsidP="000806C3">
      <w:pPr>
        <w:jc w:val="both"/>
        <w:rPr>
          <w:rFonts w:cs="Arial"/>
          <w:color w:val="000000" w:themeColor="text1"/>
          <w:sz w:val="22"/>
          <w:szCs w:val="22"/>
        </w:rPr>
      </w:pPr>
    </w:p>
    <w:p w:rsidR="00F7360E" w:rsidRDefault="00F7360E" w:rsidP="000806C3">
      <w:pPr>
        <w:jc w:val="right"/>
        <w:rPr>
          <w:rFonts w:cs="Arial"/>
          <w:i/>
          <w:iCs/>
          <w:sz w:val="18"/>
        </w:rPr>
      </w:pPr>
    </w:p>
    <w:p w:rsidR="00CB655A" w:rsidRPr="00CB655A" w:rsidRDefault="00C8311D" w:rsidP="00C8311D">
      <w:pPr>
        <w:rPr>
          <w:rFonts w:cs="Arial"/>
          <w:i/>
          <w:iCs/>
          <w:sz w:val="18"/>
        </w:rPr>
      </w:pPr>
      <w:bookmarkStart w:id="20" w:name="_Hlk56849000"/>
      <w:r>
        <w:rPr>
          <w:rFonts w:cs="Arial"/>
          <w:i/>
          <w:iCs/>
          <w:sz w:val="18"/>
        </w:rPr>
        <w:t xml:space="preserve">                                                                      Извор</w:t>
      </w:r>
      <w:r w:rsidR="006A529A" w:rsidRPr="006A529A">
        <w:rPr>
          <w:rFonts w:cs="Arial"/>
          <w:i/>
          <w:iCs/>
          <w:sz w:val="18"/>
        </w:rPr>
        <w:t xml:space="preserve">: MONSTAT, </w:t>
      </w:r>
      <w:bookmarkEnd w:id="20"/>
      <w:r w:rsidRPr="00C8311D">
        <w:rPr>
          <w:rFonts w:cs="Arial"/>
          <w:i/>
          <w:iCs/>
          <w:sz w:val="18"/>
        </w:rPr>
        <w:t>Мјесечни статистички преглед, бр. 10 /2020</w:t>
      </w:r>
    </w:p>
    <w:p w:rsidR="00CB655A" w:rsidRPr="00CB655A" w:rsidRDefault="00CB655A" w:rsidP="00CB655A">
      <w:pPr>
        <w:jc w:val="both"/>
        <w:rPr>
          <w:rFonts w:cs="Arial"/>
          <w:sz w:val="22"/>
          <w:szCs w:val="22"/>
        </w:rPr>
      </w:pPr>
    </w:p>
    <w:p w:rsidR="009B06E4" w:rsidRDefault="00CB655A" w:rsidP="00CB655A">
      <w:pPr>
        <w:jc w:val="both"/>
        <w:rPr>
          <w:rFonts w:cs="Arial"/>
          <w:sz w:val="22"/>
          <w:szCs w:val="22"/>
        </w:rPr>
      </w:pPr>
      <w:r w:rsidRPr="00CB655A">
        <w:rPr>
          <w:rFonts w:cs="Arial"/>
          <w:sz w:val="22"/>
          <w:szCs w:val="22"/>
        </w:rPr>
        <w:t>Јачање капацитета за већи степен обраде пољопривредних производа, као и за органску производњу хране представља значајну шансу, али је потребно успоставити чвршће везе између пољопривреде и туризма и индустрије.</w:t>
      </w:r>
    </w:p>
    <w:p w:rsidR="00736F12" w:rsidRPr="00736F12" w:rsidRDefault="00736F12" w:rsidP="00CB655A">
      <w:pPr>
        <w:jc w:val="both"/>
        <w:rPr>
          <w:rFonts w:cs="Arial"/>
          <w:sz w:val="22"/>
          <w:szCs w:val="22"/>
        </w:rPr>
      </w:pPr>
    </w:p>
    <w:p w:rsidR="006A529A" w:rsidRPr="006A529A" w:rsidRDefault="00736F12" w:rsidP="000806C3">
      <w:pPr>
        <w:jc w:val="both"/>
        <w:rPr>
          <w:rFonts w:cs="Arial"/>
          <w:sz w:val="22"/>
          <w:szCs w:val="22"/>
        </w:rPr>
      </w:pPr>
      <w:r w:rsidRPr="00736F12">
        <w:rPr>
          <w:rFonts w:cs="Arial"/>
          <w:sz w:val="22"/>
          <w:szCs w:val="22"/>
        </w:rPr>
        <w:t xml:space="preserve">Према Стратешком плану развоја општине, тренутне мјере за потицање пољопривреде и на државном и на локалном нивоу су недовољне и постоји низ ограничења за њихову имплементацију. Главни проблеми су: лоша рурална и катунска инфраструктура, негативни демографски трендови у руралним подручјима, неповољна старосна и квалификациона структура пољопривредног становништва, неразвијени прерађивачки сектор, потешкоће у маркетингу производа, конкуренција из увоза кроз велике трговачке ланце, који домаћу производњу чине неконкурентном, слаба материјална основа пољопривредног газдинства, слаба техничка опремљеност, скептицизам у примјени савремених агротехничких мјера, уситњавање пољопривредних газдинстава које се интензивно наставља дијељењем парцела, гашењем задруга у локалним центрима, ограничена буџетска подршка пољопривреди </w:t>
      </w:r>
      <w:r>
        <w:rPr>
          <w:rFonts w:cs="Arial"/>
          <w:sz w:val="22"/>
          <w:szCs w:val="22"/>
        </w:rPr>
        <w:t>и итд</w:t>
      </w:r>
      <w:r w:rsidR="006A529A" w:rsidRPr="006A529A">
        <w:rPr>
          <w:rFonts w:cs="Arial"/>
          <w:sz w:val="22"/>
          <w:szCs w:val="22"/>
        </w:rPr>
        <w:t>.</w:t>
      </w:r>
      <w:r w:rsidR="006A529A" w:rsidRPr="006A529A">
        <w:rPr>
          <w:rStyle w:val="FootnoteReference"/>
          <w:rFonts w:cs="Arial"/>
          <w:sz w:val="22"/>
          <w:szCs w:val="22"/>
        </w:rPr>
        <w:footnoteReference w:id="6"/>
      </w:r>
    </w:p>
    <w:p w:rsidR="000A57F6" w:rsidRDefault="000A57F6" w:rsidP="000A57F6">
      <w:pPr>
        <w:jc w:val="both"/>
        <w:rPr>
          <w:rFonts w:cs="Arial"/>
          <w:sz w:val="22"/>
          <w:szCs w:val="22"/>
        </w:rPr>
      </w:pPr>
    </w:p>
    <w:p w:rsidR="000A57F6" w:rsidRDefault="00736F12" w:rsidP="000A57F6">
      <w:pPr>
        <w:jc w:val="both"/>
        <w:rPr>
          <w:rFonts w:cs="Arial"/>
          <w:sz w:val="22"/>
          <w:szCs w:val="22"/>
        </w:rPr>
      </w:pPr>
      <w:r w:rsidRPr="00736F12">
        <w:rPr>
          <w:rFonts w:cs="Arial"/>
          <w:sz w:val="22"/>
          <w:szCs w:val="22"/>
        </w:rPr>
        <w:t>Општина кроз посебну линију локалног буџета - Агробуџет издваја годишња средства, која се  путем Секретаријата за пољопривреду, туризам, водопривреду и заштиту животне средине спроводе као директна подршка пољопривредним произвођачима за различите</w:t>
      </w:r>
      <w:r>
        <w:rPr>
          <w:rFonts w:cs="Arial"/>
          <w:sz w:val="22"/>
          <w:szCs w:val="22"/>
        </w:rPr>
        <w:t xml:space="preserve"> потребе</w:t>
      </w:r>
      <w:r w:rsidR="000A57F6" w:rsidRPr="006A529A">
        <w:rPr>
          <w:rFonts w:cs="Arial"/>
          <w:sz w:val="22"/>
          <w:szCs w:val="22"/>
        </w:rPr>
        <w:t>.</w:t>
      </w:r>
      <w:r w:rsidR="000A57F6" w:rsidRPr="006A529A">
        <w:rPr>
          <w:rStyle w:val="FootnoteReference"/>
          <w:rFonts w:cs="Arial"/>
          <w:sz w:val="22"/>
          <w:szCs w:val="22"/>
        </w:rPr>
        <w:footnoteReference w:id="7"/>
      </w:r>
      <w:r w:rsidR="000A57F6" w:rsidRPr="006A529A">
        <w:rPr>
          <w:rFonts w:cs="Arial"/>
          <w:sz w:val="22"/>
          <w:szCs w:val="22"/>
        </w:rPr>
        <w:t xml:space="preserve"> </w:t>
      </w:r>
      <w:r w:rsidRPr="00736F12">
        <w:rPr>
          <w:rFonts w:cs="Arial"/>
          <w:sz w:val="22"/>
          <w:szCs w:val="22"/>
        </w:rPr>
        <w:t>У 2019. било је извојено 65.000 еура, у</w:t>
      </w:r>
      <w:r w:rsidR="00ED1ADB">
        <w:rPr>
          <w:rFonts w:cs="Arial"/>
          <w:sz w:val="22"/>
          <w:szCs w:val="22"/>
        </w:rPr>
        <w:t xml:space="preserve"> 2020. години  100.000 еура, а </w:t>
      </w:r>
      <w:r w:rsidRPr="00736F12">
        <w:rPr>
          <w:rFonts w:cs="Arial"/>
          <w:sz w:val="22"/>
          <w:szCs w:val="22"/>
        </w:rPr>
        <w:t xml:space="preserve"> у 2021. години планирано је 150.000 еура.</w:t>
      </w:r>
    </w:p>
    <w:p w:rsidR="00483C30" w:rsidRDefault="00483C30" w:rsidP="000A57F6">
      <w:pPr>
        <w:jc w:val="both"/>
        <w:rPr>
          <w:rFonts w:cs="Arial"/>
          <w:sz w:val="22"/>
          <w:szCs w:val="22"/>
        </w:rPr>
      </w:pPr>
    </w:p>
    <w:p w:rsidR="000A57F6" w:rsidRDefault="00736F12" w:rsidP="000806C3">
      <w:pPr>
        <w:jc w:val="both"/>
        <w:rPr>
          <w:sz w:val="22"/>
          <w:szCs w:val="22"/>
        </w:rPr>
      </w:pPr>
      <w:r w:rsidRPr="00736F12">
        <w:rPr>
          <w:sz w:val="22"/>
          <w:szCs w:val="22"/>
          <w:lang w:val="bs-Latn-BA"/>
        </w:rPr>
        <w:t xml:space="preserve">Беране имају такође могућност коришћења програма Министарства пољопривреде, као што су  </w:t>
      </w:r>
      <w:r w:rsidRPr="00736F12">
        <w:rPr>
          <w:i/>
          <w:sz w:val="22"/>
          <w:szCs w:val="22"/>
          <w:lang w:val="bs-Latn-BA"/>
        </w:rPr>
        <w:t>Програм развоја пољопривреде и руралних подручја у оквиру ИПАРД-а и националне мјере подршке</w:t>
      </w:r>
      <w:r w:rsidRPr="00736F12">
        <w:rPr>
          <w:sz w:val="22"/>
          <w:szCs w:val="22"/>
          <w:lang w:val="bs-Latn-BA"/>
        </w:rPr>
        <w:t xml:space="preserve">.  Што се тиче ИПАРД-а, поред постојећих мјера за подршку инвестицијама у примарну пољопривредну производњу и прерађивачки сектор, Министарство пољопривреде ће започети  имплементацију нове мјере </w:t>
      </w:r>
      <w:r w:rsidRPr="00736F12">
        <w:rPr>
          <w:i/>
          <w:sz w:val="22"/>
          <w:szCs w:val="22"/>
          <w:lang w:val="bs-Latn-BA"/>
        </w:rPr>
        <w:t>– Диверзификација газдинстава и развој пословања у 2021. години</w:t>
      </w:r>
      <w:r w:rsidRPr="00736F12">
        <w:rPr>
          <w:sz w:val="22"/>
          <w:szCs w:val="22"/>
          <w:lang w:val="bs-Latn-BA"/>
        </w:rPr>
        <w:t>. Пољопривредницима ће на располагању бити средства за подршку за прераду на газдинству, рурални туризам и развијање заната.</w:t>
      </w:r>
    </w:p>
    <w:p w:rsidR="00736F12" w:rsidRPr="00736F12" w:rsidRDefault="00736F12" w:rsidP="000806C3">
      <w:pPr>
        <w:jc w:val="both"/>
        <w:rPr>
          <w:rFonts w:cs="Arial"/>
          <w:i/>
          <w:iCs/>
          <w:color w:val="000000" w:themeColor="text1"/>
          <w:sz w:val="22"/>
          <w:szCs w:val="22"/>
        </w:rPr>
      </w:pPr>
    </w:p>
    <w:p w:rsidR="006A529A" w:rsidRPr="00736F12" w:rsidRDefault="00736F12" w:rsidP="00736F12">
      <w:pPr>
        <w:pStyle w:val="Heading3"/>
        <w:spacing w:before="0"/>
      </w:pPr>
      <w:r>
        <w:t>2.3.3 Дрвопрерада</w:t>
      </w:r>
    </w:p>
    <w:p w:rsidR="00736F12" w:rsidRPr="00736F12" w:rsidRDefault="00736F12" w:rsidP="00736F12">
      <w:pPr>
        <w:jc w:val="both"/>
        <w:rPr>
          <w:sz w:val="22"/>
          <w:szCs w:val="22"/>
        </w:rPr>
      </w:pPr>
    </w:p>
    <w:p w:rsidR="009B06E4" w:rsidRDefault="00736F12" w:rsidP="00736F12">
      <w:pPr>
        <w:jc w:val="both"/>
        <w:rPr>
          <w:sz w:val="22"/>
          <w:szCs w:val="22"/>
        </w:rPr>
      </w:pPr>
      <w:r w:rsidRPr="00736F12">
        <w:rPr>
          <w:sz w:val="22"/>
          <w:szCs w:val="22"/>
        </w:rPr>
        <w:t>Шуме представљају један од највећих развојних ресурса у општини Беране. Према подацима Стратешког плана развоја општине Беране за период 2019-2023., шуме у овој општини покривају 26.922 хектара, од чега је 22.372 хектара у државном, а 4.550 хектара у приватном власништву, са око 5 милиона кубних метара дрвног сортимента. Тренутно се шуме експлоатишу за потребе петнаест дрвопрерађивача на територији општине Беране. Ипак, у стратешком плану развоја општине се на бази података Пореске управе наводи да три компаније у посљедње двије године нијесу имале приход од продаје робе и производа.</w:t>
      </w:r>
    </w:p>
    <w:p w:rsidR="00736F12" w:rsidRPr="00736F12" w:rsidRDefault="00736F12" w:rsidP="00736F12">
      <w:pPr>
        <w:jc w:val="both"/>
        <w:rPr>
          <w:sz w:val="22"/>
          <w:szCs w:val="22"/>
        </w:rPr>
      </w:pPr>
    </w:p>
    <w:p w:rsidR="00736F12" w:rsidRPr="00736F12" w:rsidRDefault="00736F12" w:rsidP="00736F12">
      <w:pPr>
        <w:jc w:val="both"/>
        <w:rPr>
          <w:sz w:val="22"/>
          <w:szCs w:val="22"/>
        </w:rPr>
      </w:pPr>
      <w:r w:rsidRPr="00736F12">
        <w:rPr>
          <w:sz w:val="22"/>
          <w:szCs w:val="22"/>
        </w:rPr>
        <w:t xml:space="preserve">Идентификовани проблем је недовољна искоришћеност дрвне сировине, и њен пласман на тржиште најчешће у облику сировина или полупроизвода (уз изузетак компаније ШИК "Полимље" која кроз производни процес ствара производе који се извозе у земље Европске уније и која запошљава око половине свих запослених у дрвопреради). Неразвијеност </w:t>
      </w:r>
      <w:r w:rsidRPr="00736F12">
        <w:rPr>
          <w:sz w:val="22"/>
          <w:szCs w:val="22"/>
        </w:rPr>
        <w:lastRenderedPageBreak/>
        <w:t xml:space="preserve">производних погона за активности додатне прераде и производње готових производа од дрвета умањује значај овог развојног ресурса. </w:t>
      </w:r>
    </w:p>
    <w:p w:rsidR="006A529A" w:rsidRPr="006A529A" w:rsidRDefault="00736F12" w:rsidP="00736F12">
      <w:pPr>
        <w:jc w:val="both"/>
        <w:rPr>
          <w:sz w:val="22"/>
          <w:szCs w:val="22"/>
        </w:rPr>
      </w:pPr>
      <w:r w:rsidRPr="00736F12">
        <w:rPr>
          <w:sz w:val="22"/>
          <w:szCs w:val="22"/>
        </w:rPr>
        <w:t xml:space="preserve">Отварање погона у којем би се готови производи производили од постојећих полупроизвода дало би додатну вриједност овом ресурсу и створило услове за запошљавање радне снаге. Потенцијал за даљи развој дрвопрераде у овој општини је чињеница да се на глобалном нивоу енергија на бази дрвета све више користи као еколошки прихватљив извор енергије. Тренутни приступ је да нема отпада из сектора шумарства и прераде дрвета, односно да се све сировине претварају у енергију. Беране има значајан потенцијал за електране на биомасу (повољна сировинска основа) и ти би се пројекти могли спроводити на принципу приватно-јавног </w:t>
      </w:r>
      <w:r>
        <w:rPr>
          <w:sz w:val="22"/>
          <w:szCs w:val="22"/>
        </w:rPr>
        <w:t>партнерства</w:t>
      </w:r>
      <w:r w:rsidR="006A529A" w:rsidRPr="006A529A">
        <w:rPr>
          <w:sz w:val="22"/>
          <w:szCs w:val="22"/>
        </w:rPr>
        <w:t>.</w:t>
      </w:r>
      <w:r w:rsidR="006A529A" w:rsidRPr="006A529A">
        <w:rPr>
          <w:rStyle w:val="FootnoteReference"/>
          <w:sz w:val="22"/>
          <w:szCs w:val="22"/>
        </w:rPr>
        <w:footnoteReference w:id="8"/>
      </w:r>
      <w:r w:rsidR="006A529A" w:rsidRPr="006A529A">
        <w:rPr>
          <w:sz w:val="22"/>
          <w:szCs w:val="22"/>
        </w:rPr>
        <w:t xml:space="preserve"> </w:t>
      </w:r>
    </w:p>
    <w:p w:rsidR="006A529A" w:rsidRPr="006A529A" w:rsidRDefault="006A529A" w:rsidP="000806C3">
      <w:pPr>
        <w:pStyle w:val="Heading3"/>
        <w:spacing w:before="0"/>
        <w:ind w:left="360"/>
      </w:pPr>
    </w:p>
    <w:p w:rsidR="006A529A" w:rsidRPr="00736F12" w:rsidRDefault="00736F12" w:rsidP="000806C3">
      <w:pPr>
        <w:pStyle w:val="Heading3"/>
        <w:spacing w:before="0"/>
      </w:pPr>
      <w:r>
        <w:t>2.3.4 Туризам</w:t>
      </w:r>
    </w:p>
    <w:p w:rsidR="006A529A" w:rsidRPr="006A529A" w:rsidRDefault="006A529A" w:rsidP="000806C3">
      <w:pPr>
        <w:jc w:val="both"/>
        <w:rPr>
          <w:rFonts w:cs="Arial"/>
          <w:i/>
          <w:iCs/>
          <w:color w:val="000000" w:themeColor="text1"/>
          <w:szCs w:val="20"/>
        </w:rPr>
      </w:pPr>
    </w:p>
    <w:p w:rsidR="009B06E4" w:rsidRPr="00212736" w:rsidRDefault="00736F12" w:rsidP="009B06E4">
      <w:pPr>
        <w:jc w:val="both"/>
        <w:rPr>
          <w:sz w:val="22"/>
          <w:szCs w:val="22"/>
          <w:lang w:val="bs-Latn-BA"/>
        </w:rPr>
      </w:pPr>
      <w:r w:rsidRPr="00736F12">
        <w:rPr>
          <w:rFonts w:cs="Arial"/>
          <w:color w:val="000000" w:themeColor="text1"/>
          <w:sz w:val="22"/>
          <w:szCs w:val="22"/>
          <w:lang w:val="bs-Latn-BA"/>
        </w:rPr>
        <w:t xml:space="preserve">Стратегијом развоја туризма Црне Горе до 2020. године, подручје општине Беране припада кластеру “Бјеласица, Комови и Проклетије”, који је позициониран у правцу изградње ове области за одмор средњег до високог </w:t>
      </w:r>
      <w:r w:rsidR="00ED1ADB">
        <w:rPr>
          <w:rFonts w:cs="Arial"/>
          <w:color w:val="000000" w:themeColor="text1"/>
          <w:sz w:val="22"/>
          <w:szCs w:val="22"/>
          <w:lang w:val="bs-Latn-BA"/>
        </w:rPr>
        <w:t xml:space="preserve">квалитета са сљедећим тежиштем </w:t>
      </w:r>
      <w:r w:rsidR="00ED1ADB">
        <w:rPr>
          <w:rFonts w:cs="Arial"/>
          <w:color w:val="000000" w:themeColor="text1"/>
          <w:sz w:val="22"/>
          <w:szCs w:val="22"/>
        </w:rPr>
        <w:t>дј</w:t>
      </w:r>
      <w:r w:rsidRPr="00736F12">
        <w:rPr>
          <w:rFonts w:cs="Arial"/>
          <w:color w:val="000000" w:themeColor="text1"/>
          <w:sz w:val="22"/>
          <w:szCs w:val="22"/>
          <w:lang w:val="bs-Latn-BA"/>
        </w:rPr>
        <w:t xml:space="preserve">елатности: одмор, спорт, велнес, породична атмосфера, доживљаји културе, а такође и успостављање стаза за интернационалне планинаре/пјешаке и </w:t>
      </w:r>
      <w:r>
        <w:rPr>
          <w:rFonts w:cs="Arial"/>
          <w:color w:val="000000" w:themeColor="text1"/>
          <w:sz w:val="22"/>
          <w:szCs w:val="22"/>
        </w:rPr>
        <w:t>бициклисте</w:t>
      </w:r>
      <w:r w:rsidR="009B06E4" w:rsidRPr="00212736">
        <w:rPr>
          <w:sz w:val="22"/>
          <w:szCs w:val="22"/>
          <w:lang w:val="bs-Latn-BA"/>
        </w:rPr>
        <w:t>.</w:t>
      </w:r>
      <w:r w:rsidR="009B06E4">
        <w:rPr>
          <w:rStyle w:val="FootnoteReference"/>
          <w:sz w:val="22"/>
          <w:szCs w:val="22"/>
          <w:lang w:val="bs-Latn-BA"/>
        </w:rPr>
        <w:footnoteReference w:id="9"/>
      </w:r>
      <w:r w:rsidR="003E6020">
        <w:rPr>
          <w:sz w:val="22"/>
          <w:szCs w:val="22"/>
          <w:lang w:val="bs-Latn-BA"/>
        </w:rPr>
        <w:t xml:space="preserve"> </w:t>
      </w:r>
    </w:p>
    <w:p w:rsidR="00736F12" w:rsidRPr="00736F12" w:rsidRDefault="00736F12" w:rsidP="00736F12">
      <w:pPr>
        <w:jc w:val="both"/>
        <w:rPr>
          <w:rFonts w:cs="Arial"/>
          <w:iCs/>
          <w:color w:val="000000" w:themeColor="text1"/>
          <w:sz w:val="22"/>
          <w:szCs w:val="22"/>
        </w:rPr>
      </w:pPr>
      <w:r w:rsidRPr="00736F12">
        <w:rPr>
          <w:rFonts w:cs="Arial"/>
          <w:iCs/>
          <w:color w:val="000000" w:themeColor="text1"/>
          <w:sz w:val="22"/>
          <w:szCs w:val="22"/>
        </w:rPr>
        <w:t xml:space="preserve">Ипак, туризам је недовољно развијен у Општини Беране, упркос бројним природним, културним и туристичким потенцијалима. Нарочито се истичу могућности за развој планинског туризма и понуде планинарења, рафтинга, параглајдинга и сл. Током посљедњих неколико година дошло је до раста броја смјештајних јединица и обогаћивања садржаја боравка туриста организовањем различитих догађаја. Извршена је категоризација неких смјештајних објеката, док су неки у фази категоризације. </w:t>
      </w:r>
    </w:p>
    <w:p w:rsidR="006A529A" w:rsidRPr="006A529A" w:rsidRDefault="00736F12" w:rsidP="00736F12">
      <w:pPr>
        <w:jc w:val="both"/>
        <w:rPr>
          <w:rFonts w:cs="Arial"/>
          <w:iCs/>
          <w:color w:val="000000" w:themeColor="text1"/>
          <w:sz w:val="22"/>
          <w:szCs w:val="22"/>
        </w:rPr>
      </w:pPr>
      <w:r w:rsidRPr="00736F12">
        <w:rPr>
          <w:rFonts w:cs="Arial"/>
          <w:iCs/>
          <w:color w:val="000000" w:themeColor="text1"/>
          <w:sz w:val="22"/>
          <w:szCs w:val="22"/>
        </w:rPr>
        <w:t>Сеоски туризам захтијева додатну подршку, а повећава се и број регистрованих сеоских домаћинстава која се баве туризмом</w:t>
      </w:r>
      <w:r w:rsidR="006A529A" w:rsidRPr="006A529A">
        <w:rPr>
          <w:rFonts w:cs="Arial"/>
          <w:iCs/>
          <w:color w:val="000000" w:themeColor="text1"/>
          <w:sz w:val="22"/>
          <w:szCs w:val="22"/>
        </w:rPr>
        <w:t>.</w:t>
      </w:r>
    </w:p>
    <w:p w:rsidR="006A529A" w:rsidRPr="006A529A" w:rsidRDefault="006A529A" w:rsidP="000806C3">
      <w:pPr>
        <w:jc w:val="both"/>
        <w:rPr>
          <w:rFonts w:cs="Arial"/>
          <w:i/>
          <w:iCs/>
          <w:color w:val="000000" w:themeColor="text1"/>
          <w:sz w:val="22"/>
          <w:szCs w:val="22"/>
        </w:rPr>
      </w:pPr>
    </w:p>
    <w:p w:rsidR="00F059AF" w:rsidRPr="00F059AF" w:rsidRDefault="00F059AF" w:rsidP="000806C3">
      <w:pPr>
        <w:jc w:val="both"/>
        <w:rPr>
          <w:rFonts w:cs="Arial"/>
          <w:color w:val="000000" w:themeColor="text1"/>
          <w:szCs w:val="20"/>
        </w:rPr>
      </w:pPr>
      <w:r w:rsidRPr="00F059AF">
        <w:rPr>
          <w:rFonts w:cs="Arial"/>
          <w:color w:val="000000" w:themeColor="text1"/>
          <w:szCs w:val="20"/>
        </w:rPr>
        <w:t>Табела 8: Доласци и ноћења туриста, 2014-2019.</w:t>
      </w:r>
    </w:p>
    <w:tbl>
      <w:tblPr>
        <w:tblW w:w="3931" w:type="pct"/>
        <w:tblInd w:w="1255" w:type="dxa"/>
        <w:tblLook w:val="04A0"/>
      </w:tblPr>
      <w:tblGrid>
        <w:gridCol w:w="1741"/>
        <w:gridCol w:w="1740"/>
        <w:gridCol w:w="2006"/>
        <w:gridCol w:w="650"/>
        <w:gridCol w:w="650"/>
        <w:gridCol w:w="648"/>
      </w:tblGrid>
      <w:tr w:rsidR="006A529A" w:rsidRPr="006A529A" w:rsidTr="000A57F6">
        <w:trPr>
          <w:gridAfter w:val="3"/>
          <w:wAfter w:w="1310" w:type="pct"/>
          <w:trHeight w:val="264"/>
        </w:trPr>
        <w:tc>
          <w:tcPr>
            <w:tcW w:w="1171" w:type="pc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vAlign w:val="bottom"/>
            <w:hideMark/>
          </w:tcPr>
          <w:p w:rsidR="006A529A" w:rsidRPr="00F059AF" w:rsidRDefault="00F059AF" w:rsidP="000806C3">
            <w:pPr>
              <w:jc w:val="center"/>
              <w:rPr>
                <w:rFonts w:eastAsia="Times New Roman" w:cs="Calibri"/>
                <w:color w:val="000000"/>
                <w:sz w:val="18"/>
              </w:rPr>
            </w:pPr>
            <w:r>
              <w:rPr>
                <w:rFonts w:eastAsia="Times New Roman" w:cs="Calibri"/>
                <w:color w:val="000000"/>
                <w:sz w:val="18"/>
              </w:rPr>
              <w:t>Година</w:t>
            </w:r>
          </w:p>
        </w:tc>
        <w:tc>
          <w:tcPr>
            <w:tcW w:w="11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noWrap/>
            <w:vAlign w:val="bottom"/>
            <w:hideMark/>
          </w:tcPr>
          <w:p w:rsidR="006A529A" w:rsidRPr="00F059AF" w:rsidRDefault="00F059AF" w:rsidP="000806C3">
            <w:pPr>
              <w:jc w:val="center"/>
              <w:rPr>
                <w:rFonts w:eastAsia="Times New Roman" w:cs="Calibri"/>
                <w:color w:val="000000"/>
                <w:sz w:val="18"/>
              </w:rPr>
            </w:pPr>
            <w:r>
              <w:rPr>
                <w:rFonts w:eastAsia="Times New Roman" w:cs="Calibri"/>
                <w:color w:val="000000"/>
                <w:sz w:val="18"/>
              </w:rPr>
              <w:t>Доласци туриста</w:t>
            </w:r>
          </w:p>
        </w:tc>
        <w:tc>
          <w:tcPr>
            <w:tcW w:w="1349" w:type="pct"/>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BFBFBF" w:themeFill="background1" w:themeFillShade="BF"/>
            <w:noWrap/>
            <w:vAlign w:val="bottom"/>
            <w:hideMark/>
          </w:tcPr>
          <w:p w:rsidR="006A529A" w:rsidRPr="00F059AF" w:rsidRDefault="00F059AF" w:rsidP="000806C3">
            <w:pPr>
              <w:jc w:val="center"/>
              <w:rPr>
                <w:rFonts w:eastAsia="Times New Roman" w:cs="Calibri"/>
                <w:color w:val="000000"/>
                <w:sz w:val="18"/>
              </w:rPr>
            </w:pPr>
            <w:r>
              <w:rPr>
                <w:rFonts w:eastAsia="Times New Roman" w:cs="Calibri"/>
                <w:color w:val="000000"/>
                <w:sz w:val="18"/>
              </w:rPr>
              <w:t>Ноћења туриста</w:t>
            </w:r>
          </w:p>
        </w:tc>
      </w:tr>
      <w:tr w:rsidR="006A529A" w:rsidRPr="006A529A" w:rsidTr="000A57F6">
        <w:trPr>
          <w:gridAfter w:val="3"/>
          <w:wAfter w:w="1310" w:type="pct"/>
          <w:trHeight w:val="251"/>
        </w:trPr>
        <w:tc>
          <w:tcPr>
            <w:tcW w:w="1171" w:type="pct"/>
            <w:tcBorders>
              <w:top w:val="single" w:sz="4" w:space="0" w:color="BFBFBF" w:themeColor="background1" w:themeShade="BF"/>
              <w:bottom w:val="single" w:sz="4" w:space="0" w:color="BFBFBF" w:themeColor="background1" w:themeShade="BF"/>
            </w:tcBorders>
            <w:shd w:val="clear" w:color="auto" w:fill="auto"/>
            <w:noWrap/>
            <w:vAlign w:val="bottom"/>
            <w:hideMark/>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2014</w:t>
            </w:r>
            <w:r w:rsidR="003975FB">
              <w:rPr>
                <w:rFonts w:eastAsia="Times New Roman" w:cs="Calibri"/>
                <w:color w:val="000000"/>
                <w:sz w:val="18"/>
                <w:lang w:val="en-US"/>
              </w:rPr>
              <w:t>.</w:t>
            </w:r>
          </w:p>
        </w:tc>
        <w:tc>
          <w:tcPr>
            <w:tcW w:w="1170" w:type="pct"/>
            <w:tcBorders>
              <w:top w:val="single" w:sz="4" w:space="0" w:color="BFBFBF" w:themeColor="background1" w:themeShade="BF"/>
              <w:bottom w:val="single" w:sz="4" w:space="0" w:color="BFBFBF" w:themeColor="background1" w:themeShade="BF"/>
            </w:tcBorders>
            <w:shd w:val="clear" w:color="auto" w:fill="auto"/>
            <w:noWrap/>
            <w:vAlign w:val="bottom"/>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2.036</w:t>
            </w:r>
          </w:p>
        </w:tc>
        <w:tc>
          <w:tcPr>
            <w:tcW w:w="1349" w:type="pct"/>
            <w:tcBorders>
              <w:top w:val="single" w:sz="4" w:space="0" w:color="BFBFBF" w:themeColor="background1" w:themeShade="BF"/>
              <w:left w:val="nil"/>
              <w:bottom w:val="single" w:sz="4" w:space="0" w:color="BFBFBF" w:themeColor="background1" w:themeShade="BF"/>
            </w:tcBorders>
            <w:shd w:val="clear" w:color="auto" w:fill="auto"/>
            <w:noWrap/>
            <w:vAlign w:val="bottom"/>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2.819</w:t>
            </w:r>
          </w:p>
        </w:tc>
      </w:tr>
      <w:tr w:rsidR="006A529A" w:rsidRPr="006A529A" w:rsidTr="000A57F6">
        <w:trPr>
          <w:gridAfter w:val="3"/>
          <w:wAfter w:w="1310" w:type="pct"/>
          <w:trHeight w:val="251"/>
        </w:trPr>
        <w:tc>
          <w:tcPr>
            <w:tcW w:w="1171" w:type="pct"/>
            <w:tcBorders>
              <w:top w:val="single" w:sz="4" w:space="0" w:color="BFBFBF" w:themeColor="background1" w:themeShade="BF"/>
              <w:bottom w:val="single" w:sz="4" w:space="0" w:color="BFBFBF" w:themeColor="background1" w:themeShade="BF"/>
            </w:tcBorders>
            <w:shd w:val="clear" w:color="auto" w:fill="auto"/>
            <w:noWrap/>
            <w:vAlign w:val="bottom"/>
            <w:hideMark/>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2015</w:t>
            </w:r>
            <w:r w:rsidR="003975FB">
              <w:rPr>
                <w:rFonts w:eastAsia="Times New Roman" w:cs="Calibri"/>
                <w:color w:val="000000"/>
                <w:sz w:val="18"/>
                <w:lang w:val="en-US"/>
              </w:rPr>
              <w:t>.</w:t>
            </w:r>
          </w:p>
        </w:tc>
        <w:tc>
          <w:tcPr>
            <w:tcW w:w="1170" w:type="pct"/>
            <w:tcBorders>
              <w:top w:val="single" w:sz="4" w:space="0" w:color="BFBFBF" w:themeColor="background1" w:themeShade="BF"/>
              <w:bottom w:val="single" w:sz="4" w:space="0" w:color="BFBFBF" w:themeColor="background1" w:themeShade="BF"/>
            </w:tcBorders>
            <w:shd w:val="clear" w:color="auto" w:fill="auto"/>
            <w:noWrap/>
            <w:vAlign w:val="bottom"/>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1.994</w:t>
            </w:r>
          </w:p>
        </w:tc>
        <w:tc>
          <w:tcPr>
            <w:tcW w:w="1349" w:type="pct"/>
            <w:tcBorders>
              <w:top w:val="single" w:sz="4" w:space="0" w:color="BFBFBF" w:themeColor="background1" w:themeShade="BF"/>
              <w:left w:val="nil"/>
              <w:bottom w:val="single" w:sz="4" w:space="0" w:color="BFBFBF" w:themeColor="background1" w:themeShade="BF"/>
            </w:tcBorders>
            <w:shd w:val="clear" w:color="auto" w:fill="auto"/>
            <w:noWrap/>
            <w:vAlign w:val="bottom"/>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2.752</w:t>
            </w:r>
          </w:p>
        </w:tc>
      </w:tr>
      <w:tr w:rsidR="006A529A" w:rsidRPr="006A529A" w:rsidTr="000A57F6">
        <w:trPr>
          <w:gridAfter w:val="3"/>
          <w:wAfter w:w="1310" w:type="pct"/>
          <w:trHeight w:val="251"/>
        </w:trPr>
        <w:tc>
          <w:tcPr>
            <w:tcW w:w="1171" w:type="pct"/>
            <w:tcBorders>
              <w:top w:val="single" w:sz="4" w:space="0" w:color="BFBFBF" w:themeColor="background1" w:themeShade="BF"/>
              <w:bottom w:val="single" w:sz="4" w:space="0" w:color="BFBFBF" w:themeColor="background1" w:themeShade="BF"/>
            </w:tcBorders>
            <w:shd w:val="clear" w:color="auto" w:fill="auto"/>
            <w:noWrap/>
            <w:vAlign w:val="bottom"/>
            <w:hideMark/>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2016</w:t>
            </w:r>
            <w:r w:rsidR="003975FB">
              <w:rPr>
                <w:rFonts w:eastAsia="Times New Roman" w:cs="Calibri"/>
                <w:color w:val="000000"/>
                <w:sz w:val="18"/>
                <w:lang w:val="en-US"/>
              </w:rPr>
              <w:t>.</w:t>
            </w:r>
          </w:p>
        </w:tc>
        <w:tc>
          <w:tcPr>
            <w:tcW w:w="1170" w:type="pct"/>
            <w:tcBorders>
              <w:top w:val="single" w:sz="4" w:space="0" w:color="BFBFBF" w:themeColor="background1" w:themeShade="BF"/>
              <w:bottom w:val="single" w:sz="4" w:space="0" w:color="BFBFBF" w:themeColor="background1" w:themeShade="BF"/>
            </w:tcBorders>
            <w:shd w:val="clear" w:color="auto" w:fill="auto"/>
            <w:noWrap/>
            <w:vAlign w:val="bottom"/>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2.381</w:t>
            </w:r>
          </w:p>
        </w:tc>
        <w:tc>
          <w:tcPr>
            <w:tcW w:w="1349" w:type="pct"/>
            <w:tcBorders>
              <w:top w:val="single" w:sz="4" w:space="0" w:color="BFBFBF" w:themeColor="background1" w:themeShade="BF"/>
              <w:left w:val="nil"/>
              <w:bottom w:val="single" w:sz="4" w:space="0" w:color="BFBFBF" w:themeColor="background1" w:themeShade="BF"/>
            </w:tcBorders>
            <w:shd w:val="clear" w:color="auto" w:fill="auto"/>
            <w:noWrap/>
            <w:vAlign w:val="bottom"/>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3.099</w:t>
            </w:r>
          </w:p>
        </w:tc>
      </w:tr>
      <w:tr w:rsidR="006A529A" w:rsidRPr="006A529A" w:rsidTr="000A57F6">
        <w:trPr>
          <w:gridAfter w:val="3"/>
          <w:wAfter w:w="1310" w:type="pct"/>
          <w:trHeight w:val="251"/>
        </w:trPr>
        <w:tc>
          <w:tcPr>
            <w:tcW w:w="1171" w:type="pct"/>
            <w:tcBorders>
              <w:top w:val="single" w:sz="4" w:space="0" w:color="BFBFBF" w:themeColor="background1" w:themeShade="BF"/>
              <w:bottom w:val="single" w:sz="4" w:space="0" w:color="BFBFBF" w:themeColor="background1" w:themeShade="BF"/>
            </w:tcBorders>
            <w:shd w:val="clear" w:color="auto" w:fill="auto"/>
            <w:noWrap/>
            <w:vAlign w:val="bottom"/>
            <w:hideMark/>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2017</w:t>
            </w:r>
            <w:r w:rsidR="003975FB">
              <w:rPr>
                <w:rFonts w:eastAsia="Times New Roman" w:cs="Calibri"/>
                <w:color w:val="000000"/>
                <w:sz w:val="18"/>
                <w:lang w:val="en-US"/>
              </w:rPr>
              <w:t>.</w:t>
            </w:r>
          </w:p>
        </w:tc>
        <w:tc>
          <w:tcPr>
            <w:tcW w:w="1170" w:type="pct"/>
            <w:tcBorders>
              <w:top w:val="single" w:sz="4" w:space="0" w:color="BFBFBF" w:themeColor="background1" w:themeShade="BF"/>
              <w:bottom w:val="single" w:sz="4" w:space="0" w:color="BFBFBF" w:themeColor="background1" w:themeShade="BF"/>
            </w:tcBorders>
            <w:shd w:val="clear" w:color="auto" w:fill="auto"/>
            <w:noWrap/>
            <w:vAlign w:val="center"/>
          </w:tcPr>
          <w:p w:rsidR="006A529A" w:rsidRPr="009B06E4" w:rsidRDefault="006A529A" w:rsidP="000806C3">
            <w:pPr>
              <w:jc w:val="center"/>
              <w:rPr>
                <w:rFonts w:eastAsia="Times New Roman" w:cs="Calibri"/>
                <w:color w:val="000000"/>
                <w:sz w:val="18"/>
                <w:lang w:val="en-US"/>
              </w:rPr>
            </w:pPr>
            <w:r w:rsidRPr="009B06E4">
              <w:rPr>
                <w:rFonts w:cs="Calibri"/>
                <w:color w:val="000000"/>
                <w:sz w:val="18"/>
              </w:rPr>
              <w:t>3.059</w:t>
            </w:r>
          </w:p>
        </w:tc>
        <w:tc>
          <w:tcPr>
            <w:tcW w:w="1349" w:type="pct"/>
            <w:tcBorders>
              <w:top w:val="single" w:sz="4" w:space="0" w:color="BFBFBF" w:themeColor="background1" w:themeShade="BF"/>
              <w:left w:val="nil"/>
              <w:bottom w:val="single" w:sz="4" w:space="0" w:color="BFBFBF" w:themeColor="background1" w:themeShade="BF"/>
            </w:tcBorders>
            <w:shd w:val="clear" w:color="auto" w:fill="auto"/>
            <w:noWrap/>
            <w:vAlign w:val="center"/>
          </w:tcPr>
          <w:p w:rsidR="006A529A" w:rsidRPr="009B06E4" w:rsidRDefault="006A529A" w:rsidP="000806C3">
            <w:pPr>
              <w:jc w:val="center"/>
              <w:rPr>
                <w:rFonts w:eastAsia="Times New Roman" w:cs="Calibri"/>
                <w:color w:val="000000"/>
                <w:sz w:val="18"/>
                <w:lang w:val="en-US"/>
              </w:rPr>
            </w:pPr>
            <w:r w:rsidRPr="009B06E4">
              <w:rPr>
                <w:rFonts w:cs="Calibri"/>
                <w:color w:val="000000"/>
                <w:sz w:val="18"/>
              </w:rPr>
              <w:t>4.915</w:t>
            </w:r>
          </w:p>
        </w:tc>
      </w:tr>
      <w:tr w:rsidR="006A529A" w:rsidRPr="006A529A" w:rsidTr="000A57F6">
        <w:trPr>
          <w:trHeight w:val="251"/>
        </w:trPr>
        <w:tc>
          <w:tcPr>
            <w:tcW w:w="1171" w:type="pct"/>
            <w:tcBorders>
              <w:top w:val="single" w:sz="4" w:space="0" w:color="BFBFBF" w:themeColor="background1" w:themeShade="BF"/>
              <w:bottom w:val="single" w:sz="4" w:space="0" w:color="BFBFBF" w:themeColor="background1" w:themeShade="BF"/>
            </w:tcBorders>
            <w:shd w:val="clear" w:color="auto" w:fill="auto"/>
            <w:noWrap/>
            <w:vAlign w:val="bottom"/>
            <w:hideMark/>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2018</w:t>
            </w:r>
            <w:r w:rsidR="003975FB">
              <w:rPr>
                <w:rFonts w:eastAsia="Times New Roman" w:cs="Calibri"/>
                <w:color w:val="000000"/>
                <w:sz w:val="18"/>
                <w:lang w:val="en-US"/>
              </w:rPr>
              <w:t>.</w:t>
            </w:r>
          </w:p>
        </w:tc>
        <w:tc>
          <w:tcPr>
            <w:tcW w:w="1170" w:type="pct"/>
            <w:tcBorders>
              <w:top w:val="single" w:sz="4" w:space="0" w:color="BFBFBF" w:themeColor="background1" w:themeShade="BF"/>
              <w:bottom w:val="single" w:sz="4" w:space="0" w:color="BFBFBF" w:themeColor="background1" w:themeShade="BF"/>
            </w:tcBorders>
            <w:shd w:val="clear" w:color="auto" w:fill="auto"/>
            <w:noWrap/>
            <w:vAlign w:val="center"/>
          </w:tcPr>
          <w:p w:rsidR="006A529A" w:rsidRPr="009B06E4" w:rsidRDefault="006A529A" w:rsidP="000806C3">
            <w:pPr>
              <w:jc w:val="center"/>
              <w:rPr>
                <w:rFonts w:eastAsia="Times New Roman" w:cs="Calibri"/>
                <w:color w:val="000000"/>
                <w:sz w:val="18"/>
                <w:lang w:val="en-US"/>
              </w:rPr>
            </w:pPr>
            <w:r w:rsidRPr="009B06E4">
              <w:rPr>
                <w:rFonts w:cs="Calibri"/>
                <w:color w:val="000000"/>
                <w:sz w:val="18"/>
              </w:rPr>
              <w:t>5.767</w:t>
            </w:r>
          </w:p>
        </w:tc>
        <w:tc>
          <w:tcPr>
            <w:tcW w:w="1349" w:type="pct"/>
            <w:tcBorders>
              <w:top w:val="single" w:sz="4" w:space="0" w:color="BFBFBF" w:themeColor="background1" w:themeShade="BF"/>
              <w:left w:val="nil"/>
              <w:bottom w:val="single" w:sz="4" w:space="0" w:color="BFBFBF" w:themeColor="background1" w:themeShade="BF"/>
            </w:tcBorders>
            <w:shd w:val="clear" w:color="auto" w:fill="auto"/>
            <w:noWrap/>
            <w:vAlign w:val="center"/>
          </w:tcPr>
          <w:p w:rsidR="006A529A" w:rsidRPr="009B06E4" w:rsidRDefault="006A529A" w:rsidP="000806C3">
            <w:pPr>
              <w:jc w:val="center"/>
              <w:rPr>
                <w:rFonts w:eastAsia="Times New Roman" w:cs="Calibri"/>
                <w:color w:val="000000"/>
                <w:sz w:val="18"/>
                <w:lang w:val="en-US"/>
              </w:rPr>
            </w:pPr>
            <w:r w:rsidRPr="009B06E4">
              <w:rPr>
                <w:rFonts w:cs="Calibri"/>
                <w:color w:val="000000"/>
                <w:sz w:val="18"/>
              </w:rPr>
              <w:t>9.154</w:t>
            </w:r>
          </w:p>
        </w:tc>
        <w:tc>
          <w:tcPr>
            <w:tcW w:w="437" w:type="pct"/>
            <w:tcBorders>
              <w:left w:val="nil"/>
            </w:tcBorders>
            <w:vAlign w:val="center"/>
          </w:tcPr>
          <w:p w:rsidR="006A529A" w:rsidRPr="006A529A" w:rsidRDefault="006A529A" w:rsidP="000806C3">
            <w:pPr>
              <w:rPr>
                <w:szCs w:val="20"/>
              </w:rPr>
            </w:pPr>
          </w:p>
        </w:tc>
        <w:tc>
          <w:tcPr>
            <w:tcW w:w="437" w:type="pct"/>
            <w:vAlign w:val="center"/>
          </w:tcPr>
          <w:p w:rsidR="006A529A" w:rsidRPr="006A529A" w:rsidRDefault="006A529A" w:rsidP="000806C3">
            <w:pPr>
              <w:rPr>
                <w:szCs w:val="20"/>
              </w:rPr>
            </w:pPr>
          </w:p>
        </w:tc>
        <w:tc>
          <w:tcPr>
            <w:tcW w:w="436" w:type="pct"/>
            <w:vAlign w:val="center"/>
          </w:tcPr>
          <w:p w:rsidR="006A529A" w:rsidRPr="006A529A" w:rsidRDefault="006A529A" w:rsidP="000806C3">
            <w:pPr>
              <w:rPr>
                <w:szCs w:val="20"/>
              </w:rPr>
            </w:pPr>
          </w:p>
        </w:tc>
      </w:tr>
      <w:tr w:rsidR="006A529A" w:rsidRPr="006A529A" w:rsidTr="000A57F6">
        <w:trPr>
          <w:gridAfter w:val="3"/>
          <w:wAfter w:w="1310" w:type="pct"/>
          <w:trHeight w:val="251"/>
        </w:trPr>
        <w:tc>
          <w:tcPr>
            <w:tcW w:w="1171" w:type="pct"/>
            <w:tcBorders>
              <w:top w:val="single" w:sz="4" w:space="0" w:color="BFBFBF" w:themeColor="background1" w:themeShade="BF"/>
              <w:bottom w:val="single" w:sz="4" w:space="0" w:color="BFBFBF" w:themeColor="background1" w:themeShade="BF"/>
            </w:tcBorders>
            <w:shd w:val="clear" w:color="auto" w:fill="auto"/>
            <w:noWrap/>
            <w:vAlign w:val="bottom"/>
            <w:hideMark/>
          </w:tcPr>
          <w:p w:rsidR="006A529A" w:rsidRPr="009B06E4" w:rsidRDefault="006A529A" w:rsidP="000806C3">
            <w:pPr>
              <w:jc w:val="center"/>
              <w:rPr>
                <w:rFonts w:eastAsia="Times New Roman" w:cs="Calibri"/>
                <w:color w:val="000000"/>
                <w:sz w:val="18"/>
                <w:lang w:val="en-US"/>
              </w:rPr>
            </w:pPr>
            <w:r w:rsidRPr="009B06E4">
              <w:rPr>
                <w:rFonts w:eastAsia="Times New Roman" w:cs="Calibri"/>
                <w:color w:val="000000"/>
                <w:sz w:val="18"/>
                <w:lang w:val="en-US"/>
              </w:rPr>
              <w:t>2019</w:t>
            </w:r>
            <w:r w:rsidR="003975FB">
              <w:rPr>
                <w:rFonts w:eastAsia="Times New Roman" w:cs="Calibri"/>
                <w:color w:val="000000"/>
                <w:sz w:val="18"/>
                <w:lang w:val="en-US"/>
              </w:rPr>
              <w:t>.</w:t>
            </w:r>
          </w:p>
        </w:tc>
        <w:tc>
          <w:tcPr>
            <w:tcW w:w="1170" w:type="pct"/>
            <w:tcBorders>
              <w:top w:val="single" w:sz="4" w:space="0" w:color="BFBFBF" w:themeColor="background1" w:themeShade="BF"/>
              <w:bottom w:val="single" w:sz="4" w:space="0" w:color="BFBFBF" w:themeColor="background1" w:themeShade="BF"/>
            </w:tcBorders>
            <w:shd w:val="clear" w:color="auto" w:fill="auto"/>
            <w:noWrap/>
            <w:vAlign w:val="center"/>
          </w:tcPr>
          <w:p w:rsidR="006A529A" w:rsidRPr="009B06E4" w:rsidRDefault="006A529A" w:rsidP="000806C3">
            <w:pPr>
              <w:jc w:val="center"/>
              <w:rPr>
                <w:rFonts w:eastAsia="Times New Roman" w:cs="Arial"/>
                <w:color w:val="000000"/>
                <w:sz w:val="18"/>
                <w:lang w:val="en-US"/>
              </w:rPr>
            </w:pPr>
            <w:r w:rsidRPr="009B06E4">
              <w:rPr>
                <w:rFonts w:cs="Arial"/>
                <w:color w:val="000000"/>
                <w:sz w:val="18"/>
              </w:rPr>
              <w:t>6.749</w:t>
            </w:r>
          </w:p>
        </w:tc>
        <w:tc>
          <w:tcPr>
            <w:tcW w:w="1349" w:type="pct"/>
            <w:tcBorders>
              <w:top w:val="single" w:sz="4" w:space="0" w:color="BFBFBF" w:themeColor="background1" w:themeShade="BF"/>
              <w:left w:val="nil"/>
              <w:bottom w:val="single" w:sz="4" w:space="0" w:color="BFBFBF" w:themeColor="background1" w:themeShade="BF"/>
            </w:tcBorders>
            <w:shd w:val="clear" w:color="auto" w:fill="auto"/>
            <w:noWrap/>
            <w:vAlign w:val="center"/>
          </w:tcPr>
          <w:p w:rsidR="006A529A" w:rsidRPr="009B06E4" w:rsidRDefault="006A529A" w:rsidP="000806C3">
            <w:pPr>
              <w:jc w:val="center"/>
              <w:rPr>
                <w:rFonts w:eastAsia="Times New Roman" w:cs="Arial"/>
                <w:color w:val="000000"/>
                <w:sz w:val="18"/>
                <w:lang w:val="en-US"/>
              </w:rPr>
            </w:pPr>
            <w:r w:rsidRPr="009B06E4">
              <w:rPr>
                <w:rFonts w:cs="Arial"/>
                <w:color w:val="000000"/>
                <w:sz w:val="18"/>
              </w:rPr>
              <w:t>11.866</w:t>
            </w:r>
          </w:p>
        </w:tc>
      </w:tr>
    </w:tbl>
    <w:p w:rsidR="006A529A" w:rsidRPr="00F7360E" w:rsidRDefault="00F059AF" w:rsidP="00F83593">
      <w:pPr>
        <w:ind w:left="5664"/>
        <w:jc w:val="both"/>
        <w:rPr>
          <w:rFonts w:cs="Arial"/>
          <w:i/>
          <w:iCs/>
          <w:sz w:val="18"/>
        </w:rPr>
      </w:pPr>
      <w:r>
        <w:rPr>
          <w:rFonts w:cs="Arial"/>
          <w:i/>
          <w:iCs/>
          <w:sz w:val="18"/>
        </w:rPr>
        <w:t>Извор</w:t>
      </w:r>
      <w:r w:rsidR="006A529A" w:rsidRPr="00F7360E">
        <w:rPr>
          <w:rFonts w:cs="Arial"/>
          <w:i/>
          <w:iCs/>
          <w:sz w:val="18"/>
        </w:rPr>
        <w:t>: MONSTAT</w:t>
      </w:r>
    </w:p>
    <w:p w:rsidR="00736F12" w:rsidRDefault="00736F12" w:rsidP="00736F12">
      <w:pPr>
        <w:jc w:val="both"/>
        <w:rPr>
          <w:rFonts w:cs="Arial"/>
          <w:color w:val="000000" w:themeColor="text1"/>
          <w:sz w:val="22"/>
          <w:szCs w:val="22"/>
        </w:rPr>
      </w:pPr>
      <w:r w:rsidRPr="00736F12">
        <w:rPr>
          <w:rFonts w:cs="Arial"/>
          <w:color w:val="000000" w:themeColor="text1"/>
          <w:sz w:val="22"/>
          <w:szCs w:val="22"/>
        </w:rPr>
        <w:t>Према подацима МОНСТАТ-а, општина Беране региструје пораст долазака и ноћења туриста током претходних година. Током 2019. године, број долазака туриста је био за 17% већи у односу на претходну годину а више је него утростручен у односу на 2014. годину. Број ноћења туриста је забиљежио раст у 2019. години од 29,6% у односу на 2018. годину, а учетворостручен је у односу на 2014. годину</w:t>
      </w:r>
      <w:r w:rsidR="006A529A" w:rsidRPr="006A529A">
        <w:rPr>
          <w:rFonts w:cs="Arial"/>
          <w:color w:val="000000" w:themeColor="text1"/>
          <w:sz w:val="22"/>
          <w:szCs w:val="22"/>
        </w:rPr>
        <w:t>.</w:t>
      </w:r>
    </w:p>
    <w:p w:rsidR="00736F12" w:rsidRPr="00736F12" w:rsidRDefault="00736F12" w:rsidP="00736F12">
      <w:pPr>
        <w:jc w:val="both"/>
        <w:rPr>
          <w:rFonts w:cs="Arial"/>
          <w:color w:val="000000" w:themeColor="text1"/>
          <w:sz w:val="22"/>
          <w:szCs w:val="22"/>
        </w:rPr>
      </w:pPr>
    </w:p>
    <w:p w:rsidR="006A529A" w:rsidRDefault="00736F12" w:rsidP="00736F12">
      <w:pPr>
        <w:jc w:val="both"/>
        <w:rPr>
          <w:rFonts w:cs="Arial"/>
          <w:color w:val="000000" w:themeColor="text1"/>
          <w:sz w:val="22"/>
          <w:szCs w:val="22"/>
        </w:rPr>
      </w:pPr>
      <w:r w:rsidRPr="00736F12">
        <w:rPr>
          <w:rFonts w:cs="Arial"/>
          <w:color w:val="000000" w:themeColor="text1"/>
          <w:sz w:val="22"/>
          <w:szCs w:val="22"/>
        </w:rPr>
        <w:t xml:space="preserve"> Чини се да постоји добра основа за даљи развој туризма у Беранама, потенцијал представљају нарочито скијашки терени, али је неопходан холистички приступ туристичкој понуди ове општине који би резултирао јединственом препознатљивом туристичком понудом.</w:t>
      </w:r>
    </w:p>
    <w:p w:rsidR="00736F12" w:rsidRPr="00736F12" w:rsidRDefault="00736F12" w:rsidP="00736F12">
      <w:pPr>
        <w:jc w:val="both"/>
        <w:rPr>
          <w:rFonts w:cs="Arial"/>
          <w:i/>
          <w:iCs/>
          <w:color w:val="000000" w:themeColor="text1"/>
          <w:sz w:val="22"/>
          <w:szCs w:val="22"/>
        </w:rPr>
      </w:pPr>
    </w:p>
    <w:p w:rsidR="006A529A" w:rsidRPr="00576F2A" w:rsidRDefault="00576F2A" w:rsidP="000806C3">
      <w:pPr>
        <w:pStyle w:val="Heading3"/>
        <w:spacing w:before="0"/>
      </w:pPr>
      <w:r>
        <w:t>2.3.5 Пословно окружење</w:t>
      </w:r>
    </w:p>
    <w:p w:rsidR="006A529A" w:rsidRPr="006A529A" w:rsidRDefault="006A529A" w:rsidP="000806C3">
      <w:pPr>
        <w:jc w:val="both"/>
        <w:rPr>
          <w:bCs/>
          <w:sz w:val="22"/>
          <w:szCs w:val="22"/>
        </w:rPr>
      </w:pPr>
    </w:p>
    <w:p w:rsidR="009B06E4" w:rsidRDefault="00576F2A" w:rsidP="000806C3">
      <w:pPr>
        <w:jc w:val="both"/>
        <w:rPr>
          <w:bCs/>
          <w:sz w:val="22"/>
          <w:szCs w:val="22"/>
        </w:rPr>
      </w:pPr>
      <w:r w:rsidRPr="00576F2A">
        <w:rPr>
          <w:bCs/>
          <w:sz w:val="22"/>
          <w:szCs w:val="22"/>
        </w:rPr>
        <w:t xml:space="preserve">Пословно окружење у општини Беране још увијек није довољно стимулативно за отпочињање бизниса и предузетништво. Према анкети за потребе Пословног центра у Рудешу (2015.), послодавци су рекли да се у свом раду суочавају с бројним потешкоћама као </w:t>
      </w:r>
      <w:r w:rsidRPr="00576F2A">
        <w:rPr>
          <w:bCs/>
          <w:sz w:val="22"/>
          <w:szCs w:val="22"/>
        </w:rPr>
        <w:lastRenderedPageBreak/>
        <w:t>што су: потешкоће у репрограмирању постојећих обавеза, организовању састанака привредника с локалним и државним властима, компликоване процедуре за добијање кредита од Фонда за развој инвестиција, високи порези и царине и сл. Ипак, већина њих су спремни да проширују пословне активности. Локална самоуправа планира помоћи предузетницима да започну властити посао, нарочито кад је ријеч о подстицању женског предузетништва кроз бесповратна средства. Такође, постоји подршка за израду пословних планова и регистрацију нових предузећа, као и олакшице у вези са наплатом дужности из надлежности општине.</w:t>
      </w:r>
    </w:p>
    <w:p w:rsidR="00576F2A" w:rsidRPr="00576F2A" w:rsidRDefault="00576F2A" w:rsidP="000806C3">
      <w:pPr>
        <w:jc w:val="both"/>
        <w:rPr>
          <w:bCs/>
          <w:sz w:val="22"/>
          <w:szCs w:val="22"/>
        </w:rPr>
      </w:pPr>
    </w:p>
    <w:p w:rsidR="009B06E4" w:rsidRDefault="00576F2A" w:rsidP="000806C3">
      <w:pPr>
        <w:jc w:val="both"/>
        <w:rPr>
          <w:bCs/>
          <w:sz w:val="22"/>
          <w:szCs w:val="22"/>
        </w:rPr>
      </w:pPr>
      <w:r w:rsidRPr="00576F2A">
        <w:rPr>
          <w:bCs/>
          <w:sz w:val="22"/>
          <w:szCs w:val="22"/>
        </w:rPr>
        <w:t>У општини Беране су формирана само два кластера, што указује на неискоришћене потенцијале у правцу удруживања и повећање конкурентности компанија из ове општине. Додатне потешкоће су лоши услови за младе који желе отпочети сопствени бизнис, јер се суочавају са проблемима као што су слабе могућности кредитирања, или захтјеви за гаранцијама које они не могу испунити. Присуство сиве економије додатно обесхрабрује оне који желе отпочети легално бизнис.</w:t>
      </w:r>
    </w:p>
    <w:p w:rsidR="00576F2A" w:rsidRPr="00576F2A" w:rsidRDefault="00576F2A" w:rsidP="000806C3">
      <w:pPr>
        <w:jc w:val="both"/>
        <w:rPr>
          <w:bCs/>
          <w:sz w:val="22"/>
          <w:szCs w:val="22"/>
        </w:rPr>
      </w:pPr>
    </w:p>
    <w:p w:rsidR="009B06E4" w:rsidRDefault="00576F2A" w:rsidP="00BE0E5B">
      <w:pPr>
        <w:jc w:val="both"/>
        <w:rPr>
          <w:rFonts w:cs="Arial"/>
          <w:bCs/>
          <w:color w:val="000000" w:themeColor="text1"/>
          <w:sz w:val="22"/>
          <w:szCs w:val="22"/>
        </w:rPr>
      </w:pPr>
      <w:r w:rsidRPr="00576F2A">
        <w:rPr>
          <w:bCs/>
          <w:sz w:val="22"/>
          <w:szCs w:val="22"/>
        </w:rPr>
        <w:t>У Беранама постоји бизнис зона Рудеш, која поред индустријске зоне укључује и зелену површину и пут. Пословна зона ће осигурати простор за мала и средња предузећа, складишта, пословне инкубаторе, производне погоне и друге објекте. Укупан број зграда је 19, од којих је 12 планирано за рушење. Пословни инкубатор треба да буде покретач и логистички центар за потпуну валоризацију пословне зоне. Између осталог, планирано је да преду</w:t>
      </w:r>
      <w:r w:rsidR="00594409">
        <w:rPr>
          <w:bCs/>
          <w:sz w:val="22"/>
          <w:szCs w:val="22"/>
        </w:rPr>
        <w:t>зетници који тренутно обављају дј</w:t>
      </w:r>
      <w:r w:rsidRPr="00576F2A">
        <w:rPr>
          <w:bCs/>
          <w:sz w:val="22"/>
          <w:szCs w:val="22"/>
        </w:rPr>
        <w:t xml:space="preserve">елатност у инкубатору, ојачани временом, напусте и наставе активност у оквиру пословне зоне. Са циљем даље подршке  оживљавању пословне зоне планиран је јавни позив за усељавање инвеститора, а у буџету за 2021. годину за ову сврху планирано је 10.000 евра за уређење </w:t>
      </w:r>
      <w:r>
        <w:rPr>
          <w:bCs/>
          <w:sz w:val="22"/>
          <w:szCs w:val="22"/>
        </w:rPr>
        <w:t>бизнис зоне</w:t>
      </w:r>
      <w:r w:rsidR="006A529A" w:rsidRPr="000A4DC0">
        <w:rPr>
          <w:bCs/>
          <w:sz w:val="22"/>
          <w:szCs w:val="22"/>
        </w:rPr>
        <w:t>.</w:t>
      </w:r>
      <w:r w:rsidR="006A529A" w:rsidRPr="000A4DC0">
        <w:rPr>
          <w:rStyle w:val="FootnoteReference"/>
          <w:bCs/>
          <w:sz w:val="22"/>
          <w:szCs w:val="22"/>
        </w:rPr>
        <w:footnoteReference w:id="10"/>
      </w:r>
    </w:p>
    <w:p w:rsidR="00BE0E5B" w:rsidRDefault="00BE0E5B" w:rsidP="00BE0E5B">
      <w:pPr>
        <w:jc w:val="both"/>
        <w:rPr>
          <w:bCs/>
          <w:sz w:val="22"/>
          <w:szCs w:val="22"/>
        </w:rPr>
      </w:pPr>
    </w:p>
    <w:p w:rsidR="00BE0E5B" w:rsidRPr="00BE0E5B" w:rsidRDefault="00BE0E5B" w:rsidP="00BE0E5B">
      <w:pPr>
        <w:jc w:val="both"/>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0"/>
      </w:tblGrid>
      <w:tr w:rsidR="00632C13" w:rsidRPr="006A529A" w:rsidTr="00BB5974">
        <w:trPr>
          <w:trHeight w:val="378"/>
        </w:trPr>
        <w:tc>
          <w:tcPr>
            <w:tcW w:w="8890" w:type="dxa"/>
            <w:shd w:val="clear" w:color="auto" w:fill="FFFFFF" w:themeFill="background1"/>
          </w:tcPr>
          <w:p w:rsidR="00632C13" w:rsidRPr="006A529A" w:rsidRDefault="00576F2A" w:rsidP="000806C3">
            <w:pPr>
              <w:pStyle w:val="Heading1"/>
              <w:numPr>
                <w:ilvl w:val="0"/>
                <w:numId w:val="6"/>
              </w:numPr>
              <w:spacing w:before="0"/>
              <w:ind w:left="318" w:hanging="318"/>
            </w:pPr>
            <w:bookmarkStart w:id="21" w:name="_Toc74296642"/>
            <w:r>
              <w:t>ТРЖИШТЕ РАДА</w:t>
            </w:r>
            <w:bookmarkEnd w:id="21"/>
          </w:p>
        </w:tc>
      </w:tr>
    </w:tbl>
    <w:p w:rsidR="006F1132" w:rsidRPr="006A529A" w:rsidRDefault="006F1132" w:rsidP="000806C3">
      <w:pPr>
        <w:jc w:val="both"/>
        <w:rPr>
          <w:rFonts w:cs="Arial"/>
          <w:sz w:val="22"/>
          <w:szCs w:val="22"/>
        </w:rPr>
      </w:pPr>
    </w:p>
    <w:p w:rsidR="004D3049" w:rsidRPr="006A529A" w:rsidRDefault="006E2FB6" w:rsidP="000806C3">
      <w:pPr>
        <w:jc w:val="both"/>
        <w:rPr>
          <w:rFonts w:cstheme="minorBidi"/>
          <w:color w:val="000000" w:themeColor="text1"/>
          <w:sz w:val="22"/>
        </w:rPr>
      </w:pPr>
      <w:r w:rsidRPr="006E2FB6">
        <w:rPr>
          <w:rFonts w:cstheme="minorBidi"/>
          <w:color w:val="000000" w:themeColor="text1"/>
          <w:sz w:val="22"/>
        </w:rPr>
        <w:t>Према композитном индексу стања на тржишту рада који је конструисан за потребе анализе локалних тржишта рада у Црној Гори на основу десет појединачних индикатора</w:t>
      </w:r>
      <w:r w:rsidR="004D3049" w:rsidRPr="006A529A">
        <w:rPr>
          <w:rStyle w:val="FootnoteReference"/>
          <w:rFonts w:cstheme="minorBidi"/>
          <w:color w:val="000000" w:themeColor="text1"/>
          <w:sz w:val="22"/>
        </w:rPr>
        <w:footnoteReference w:id="11"/>
      </w:r>
      <w:r w:rsidR="004D3049" w:rsidRPr="006A529A">
        <w:rPr>
          <w:rFonts w:cstheme="minorBidi"/>
          <w:color w:val="000000" w:themeColor="text1"/>
          <w:sz w:val="22"/>
        </w:rPr>
        <w:t xml:space="preserve">, </w:t>
      </w:r>
      <w:r w:rsidRPr="006E2FB6">
        <w:rPr>
          <w:rFonts w:cstheme="minorBidi"/>
          <w:color w:val="000000" w:themeColor="text1"/>
          <w:sz w:val="22"/>
        </w:rPr>
        <w:t xml:space="preserve">општина Беране је у 2011. години била на 16. мјесту, да би у 2018. години покварила свој релативни положај за четири мјеста и нашла се на претпоследњем 20. </w:t>
      </w:r>
      <w:r>
        <w:rPr>
          <w:rFonts w:cstheme="minorBidi"/>
          <w:color w:val="000000" w:themeColor="text1"/>
          <w:sz w:val="22"/>
        </w:rPr>
        <w:t>мјесту</w:t>
      </w:r>
      <w:r w:rsidR="004D3049" w:rsidRPr="006A529A">
        <w:rPr>
          <w:rStyle w:val="FootnoteReference"/>
          <w:rFonts w:cstheme="minorBidi"/>
          <w:color w:val="000000" w:themeColor="text1"/>
          <w:sz w:val="22"/>
        </w:rPr>
        <w:footnoteReference w:id="12"/>
      </w:r>
      <w:r w:rsidR="004D3049" w:rsidRPr="006A529A">
        <w:rPr>
          <w:rFonts w:cstheme="minorBidi"/>
          <w:color w:val="000000" w:themeColor="text1"/>
          <w:sz w:val="22"/>
        </w:rPr>
        <w:t>.</w:t>
      </w:r>
      <w:r w:rsidRPr="006E2FB6">
        <w:rPr>
          <w:rFonts w:cstheme="minorBidi"/>
          <w:color w:val="000000" w:themeColor="text1"/>
          <w:sz w:val="22"/>
        </w:rPr>
        <w:t xml:space="preserve">  У погледу просјечне вриједности композитног индикатора, Беране је такође покварило свој скор у 2018. години на 16,7 са 14,5 у 2011. години (већа просјечна вриједност типично означава лошију позицију).</w:t>
      </w:r>
    </w:p>
    <w:p w:rsidR="00413FE6" w:rsidRDefault="00413FE6" w:rsidP="000806C3">
      <w:pPr>
        <w:rPr>
          <w:rFonts w:eastAsiaTheme="majorEastAsia" w:cstheme="majorBidi"/>
          <w:color w:val="000000" w:themeColor="text1"/>
          <w:kern w:val="24"/>
          <w:szCs w:val="20"/>
        </w:rPr>
      </w:pPr>
    </w:p>
    <w:p w:rsidR="00BE0E5B" w:rsidRDefault="00BE0E5B" w:rsidP="000806C3">
      <w:pPr>
        <w:rPr>
          <w:rFonts w:eastAsiaTheme="majorEastAsia" w:cstheme="majorBidi"/>
          <w:color w:val="000000" w:themeColor="text1"/>
          <w:kern w:val="24"/>
          <w:szCs w:val="20"/>
        </w:rPr>
      </w:pPr>
    </w:p>
    <w:p w:rsidR="00BE0E5B" w:rsidRDefault="00BE0E5B" w:rsidP="000806C3">
      <w:pPr>
        <w:rPr>
          <w:rFonts w:eastAsiaTheme="majorEastAsia" w:cstheme="majorBidi"/>
          <w:color w:val="000000" w:themeColor="text1"/>
          <w:kern w:val="24"/>
          <w:szCs w:val="20"/>
        </w:rPr>
      </w:pPr>
    </w:p>
    <w:p w:rsidR="00BE0E5B" w:rsidRDefault="00BE0E5B" w:rsidP="000806C3">
      <w:pPr>
        <w:rPr>
          <w:rFonts w:eastAsiaTheme="majorEastAsia" w:cstheme="majorBidi"/>
          <w:color w:val="000000" w:themeColor="text1"/>
          <w:kern w:val="24"/>
          <w:szCs w:val="20"/>
        </w:rPr>
      </w:pPr>
    </w:p>
    <w:p w:rsidR="00BE0E5B" w:rsidRDefault="00BE0E5B" w:rsidP="000806C3">
      <w:pPr>
        <w:rPr>
          <w:rFonts w:eastAsiaTheme="majorEastAsia" w:cstheme="majorBidi"/>
          <w:color w:val="000000" w:themeColor="text1"/>
          <w:kern w:val="24"/>
          <w:szCs w:val="20"/>
        </w:rPr>
      </w:pPr>
    </w:p>
    <w:p w:rsidR="00BE0E5B" w:rsidRDefault="00BE0E5B" w:rsidP="000806C3">
      <w:pPr>
        <w:rPr>
          <w:rFonts w:eastAsiaTheme="majorEastAsia" w:cstheme="majorBidi"/>
          <w:color w:val="000000" w:themeColor="text1"/>
          <w:kern w:val="24"/>
          <w:szCs w:val="20"/>
        </w:rPr>
      </w:pPr>
    </w:p>
    <w:p w:rsidR="00BE0E5B" w:rsidRPr="00A901B4" w:rsidRDefault="00BE0E5B" w:rsidP="000806C3">
      <w:pPr>
        <w:rPr>
          <w:rFonts w:eastAsiaTheme="majorEastAsia" w:cstheme="majorBidi"/>
          <w:color w:val="000000" w:themeColor="text1"/>
          <w:kern w:val="24"/>
          <w:szCs w:val="20"/>
        </w:rPr>
      </w:pPr>
    </w:p>
    <w:p w:rsidR="00BE0E5B" w:rsidRPr="00BE0E5B" w:rsidRDefault="00BE0E5B" w:rsidP="000806C3">
      <w:pPr>
        <w:rPr>
          <w:rFonts w:eastAsiaTheme="majorEastAsia" w:cstheme="majorBidi"/>
          <w:color w:val="000000" w:themeColor="text1"/>
          <w:kern w:val="24"/>
          <w:szCs w:val="20"/>
        </w:rPr>
      </w:pPr>
    </w:p>
    <w:p w:rsidR="004A19DD" w:rsidRDefault="005B3176" w:rsidP="00BE0E5B">
      <w:pPr>
        <w:rPr>
          <w:szCs w:val="20"/>
        </w:rPr>
      </w:pPr>
      <w:r w:rsidRPr="006A529A">
        <w:rPr>
          <w:rFonts w:cs="Arial"/>
          <w:noProof/>
          <w:sz w:val="22"/>
          <w:szCs w:val="22"/>
          <w:highlight w:val="yellow"/>
          <w:lang w:val="en-US"/>
        </w:rPr>
        <w:lastRenderedPageBreak/>
        <w:drawing>
          <wp:anchor distT="0" distB="0" distL="114300" distR="114300" simplePos="0" relativeHeight="251658240" behindDoc="0" locked="0" layoutInCell="1" allowOverlap="1">
            <wp:simplePos x="0" y="0"/>
            <wp:positionH relativeFrom="column">
              <wp:posOffset>-635</wp:posOffset>
            </wp:positionH>
            <wp:positionV relativeFrom="paragraph">
              <wp:posOffset>307975</wp:posOffset>
            </wp:positionV>
            <wp:extent cx="5844540" cy="2009140"/>
            <wp:effectExtent l="0" t="0" r="3810" b="0"/>
            <wp:wrapSquare wrapText="bothSides"/>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anchor>
        </w:drawing>
      </w:r>
      <w:r w:rsidR="00BE0E5B">
        <w:rPr>
          <w:rFonts w:eastAsiaTheme="majorEastAsia" w:cstheme="majorBidi"/>
          <w:color w:val="000000" w:themeColor="text1"/>
          <w:kern w:val="24"/>
          <w:szCs w:val="20"/>
        </w:rPr>
        <w:t>График</w:t>
      </w:r>
      <w:r w:rsidR="004A19DD" w:rsidRPr="006A529A">
        <w:rPr>
          <w:rFonts w:eastAsiaTheme="majorEastAsia" w:cstheme="majorBidi"/>
          <w:color w:val="000000" w:themeColor="text1"/>
          <w:kern w:val="24"/>
          <w:szCs w:val="20"/>
        </w:rPr>
        <w:t xml:space="preserve"> 5</w:t>
      </w:r>
      <w:r w:rsidR="007F707E" w:rsidRPr="006A529A">
        <w:rPr>
          <w:rFonts w:eastAsiaTheme="majorEastAsia" w:cstheme="majorBidi"/>
          <w:color w:val="000000" w:themeColor="text1"/>
          <w:kern w:val="24"/>
          <w:szCs w:val="20"/>
        </w:rPr>
        <w:t xml:space="preserve">: </w:t>
      </w:r>
      <w:r w:rsidR="00BE0E5B" w:rsidRPr="00BE0E5B">
        <w:rPr>
          <w:rFonts w:eastAsiaTheme="majorEastAsia" w:cstheme="majorBidi"/>
          <w:color w:val="000000" w:themeColor="text1"/>
          <w:kern w:val="24"/>
          <w:szCs w:val="20"/>
        </w:rPr>
        <w:t>Рангирање општина – композитни индикатор (поређење)</w:t>
      </w:r>
      <w:bookmarkStart w:id="22" w:name="_Toc44873762"/>
      <w:bookmarkStart w:id="23" w:name="_Toc52644728"/>
    </w:p>
    <w:p w:rsidR="00BE0E5B" w:rsidRPr="00BE0E5B" w:rsidRDefault="00BE0E5B" w:rsidP="00BE0E5B">
      <w:pPr>
        <w:rPr>
          <w:szCs w:val="20"/>
        </w:rPr>
      </w:pPr>
    </w:p>
    <w:p w:rsidR="004A19DD" w:rsidRPr="00D04B40" w:rsidRDefault="004A19DD" w:rsidP="00D04B40">
      <w:pPr>
        <w:jc w:val="right"/>
        <w:rPr>
          <w:rFonts w:cs="Arial"/>
          <w:sz w:val="18"/>
        </w:rPr>
      </w:pPr>
      <w:r w:rsidRPr="00D04B40">
        <w:rPr>
          <w:rFonts w:cs="Arial"/>
          <w:sz w:val="18"/>
        </w:rPr>
        <w:t xml:space="preserve">Izvor: </w:t>
      </w:r>
      <w:hyperlink r:id="rId40" w:history="1">
        <w:r w:rsidRPr="00D04B40">
          <w:rPr>
            <w:rStyle w:val="Hyperlink"/>
            <w:rFonts w:cs="Arial"/>
            <w:sz w:val="18"/>
          </w:rPr>
          <w:t>http://eesp.me/wp-content/uploads/2020/06/analiza-lokalnih-trzista.pdf</w:t>
        </w:r>
      </w:hyperlink>
      <w:r w:rsidRPr="00D04B40">
        <w:rPr>
          <w:rFonts w:cs="Arial"/>
          <w:sz w:val="18"/>
        </w:rPr>
        <w:t xml:space="preserve"> </w:t>
      </w:r>
    </w:p>
    <w:p w:rsidR="005B3176" w:rsidRPr="006A529A" w:rsidRDefault="005B3176" w:rsidP="000806C3">
      <w:pPr>
        <w:jc w:val="both"/>
        <w:rPr>
          <w:rFonts w:cs="Arial"/>
          <w:sz w:val="22"/>
          <w:szCs w:val="22"/>
        </w:rPr>
      </w:pPr>
    </w:p>
    <w:p w:rsidR="00D04B40" w:rsidRDefault="006E2FB6" w:rsidP="000806C3">
      <w:pPr>
        <w:jc w:val="both"/>
        <w:rPr>
          <w:rFonts w:cs="Arial"/>
          <w:color w:val="000000" w:themeColor="text1"/>
          <w:sz w:val="22"/>
          <w:szCs w:val="22"/>
        </w:rPr>
      </w:pPr>
      <w:r w:rsidRPr="006E2FB6">
        <w:rPr>
          <w:rFonts w:cs="Arial"/>
          <w:color w:val="000000" w:themeColor="text1"/>
          <w:sz w:val="22"/>
          <w:szCs w:val="22"/>
        </w:rPr>
        <w:t>Будући да композитни индикатор тржишта рада обухвата различите сегменте тржишта рада, погоршање вриједности током периода од 2011. до 2018. године указује на проблеме и изазове са којима се сусреће локално тржиште рада, али и на потребу спровођења активности у циљу побољшања општег стања у овом домену.</w:t>
      </w:r>
    </w:p>
    <w:p w:rsidR="006E2FB6" w:rsidRPr="006E2FB6" w:rsidRDefault="006E2FB6" w:rsidP="000806C3">
      <w:pPr>
        <w:jc w:val="both"/>
        <w:rPr>
          <w:rFonts w:cs="Arial"/>
          <w:sz w:val="22"/>
          <w:szCs w:val="22"/>
        </w:rPr>
      </w:pPr>
    </w:p>
    <w:p w:rsidR="00142033" w:rsidRPr="006E2FB6" w:rsidRDefault="0045461F" w:rsidP="000806C3">
      <w:pPr>
        <w:pStyle w:val="Heading2"/>
        <w:spacing w:before="0"/>
        <w:rPr>
          <w:rFonts w:cs="Arial"/>
        </w:rPr>
      </w:pPr>
      <w:bookmarkStart w:id="24" w:name="_Toc74296643"/>
      <w:r w:rsidRPr="006A529A">
        <w:rPr>
          <w:rFonts w:cs="Arial"/>
        </w:rPr>
        <w:t>3.</w:t>
      </w:r>
      <w:r w:rsidR="00BC319B" w:rsidRPr="006A529A">
        <w:rPr>
          <w:rFonts w:cs="Arial"/>
        </w:rPr>
        <w:t>1</w:t>
      </w:r>
      <w:r w:rsidRPr="006A529A">
        <w:rPr>
          <w:rFonts w:cs="Arial"/>
        </w:rPr>
        <w:t xml:space="preserve"> </w:t>
      </w:r>
      <w:bookmarkEnd w:id="22"/>
      <w:bookmarkEnd w:id="23"/>
      <w:r w:rsidR="006E2FB6">
        <w:rPr>
          <w:rFonts w:cs="Arial"/>
        </w:rPr>
        <w:t>Запосленост и зараде</w:t>
      </w:r>
      <w:bookmarkEnd w:id="24"/>
    </w:p>
    <w:p w:rsidR="00142033" w:rsidRPr="006A529A" w:rsidRDefault="00142033" w:rsidP="000806C3">
      <w:pPr>
        <w:jc w:val="both"/>
        <w:rPr>
          <w:rFonts w:cs="Arial"/>
          <w:color w:val="000000" w:themeColor="text1"/>
          <w:sz w:val="22"/>
          <w:szCs w:val="22"/>
          <w:highlight w:val="yellow"/>
        </w:rPr>
      </w:pPr>
    </w:p>
    <w:p w:rsidR="00194CA9" w:rsidRDefault="006E2FB6" w:rsidP="000806C3">
      <w:pPr>
        <w:jc w:val="both"/>
        <w:rPr>
          <w:rFonts w:cs="Arial"/>
          <w:color w:val="000000" w:themeColor="text1"/>
          <w:sz w:val="22"/>
          <w:szCs w:val="22"/>
        </w:rPr>
      </w:pPr>
      <w:r w:rsidRPr="006E2FB6">
        <w:rPr>
          <w:rFonts w:cs="Arial"/>
          <w:color w:val="000000" w:themeColor="text1"/>
          <w:sz w:val="22"/>
          <w:szCs w:val="22"/>
        </w:rPr>
        <w:t>У овом дијелу је дата анализа кретања запослености и зарада у периоду од 2011. до прва два квартала 2020. године, као и однос између броја запослених и броја пензионера у општини Беране што представља значајан показатељ стања на локалном тржишту рада.</w:t>
      </w:r>
    </w:p>
    <w:p w:rsidR="006E2FB6" w:rsidRPr="006E2FB6" w:rsidRDefault="006E2FB6" w:rsidP="000806C3">
      <w:pPr>
        <w:jc w:val="both"/>
        <w:rPr>
          <w:rFonts w:cs="Arial"/>
          <w:color w:val="000000" w:themeColor="text1"/>
          <w:sz w:val="22"/>
          <w:szCs w:val="22"/>
          <w:highlight w:val="yellow"/>
        </w:rPr>
      </w:pPr>
    </w:p>
    <w:p w:rsidR="00C058B9" w:rsidRPr="006E2FB6" w:rsidRDefault="006E2FB6" w:rsidP="000806C3">
      <w:pPr>
        <w:pStyle w:val="Heading3"/>
        <w:spacing w:before="0"/>
      </w:pPr>
      <w:r>
        <w:t>3.1.1 Запосленост</w:t>
      </w:r>
    </w:p>
    <w:p w:rsidR="00C058B9" w:rsidRPr="006A529A" w:rsidRDefault="00C058B9" w:rsidP="000806C3">
      <w:pPr>
        <w:jc w:val="both"/>
        <w:rPr>
          <w:rFonts w:cs="Arial"/>
          <w:szCs w:val="20"/>
        </w:rPr>
      </w:pPr>
    </w:p>
    <w:p w:rsidR="00A54304" w:rsidRPr="006A529A" w:rsidRDefault="00CE426E" w:rsidP="000806C3">
      <w:pPr>
        <w:jc w:val="both"/>
        <w:rPr>
          <w:rFonts w:cs="Arial"/>
          <w:sz w:val="22"/>
          <w:szCs w:val="22"/>
        </w:rPr>
      </w:pPr>
      <w:r w:rsidRPr="00CE426E">
        <w:rPr>
          <w:rFonts w:cs="Arial"/>
          <w:sz w:val="22"/>
          <w:szCs w:val="22"/>
        </w:rPr>
        <w:t>Након наглог пада броја запослених у периоду од 2011. до 2016. године, када је запосленост у Беранама смањена са 4.900 на 4.455 (односно 9,1%), запосленост у Беранама се повећавала све до 2019. године. Наиме, у 2019. број запослених је за 4,2% био већи у односу на 2011. годину и 14,6% већи у односу на 2016. годину. Како је то</w:t>
      </w:r>
      <w:r>
        <w:rPr>
          <w:rFonts w:cs="Arial"/>
          <w:sz w:val="22"/>
          <w:szCs w:val="22"/>
        </w:rPr>
        <w:t>ком 2020. године пандемија COVID</w:t>
      </w:r>
      <w:r w:rsidRPr="00CE426E">
        <w:rPr>
          <w:rFonts w:cs="Arial"/>
          <w:sz w:val="22"/>
          <w:szCs w:val="22"/>
        </w:rPr>
        <w:t>-19 вируса имала снажан утицај на економију, број запослених се смањио. У првих шест мјесеци 2020. укупан број запослених у Беранама је био 4.931, што представља приближан ниво из 2011. године. С обзиром на то да је црногорска економија током другог и трећег квартала биљежила високе негативне стопе раста, ниво запослености у Беранама ће на крају 2020. бити испод нивоа из 2011. године. Оваква кретања запослености представљају велики проблем и изазов тржишта рада општине Беране</w:t>
      </w:r>
      <w:r w:rsidR="00A54304" w:rsidRPr="006A529A">
        <w:rPr>
          <w:rFonts w:cs="Arial"/>
          <w:sz w:val="22"/>
          <w:szCs w:val="22"/>
        </w:rPr>
        <w:t xml:space="preserve">. </w:t>
      </w:r>
    </w:p>
    <w:p w:rsidR="00D04B40" w:rsidRDefault="00D04B40" w:rsidP="000806C3">
      <w:pPr>
        <w:jc w:val="both"/>
        <w:rPr>
          <w:color w:val="000000" w:themeColor="text1"/>
          <w:sz w:val="22"/>
          <w:szCs w:val="22"/>
        </w:rPr>
      </w:pPr>
    </w:p>
    <w:p w:rsidR="000A4DC0" w:rsidRPr="002953BC" w:rsidRDefault="002953BC" w:rsidP="000806C3">
      <w:pPr>
        <w:jc w:val="both"/>
        <w:rPr>
          <w:rFonts w:cs="Arial"/>
          <w:szCs w:val="20"/>
        </w:rPr>
      </w:pPr>
      <w:r>
        <w:rPr>
          <w:rFonts w:cs="Arial"/>
          <w:szCs w:val="20"/>
        </w:rPr>
        <w:t>График</w:t>
      </w:r>
      <w:r w:rsidR="009D0CB2" w:rsidRPr="006A529A">
        <w:rPr>
          <w:rFonts w:cs="Arial"/>
          <w:szCs w:val="20"/>
        </w:rPr>
        <w:t xml:space="preserve"> </w:t>
      </w:r>
      <w:r w:rsidR="0056170D" w:rsidRPr="006A529A">
        <w:rPr>
          <w:rFonts w:cs="Arial"/>
          <w:szCs w:val="20"/>
        </w:rPr>
        <w:t>6</w:t>
      </w:r>
      <w:r w:rsidR="00A01B40" w:rsidRPr="006A529A">
        <w:rPr>
          <w:rFonts w:cs="Arial"/>
          <w:szCs w:val="20"/>
        </w:rPr>
        <w:t xml:space="preserve">: </w:t>
      </w:r>
      <w:r>
        <w:rPr>
          <w:rFonts w:cs="Arial"/>
          <w:szCs w:val="20"/>
        </w:rPr>
        <w:t>Број запослених</w:t>
      </w:r>
      <w:r w:rsidR="00B5222C" w:rsidRPr="006A529A">
        <w:rPr>
          <w:rFonts w:cs="Arial"/>
          <w:szCs w:val="20"/>
        </w:rPr>
        <w:t>, 2011-</w:t>
      </w:r>
      <w:r w:rsidR="003975FB">
        <w:rPr>
          <w:rFonts w:cs="Arial"/>
          <w:szCs w:val="20"/>
        </w:rPr>
        <w:t xml:space="preserve"> (</w:t>
      </w:r>
      <w:r w:rsidR="00B5222C" w:rsidRPr="006A529A">
        <w:rPr>
          <w:rFonts w:cs="Arial"/>
          <w:szCs w:val="20"/>
        </w:rPr>
        <w:t>I-VI</w:t>
      </w:r>
      <w:r w:rsidR="003975FB">
        <w:rPr>
          <w:rFonts w:cs="Arial"/>
          <w:szCs w:val="20"/>
        </w:rPr>
        <w:t>)</w:t>
      </w:r>
      <w:r>
        <w:rPr>
          <w:rFonts w:cs="Arial"/>
          <w:szCs w:val="20"/>
        </w:rPr>
        <w:t xml:space="preserve"> 2020. године у општини Беране</w:t>
      </w:r>
    </w:p>
    <w:p w:rsidR="000A4DC0" w:rsidRDefault="000A4DC0" w:rsidP="000A4DC0">
      <w:pPr>
        <w:jc w:val="center"/>
        <w:rPr>
          <w:rFonts w:cs="Arial"/>
          <w:szCs w:val="20"/>
        </w:rPr>
      </w:pPr>
      <w:r>
        <w:rPr>
          <w:noProof/>
          <w:lang w:val="en-US"/>
        </w:rPr>
        <w:drawing>
          <wp:inline distT="0" distB="0" distL="0" distR="0">
            <wp:extent cx="5245100" cy="1687483"/>
            <wp:effectExtent l="0" t="0" r="12700" b="8255"/>
            <wp:docPr id="13" name="Grafikon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C50CB" w:rsidRPr="00D04B40" w:rsidRDefault="002953BC" w:rsidP="000806C3">
      <w:pPr>
        <w:ind w:left="7080"/>
        <w:jc w:val="both"/>
        <w:rPr>
          <w:rFonts w:cs="Arial"/>
          <w:i/>
          <w:iCs/>
          <w:sz w:val="18"/>
        </w:rPr>
      </w:pPr>
      <w:r>
        <w:rPr>
          <w:rFonts w:cs="Arial"/>
          <w:i/>
          <w:iCs/>
          <w:sz w:val="18"/>
        </w:rPr>
        <w:t>Извор</w:t>
      </w:r>
      <w:r w:rsidR="002C50CB" w:rsidRPr="00D04B40">
        <w:rPr>
          <w:rFonts w:cs="Arial"/>
          <w:i/>
          <w:iCs/>
          <w:sz w:val="18"/>
        </w:rPr>
        <w:t>: MONSTAT</w:t>
      </w:r>
    </w:p>
    <w:p w:rsidR="000A57F6" w:rsidRDefault="000A57F6" w:rsidP="000A57F6">
      <w:pPr>
        <w:jc w:val="both"/>
        <w:rPr>
          <w:color w:val="000000" w:themeColor="text1"/>
          <w:sz w:val="22"/>
          <w:szCs w:val="22"/>
        </w:rPr>
      </w:pPr>
    </w:p>
    <w:p w:rsidR="00D04B40" w:rsidRDefault="00CE426E" w:rsidP="000806C3">
      <w:pPr>
        <w:jc w:val="both"/>
        <w:rPr>
          <w:color w:val="000000" w:themeColor="text1"/>
          <w:sz w:val="22"/>
          <w:szCs w:val="22"/>
        </w:rPr>
      </w:pPr>
      <w:r w:rsidRPr="00CE426E">
        <w:rPr>
          <w:color w:val="000000" w:themeColor="text1"/>
          <w:sz w:val="22"/>
          <w:szCs w:val="22"/>
        </w:rPr>
        <w:lastRenderedPageBreak/>
        <w:t>Општина Беране запошљава 18,1% радне снаге запослене у Сјеверном региону, односно 2,5% укупне запослености у Црној Гори. Однос између броја регистрованих запослених и броја становника износи 0,19 (2019). У односу на национални ниво, овај индикатор је на значајно нижем нивоу, док је са друге стране незнатно већи у односу на вриједност у Сјеверном региону (на нивоу Црне Горе износи 0,33, а на нивоу Сјеверног региона је 0,17).</w:t>
      </w:r>
    </w:p>
    <w:p w:rsidR="00CE426E" w:rsidRPr="00D04B40" w:rsidRDefault="00CE426E" w:rsidP="000806C3">
      <w:pPr>
        <w:jc w:val="both"/>
        <w:rPr>
          <w:rFonts w:cs="Arial"/>
          <w:color w:val="000000" w:themeColor="text1"/>
          <w:sz w:val="18"/>
        </w:rPr>
      </w:pPr>
    </w:p>
    <w:p w:rsidR="00B740A1" w:rsidRDefault="00CE426E" w:rsidP="000806C3">
      <w:pPr>
        <w:jc w:val="both"/>
        <w:rPr>
          <w:rFonts w:cs="Arial"/>
          <w:color w:val="000000" w:themeColor="text1"/>
          <w:sz w:val="22"/>
          <w:szCs w:val="22"/>
        </w:rPr>
      </w:pPr>
      <w:r>
        <w:rPr>
          <w:rFonts w:cs="Arial"/>
          <w:color w:val="000000" w:themeColor="text1"/>
          <w:sz w:val="22"/>
          <w:szCs w:val="22"/>
        </w:rPr>
        <w:t>Посматрано по секторима дје</w:t>
      </w:r>
      <w:r w:rsidRPr="00CE426E">
        <w:rPr>
          <w:rFonts w:cs="Arial"/>
          <w:color w:val="000000" w:themeColor="text1"/>
          <w:sz w:val="22"/>
          <w:szCs w:val="22"/>
        </w:rPr>
        <w:t>латности, највећи број запослених у привредним субјектима у општини Беране је у секторима прерађивачке индустрије (27,6%) и трговине (22,3%). Додатно, 214 запослених или 10,0% ради у сектору снабдијевања водом, управљања отпадним водама, док је у сектору саобраћаја запослено 7,4% запослених.</w:t>
      </w:r>
    </w:p>
    <w:p w:rsidR="00CE426E" w:rsidRPr="006A529A" w:rsidRDefault="00CE426E" w:rsidP="000806C3">
      <w:pPr>
        <w:jc w:val="both"/>
        <w:rPr>
          <w:rFonts w:cs="Arial"/>
          <w:color w:val="000000" w:themeColor="text1"/>
          <w:sz w:val="22"/>
          <w:szCs w:val="22"/>
        </w:rPr>
      </w:pPr>
    </w:p>
    <w:p w:rsidR="00D04B40" w:rsidRPr="004309F9" w:rsidRDefault="00AC25CE" w:rsidP="000806C3">
      <w:pPr>
        <w:jc w:val="both"/>
        <w:rPr>
          <w:rFonts w:eastAsia="Times New Roman"/>
          <w:szCs w:val="20"/>
          <w:lang w:eastAsia="sl-SI"/>
        </w:rPr>
      </w:pPr>
      <w:r>
        <w:rPr>
          <w:szCs w:val="20"/>
        </w:rPr>
        <w:t>Табела</w:t>
      </w:r>
      <w:r w:rsidR="00235E36" w:rsidRPr="004309F9">
        <w:rPr>
          <w:szCs w:val="20"/>
        </w:rPr>
        <w:t xml:space="preserve"> </w:t>
      </w:r>
      <w:r w:rsidR="000A57F6">
        <w:rPr>
          <w:szCs w:val="20"/>
        </w:rPr>
        <w:t>9</w:t>
      </w:r>
      <w:r w:rsidR="0026469A" w:rsidRPr="004309F9">
        <w:rPr>
          <w:szCs w:val="20"/>
        </w:rPr>
        <w:t xml:space="preserve">: </w:t>
      </w:r>
      <w:r>
        <w:rPr>
          <w:rFonts w:eastAsia="Times New Roman"/>
          <w:szCs w:val="20"/>
          <w:lang w:eastAsia="sl-SI"/>
        </w:rPr>
        <w:t>Преглед броја запослених</w:t>
      </w:r>
      <w:r w:rsidR="0026469A" w:rsidRPr="004309F9">
        <w:rPr>
          <w:rFonts w:eastAsia="Times New Roman"/>
          <w:szCs w:val="20"/>
          <w:lang w:eastAsia="sl-SI"/>
        </w:rPr>
        <w:t xml:space="preserve"> </w:t>
      </w:r>
      <w:r>
        <w:rPr>
          <w:rFonts w:eastAsia="Times New Roman"/>
          <w:szCs w:val="20"/>
          <w:lang w:eastAsia="sl-SI"/>
        </w:rPr>
        <w:t>у привредним субјектима у секторима дјелатности у општини Беране</w:t>
      </w:r>
      <w:r w:rsidR="0026469A" w:rsidRPr="004309F9">
        <w:rPr>
          <w:rFonts w:eastAsia="Times New Roman"/>
          <w:szCs w:val="20"/>
          <w:lang w:eastAsia="sl-SI"/>
        </w:rPr>
        <w:t>, 201</w:t>
      </w:r>
      <w:r w:rsidR="004309F9" w:rsidRPr="004309F9">
        <w:rPr>
          <w:rFonts w:eastAsia="Times New Roman"/>
          <w:szCs w:val="20"/>
          <w:lang w:eastAsia="sl-SI"/>
        </w:rPr>
        <w:t>9</w:t>
      </w:r>
      <w:r w:rsidR="00D04B40" w:rsidRPr="004309F9">
        <w:rPr>
          <w:rFonts w:eastAsia="Times New Roman"/>
          <w:szCs w:val="20"/>
          <w:lang w:eastAsia="sl-SI"/>
        </w:rPr>
        <w:t>.</w:t>
      </w:r>
    </w:p>
    <w:p w:rsidR="0026469A" w:rsidRPr="006A529A" w:rsidRDefault="0026469A" w:rsidP="000806C3">
      <w:pPr>
        <w:jc w:val="both"/>
        <w:rPr>
          <w:rFonts w:eastAsia="Times New Roman"/>
          <w:color w:val="000000"/>
          <w:szCs w:val="20"/>
          <w:lang w:eastAsia="sl-SI"/>
        </w:rPr>
      </w:pPr>
    </w:p>
    <w:tbl>
      <w:tblPr>
        <w:tblW w:w="4602" w:type="pct"/>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5951"/>
        <w:gridCol w:w="1158"/>
        <w:gridCol w:w="1595"/>
      </w:tblGrid>
      <w:tr w:rsidR="00D732B2" w:rsidRPr="006A529A" w:rsidTr="004E6FC2">
        <w:trPr>
          <w:trHeight w:val="170"/>
        </w:trPr>
        <w:tc>
          <w:tcPr>
            <w:tcW w:w="3419" w:type="pct"/>
            <w:shd w:val="clear" w:color="auto" w:fill="BFBFBF" w:themeFill="background1" w:themeFillShade="BF"/>
            <w:noWrap/>
            <w:vAlign w:val="center"/>
            <w:hideMark/>
          </w:tcPr>
          <w:p w:rsidR="00D732B2" w:rsidRPr="00D04B40" w:rsidRDefault="00D732B2" w:rsidP="000806C3">
            <w:pPr>
              <w:rPr>
                <w:rFonts w:eastAsia="Times New Roman" w:cs="Calibri"/>
                <w:color w:val="000000"/>
                <w:sz w:val="18"/>
                <w:lang w:val="en-US"/>
              </w:rPr>
            </w:pPr>
            <w:r w:rsidRPr="00D04B40">
              <w:rPr>
                <w:rFonts w:eastAsia="Times New Roman" w:cs="Calibri"/>
                <w:color w:val="000000"/>
                <w:sz w:val="18"/>
                <w:lang w:val="en-US"/>
              </w:rPr>
              <w:t> </w:t>
            </w:r>
          </w:p>
        </w:tc>
        <w:tc>
          <w:tcPr>
            <w:tcW w:w="665" w:type="pct"/>
            <w:tcBorders>
              <w:bottom w:val="single" w:sz="4" w:space="0" w:color="BFBFBF" w:themeColor="background1" w:themeShade="BF"/>
            </w:tcBorders>
            <w:shd w:val="clear" w:color="auto" w:fill="BFBFBF" w:themeFill="background1" w:themeFillShade="BF"/>
            <w:noWrap/>
            <w:vAlign w:val="center"/>
            <w:hideMark/>
          </w:tcPr>
          <w:p w:rsidR="00D732B2" w:rsidRPr="00AC25CE" w:rsidRDefault="00AC25CE" w:rsidP="000806C3">
            <w:pPr>
              <w:rPr>
                <w:rFonts w:eastAsia="Times New Roman" w:cs="Calibri"/>
                <w:color w:val="000000"/>
                <w:sz w:val="18"/>
              </w:rPr>
            </w:pPr>
            <w:r>
              <w:rPr>
                <w:rFonts w:eastAsia="Times New Roman" w:cs="Calibri"/>
                <w:color w:val="000000"/>
                <w:sz w:val="18"/>
              </w:rPr>
              <w:t>Број запослених</w:t>
            </w:r>
          </w:p>
        </w:tc>
        <w:tc>
          <w:tcPr>
            <w:tcW w:w="916" w:type="pct"/>
            <w:shd w:val="clear" w:color="auto" w:fill="BFBFBF" w:themeFill="background1" w:themeFillShade="BF"/>
            <w:noWrap/>
            <w:vAlign w:val="center"/>
            <w:hideMark/>
          </w:tcPr>
          <w:p w:rsidR="00D732B2" w:rsidRPr="00AC25CE" w:rsidRDefault="00AC25CE" w:rsidP="000806C3">
            <w:pPr>
              <w:rPr>
                <w:rFonts w:eastAsia="Times New Roman" w:cs="Calibri"/>
                <w:color w:val="000000"/>
                <w:sz w:val="18"/>
              </w:rPr>
            </w:pPr>
            <w:r>
              <w:rPr>
                <w:rFonts w:eastAsia="Times New Roman" w:cs="Calibri"/>
                <w:color w:val="000000"/>
                <w:sz w:val="18"/>
                <w:lang w:val="en-US"/>
              </w:rPr>
              <w:t xml:space="preserve">% </w:t>
            </w:r>
            <w:r>
              <w:rPr>
                <w:rFonts w:eastAsia="Times New Roman" w:cs="Calibri"/>
                <w:color w:val="000000"/>
                <w:sz w:val="18"/>
              </w:rPr>
              <w:t>од укупног броја</w:t>
            </w:r>
            <w:r>
              <w:rPr>
                <w:rFonts w:eastAsia="Times New Roman" w:cs="Calibri"/>
                <w:color w:val="000000"/>
                <w:sz w:val="18"/>
                <w:lang w:val="en-US"/>
              </w:rPr>
              <w:t xml:space="preserve"> </w:t>
            </w:r>
            <w:r>
              <w:rPr>
                <w:rFonts w:eastAsia="Times New Roman" w:cs="Calibri"/>
                <w:color w:val="000000"/>
                <w:sz w:val="18"/>
              </w:rPr>
              <w:t>запослених</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Пољопривреда, шумарство и рибарство</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34</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1,6</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Вађење руда и камена</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122</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5,7</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Прерађивачка индустрија</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593</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27,6</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Снабдијевање електричном енергијом гасом и паром</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19</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0,9</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Снабдијевање водом, управљање отпадним водама</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214</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10,0</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Грађевинарство</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105</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4,9</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Трговина на велико и трговина мало и поправка моторних возила</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479</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22,3</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Саобраћај и складиштење</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159</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7,4</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Услуге смјештаја и исхране</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145</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6,8</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sidRPr="00AC25CE">
              <w:rPr>
                <w:rFonts w:eastAsia="Times New Roman" w:cs="Calibri"/>
                <w:color w:val="000000"/>
                <w:sz w:val="18"/>
                <w:lang w:val="en-US"/>
              </w:rPr>
              <w:t>Информисање и комуникације</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11</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0,5</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AC25CE" w:rsidP="000806C3">
            <w:pPr>
              <w:rPr>
                <w:rFonts w:eastAsia="Times New Roman" w:cs="Calibri"/>
                <w:color w:val="000000"/>
                <w:sz w:val="18"/>
                <w:lang w:val="en-US"/>
              </w:rPr>
            </w:pPr>
            <w:r>
              <w:rPr>
                <w:rFonts w:eastAsia="Times New Roman" w:cs="Calibri"/>
                <w:color w:val="000000"/>
                <w:sz w:val="18"/>
                <w:lang w:val="en-US"/>
              </w:rPr>
              <w:t xml:space="preserve">Финансијске </w:t>
            </w:r>
            <w:r>
              <w:rPr>
                <w:rFonts w:eastAsia="Times New Roman" w:cs="Calibri"/>
                <w:color w:val="000000"/>
                <w:sz w:val="18"/>
              </w:rPr>
              <w:t>дј</w:t>
            </w:r>
            <w:r>
              <w:rPr>
                <w:rFonts w:eastAsia="Times New Roman" w:cs="Calibri"/>
                <w:color w:val="000000"/>
                <w:sz w:val="18"/>
                <w:lang w:val="en-US"/>
              </w:rPr>
              <w:t xml:space="preserve">елатности и </w:t>
            </w:r>
            <w:r>
              <w:rPr>
                <w:rFonts w:eastAsia="Times New Roman" w:cs="Calibri"/>
                <w:color w:val="000000"/>
                <w:sz w:val="18"/>
              </w:rPr>
              <w:t>дј</w:t>
            </w:r>
            <w:r w:rsidRPr="00AC25CE">
              <w:rPr>
                <w:rFonts w:eastAsia="Times New Roman" w:cs="Calibri"/>
                <w:color w:val="000000"/>
                <w:sz w:val="18"/>
                <w:lang w:val="en-US"/>
              </w:rPr>
              <w:t>елатност осигурања</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0</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0,0</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3E7382" w:rsidP="000806C3">
            <w:pPr>
              <w:rPr>
                <w:rFonts w:eastAsia="Times New Roman" w:cs="Calibri"/>
                <w:color w:val="000000"/>
                <w:sz w:val="18"/>
                <w:lang w:val="en-US"/>
              </w:rPr>
            </w:pPr>
            <w:r w:rsidRPr="003E7382">
              <w:rPr>
                <w:rFonts w:eastAsia="Times New Roman" w:cs="Calibri"/>
                <w:color w:val="000000"/>
                <w:sz w:val="18"/>
                <w:lang w:val="en-US"/>
              </w:rPr>
              <w:t>Пословање некретнинама</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2</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0,1</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3E7382" w:rsidP="000806C3">
            <w:pPr>
              <w:rPr>
                <w:rFonts w:eastAsia="Times New Roman" w:cs="Calibri"/>
                <w:color w:val="000000"/>
                <w:sz w:val="18"/>
                <w:lang w:val="en-US"/>
              </w:rPr>
            </w:pPr>
            <w:r>
              <w:rPr>
                <w:rFonts w:eastAsia="Times New Roman" w:cs="Calibri"/>
                <w:color w:val="000000"/>
                <w:sz w:val="18"/>
                <w:lang w:val="en-US"/>
              </w:rPr>
              <w:t xml:space="preserve">Стручне, научне и техничке </w:t>
            </w:r>
            <w:r>
              <w:rPr>
                <w:rFonts w:eastAsia="Times New Roman" w:cs="Calibri"/>
                <w:color w:val="000000"/>
                <w:sz w:val="18"/>
              </w:rPr>
              <w:t>дј</w:t>
            </w:r>
            <w:r w:rsidRPr="003E7382">
              <w:rPr>
                <w:rFonts w:eastAsia="Times New Roman" w:cs="Calibri"/>
                <w:color w:val="000000"/>
                <w:sz w:val="18"/>
                <w:lang w:val="en-US"/>
              </w:rPr>
              <w:t>елатности</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64</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3,0</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3E7382" w:rsidP="000806C3">
            <w:pPr>
              <w:rPr>
                <w:rFonts w:eastAsia="Times New Roman" w:cs="Calibri"/>
                <w:color w:val="000000"/>
                <w:sz w:val="18"/>
                <w:lang w:val="en-US"/>
              </w:rPr>
            </w:pPr>
            <w:r w:rsidRPr="003E7382">
              <w:rPr>
                <w:rFonts w:eastAsia="Times New Roman" w:cs="Calibri"/>
                <w:color w:val="000000"/>
                <w:sz w:val="18"/>
                <w:lang w:val="en-US"/>
              </w:rPr>
              <w:t>Адм</w:t>
            </w:r>
            <w:r>
              <w:rPr>
                <w:rFonts w:eastAsia="Times New Roman" w:cs="Calibri"/>
                <w:color w:val="000000"/>
                <w:sz w:val="18"/>
                <w:lang w:val="en-US"/>
              </w:rPr>
              <w:t xml:space="preserve">инистративне и помоћне услужне </w:t>
            </w:r>
            <w:r>
              <w:rPr>
                <w:rFonts w:eastAsia="Times New Roman" w:cs="Calibri"/>
                <w:color w:val="000000"/>
                <w:sz w:val="18"/>
              </w:rPr>
              <w:t>дј</w:t>
            </w:r>
            <w:r w:rsidRPr="003E7382">
              <w:rPr>
                <w:rFonts w:eastAsia="Times New Roman" w:cs="Calibri"/>
                <w:color w:val="000000"/>
                <w:sz w:val="18"/>
                <w:lang w:val="en-US"/>
              </w:rPr>
              <w:t>елатности</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19</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0,9</w:t>
            </w:r>
          </w:p>
        </w:tc>
      </w:tr>
      <w:tr w:rsidR="00D732B2" w:rsidRPr="006A529A" w:rsidTr="004E6FC2">
        <w:trPr>
          <w:trHeight w:val="170"/>
        </w:trPr>
        <w:tc>
          <w:tcPr>
            <w:tcW w:w="3419" w:type="pct"/>
            <w:tcBorders>
              <w:right w:val="nil"/>
            </w:tcBorders>
            <w:shd w:val="clear" w:color="auto" w:fill="auto"/>
            <w:noWrap/>
            <w:vAlign w:val="center"/>
            <w:hideMark/>
          </w:tcPr>
          <w:p w:rsidR="00D732B2" w:rsidRPr="003E7382" w:rsidRDefault="003E7382" w:rsidP="000806C3">
            <w:pPr>
              <w:rPr>
                <w:rFonts w:eastAsia="Times New Roman" w:cs="Calibri"/>
                <w:color w:val="000000"/>
                <w:sz w:val="18"/>
              </w:rPr>
            </w:pPr>
            <w:r>
              <w:rPr>
                <w:rFonts w:eastAsia="Times New Roman" w:cs="Calibri"/>
                <w:color w:val="000000"/>
                <w:sz w:val="18"/>
              </w:rPr>
              <w:t>Образовање</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14</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0,7</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3E7382" w:rsidP="000806C3">
            <w:pPr>
              <w:rPr>
                <w:rFonts w:eastAsia="Times New Roman" w:cs="Calibri"/>
                <w:color w:val="000000"/>
                <w:sz w:val="18"/>
                <w:lang w:val="en-US"/>
              </w:rPr>
            </w:pPr>
            <w:r w:rsidRPr="003E7382">
              <w:rPr>
                <w:rFonts w:eastAsia="Times New Roman" w:cs="Calibri"/>
                <w:color w:val="000000"/>
                <w:sz w:val="18"/>
                <w:lang w:val="en-US"/>
              </w:rPr>
              <w:t>Здравствена и социјална заштита</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78</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3,6</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3E7382" w:rsidP="000806C3">
            <w:pPr>
              <w:rPr>
                <w:rFonts w:eastAsia="Times New Roman" w:cs="Calibri"/>
                <w:color w:val="000000"/>
                <w:sz w:val="18"/>
                <w:lang w:val="en-US"/>
              </w:rPr>
            </w:pPr>
            <w:r w:rsidRPr="003E7382">
              <w:rPr>
                <w:rFonts w:eastAsia="Times New Roman" w:cs="Calibri"/>
                <w:color w:val="000000"/>
                <w:sz w:val="18"/>
                <w:lang w:val="en-US"/>
              </w:rPr>
              <w:t>Умјетност, забава и рекреација</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60</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2,8</w:t>
            </w:r>
          </w:p>
        </w:tc>
      </w:tr>
      <w:tr w:rsidR="00D732B2" w:rsidRPr="006A529A" w:rsidTr="004E6FC2">
        <w:trPr>
          <w:trHeight w:val="170"/>
        </w:trPr>
        <w:tc>
          <w:tcPr>
            <w:tcW w:w="3419" w:type="pct"/>
            <w:tcBorders>
              <w:right w:val="nil"/>
            </w:tcBorders>
            <w:shd w:val="clear" w:color="auto" w:fill="auto"/>
            <w:noWrap/>
            <w:vAlign w:val="center"/>
            <w:hideMark/>
          </w:tcPr>
          <w:p w:rsidR="00D732B2" w:rsidRPr="00D04B40" w:rsidRDefault="003E7382" w:rsidP="000806C3">
            <w:pPr>
              <w:rPr>
                <w:rFonts w:eastAsia="Times New Roman" w:cs="Calibri"/>
                <w:color w:val="000000"/>
                <w:sz w:val="18"/>
                <w:lang w:val="en-US"/>
              </w:rPr>
            </w:pPr>
            <w:r>
              <w:rPr>
                <w:rFonts w:eastAsia="Times New Roman" w:cs="Calibri"/>
                <w:color w:val="000000"/>
                <w:sz w:val="18"/>
                <w:lang w:val="en-US"/>
              </w:rPr>
              <w:t xml:space="preserve">Остале услужне </w:t>
            </w:r>
            <w:r>
              <w:rPr>
                <w:rFonts w:eastAsia="Times New Roman" w:cs="Calibri"/>
                <w:color w:val="000000"/>
                <w:sz w:val="18"/>
              </w:rPr>
              <w:t>дј</w:t>
            </w:r>
            <w:r w:rsidRPr="003E7382">
              <w:rPr>
                <w:rFonts w:eastAsia="Times New Roman" w:cs="Calibri"/>
                <w:color w:val="000000"/>
                <w:sz w:val="18"/>
                <w:lang w:val="en-US"/>
              </w:rPr>
              <w:t>елатности</w:t>
            </w:r>
          </w:p>
        </w:tc>
        <w:tc>
          <w:tcPr>
            <w:tcW w:w="665" w:type="pct"/>
            <w:tcBorders>
              <w:left w:val="nil"/>
              <w:right w:val="nil"/>
            </w:tcBorders>
            <w:shd w:val="clear" w:color="auto" w:fill="auto"/>
            <w:noWrap/>
            <w:vAlign w:val="center"/>
            <w:hideMark/>
          </w:tcPr>
          <w:p w:rsidR="00D732B2" w:rsidRPr="00D04B40" w:rsidRDefault="00D732B2" w:rsidP="004E6FC2">
            <w:pPr>
              <w:jc w:val="right"/>
              <w:rPr>
                <w:rFonts w:eastAsia="Times New Roman" w:cs="Calibri"/>
                <w:color w:val="000000"/>
                <w:sz w:val="18"/>
                <w:lang w:val="en-US"/>
              </w:rPr>
            </w:pPr>
            <w:r w:rsidRPr="00D04B40">
              <w:rPr>
                <w:rFonts w:eastAsia="Times New Roman" w:cs="Calibri"/>
                <w:color w:val="000000"/>
                <w:sz w:val="18"/>
                <w:lang w:val="en-US"/>
              </w:rPr>
              <w:t>29</w:t>
            </w:r>
          </w:p>
        </w:tc>
        <w:tc>
          <w:tcPr>
            <w:tcW w:w="916" w:type="pct"/>
            <w:tcBorders>
              <w:left w:val="nil"/>
            </w:tcBorders>
            <w:shd w:val="clear" w:color="auto" w:fill="auto"/>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1,4</w:t>
            </w:r>
          </w:p>
        </w:tc>
      </w:tr>
      <w:tr w:rsidR="00D732B2" w:rsidRPr="006A529A" w:rsidTr="004E6FC2">
        <w:trPr>
          <w:trHeight w:val="170"/>
        </w:trPr>
        <w:tc>
          <w:tcPr>
            <w:tcW w:w="3419" w:type="pct"/>
            <w:tcBorders>
              <w:right w:val="nil"/>
            </w:tcBorders>
            <w:shd w:val="clear" w:color="auto" w:fill="BFBFBF" w:themeFill="background1" w:themeFillShade="BF"/>
            <w:noWrap/>
            <w:vAlign w:val="center"/>
            <w:hideMark/>
          </w:tcPr>
          <w:p w:rsidR="00D732B2" w:rsidRPr="003E7382" w:rsidRDefault="003E7382" w:rsidP="000806C3">
            <w:pPr>
              <w:rPr>
                <w:rFonts w:eastAsia="Times New Roman" w:cs="Calibri"/>
                <w:color w:val="000000"/>
                <w:sz w:val="18"/>
              </w:rPr>
            </w:pPr>
            <w:r>
              <w:rPr>
                <w:rFonts w:eastAsia="Times New Roman" w:cs="Calibri"/>
                <w:color w:val="000000"/>
                <w:sz w:val="18"/>
              </w:rPr>
              <w:t>Укупно</w:t>
            </w:r>
          </w:p>
        </w:tc>
        <w:tc>
          <w:tcPr>
            <w:tcW w:w="665" w:type="pct"/>
            <w:tcBorders>
              <w:left w:val="nil"/>
              <w:right w:val="nil"/>
            </w:tcBorders>
            <w:shd w:val="clear" w:color="auto" w:fill="BFBFBF" w:themeFill="background1" w:themeFillShade="BF"/>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2</w:t>
            </w:r>
            <w:r w:rsidR="003975FB">
              <w:rPr>
                <w:rFonts w:eastAsia="Times New Roman" w:cs="Calibri"/>
                <w:color w:val="000000"/>
                <w:sz w:val="18"/>
                <w:lang w:val="en-US"/>
              </w:rPr>
              <w:t>.</w:t>
            </w:r>
            <w:r w:rsidRPr="00D04B40">
              <w:rPr>
                <w:rFonts w:eastAsia="Times New Roman" w:cs="Calibri"/>
                <w:color w:val="000000"/>
                <w:sz w:val="18"/>
                <w:lang w:val="en-US"/>
              </w:rPr>
              <w:t>147</w:t>
            </w:r>
          </w:p>
        </w:tc>
        <w:tc>
          <w:tcPr>
            <w:tcW w:w="916" w:type="pct"/>
            <w:tcBorders>
              <w:left w:val="nil"/>
            </w:tcBorders>
            <w:shd w:val="clear" w:color="auto" w:fill="BFBFBF" w:themeFill="background1" w:themeFillShade="BF"/>
            <w:noWrap/>
            <w:vAlign w:val="center"/>
            <w:hideMark/>
          </w:tcPr>
          <w:p w:rsidR="00D732B2" w:rsidRPr="00D04B40" w:rsidRDefault="00D732B2" w:rsidP="000806C3">
            <w:pPr>
              <w:jc w:val="right"/>
              <w:rPr>
                <w:rFonts w:eastAsia="Times New Roman" w:cs="Calibri"/>
                <w:color w:val="000000"/>
                <w:sz w:val="18"/>
                <w:lang w:val="en-US"/>
              </w:rPr>
            </w:pPr>
            <w:r w:rsidRPr="00D04B40">
              <w:rPr>
                <w:rFonts w:eastAsia="Times New Roman" w:cs="Calibri"/>
                <w:color w:val="000000"/>
                <w:sz w:val="18"/>
                <w:lang w:val="en-US"/>
              </w:rPr>
              <w:t>100</w:t>
            </w:r>
          </w:p>
        </w:tc>
      </w:tr>
    </w:tbl>
    <w:p w:rsidR="0026469A" w:rsidRPr="00AC25CE" w:rsidRDefault="00AC25CE" w:rsidP="00AC25CE">
      <w:pPr>
        <w:jc w:val="center"/>
        <w:rPr>
          <w:i/>
          <w:iCs/>
          <w:color w:val="000000" w:themeColor="text1"/>
          <w:sz w:val="18"/>
        </w:rPr>
      </w:pPr>
      <w:r>
        <w:rPr>
          <w:i/>
          <w:iCs/>
          <w:color w:val="000000" w:themeColor="text1"/>
          <w:sz w:val="18"/>
        </w:rPr>
        <w:t xml:space="preserve">                                                                Извор: Црногорска привреда</w:t>
      </w:r>
      <w:r w:rsidR="00D732B2" w:rsidRPr="006A529A">
        <w:rPr>
          <w:i/>
          <w:iCs/>
          <w:color w:val="000000" w:themeColor="text1"/>
          <w:sz w:val="18"/>
        </w:rPr>
        <w:t xml:space="preserve"> 2020, </w:t>
      </w:r>
      <w:r>
        <w:rPr>
          <w:i/>
          <w:iCs/>
          <w:color w:val="000000" w:themeColor="text1"/>
          <w:sz w:val="18"/>
        </w:rPr>
        <w:t>Привредна Комора Црне Горе</w:t>
      </w:r>
    </w:p>
    <w:p w:rsidR="00CE426E" w:rsidRDefault="00CE426E" w:rsidP="000806C3">
      <w:pPr>
        <w:jc w:val="both"/>
        <w:rPr>
          <w:rFonts w:cs="Arial"/>
          <w:color w:val="000000" w:themeColor="text1"/>
          <w:sz w:val="22"/>
          <w:szCs w:val="22"/>
        </w:rPr>
      </w:pPr>
      <w:r w:rsidRPr="00CE426E">
        <w:rPr>
          <w:rFonts w:cs="Arial"/>
          <w:color w:val="000000" w:themeColor="text1"/>
          <w:sz w:val="22"/>
          <w:szCs w:val="22"/>
        </w:rPr>
        <w:t xml:space="preserve">Узимајући у обзир ресурсе којима општина Беране располаже, постоји велики простор у домену запошљавања у сектору пољопривреде. Свега 1,6% укупног броја запослених у привредним субјектима ради у сектору пољопривреде, шумарства и рибарства. Такође, свега 0,4% запослених у привредним субјектима ради </w:t>
      </w:r>
      <w:r>
        <w:rPr>
          <w:rFonts w:cs="Arial"/>
          <w:color w:val="000000" w:themeColor="text1"/>
          <w:sz w:val="22"/>
          <w:szCs w:val="22"/>
        </w:rPr>
        <w:t>ICT сектору</w:t>
      </w:r>
      <w:r w:rsidR="00D732B2" w:rsidRPr="006A529A">
        <w:rPr>
          <w:rFonts w:cs="Arial"/>
          <w:color w:val="000000" w:themeColor="text1"/>
          <w:sz w:val="22"/>
          <w:szCs w:val="22"/>
        </w:rPr>
        <w:t xml:space="preserve"> (2017</w:t>
      </w:r>
      <w:r w:rsidR="00D732B2" w:rsidRPr="006A529A">
        <w:rPr>
          <w:rStyle w:val="FootnoteReference"/>
          <w:rFonts w:cs="Arial"/>
          <w:color w:val="000000" w:themeColor="text1"/>
          <w:sz w:val="22"/>
          <w:szCs w:val="22"/>
        </w:rPr>
        <w:footnoteReference w:id="13"/>
      </w:r>
      <w:r w:rsidR="00D732B2" w:rsidRPr="006A529A">
        <w:rPr>
          <w:rFonts w:cs="Arial"/>
          <w:color w:val="000000" w:themeColor="text1"/>
          <w:sz w:val="22"/>
          <w:szCs w:val="22"/>
        </w:rPr>
        <w:t>)</w:t>
      </w:r>
      <w:r w:rsidR="0026469A" w:rsidRPr="006A529A">
        <w:rPr>
          <w:rFonts w:cs="Arial"/>
          <w:color w:val="000000" w:themeColor="text1"/>
          <w:sz w:val="22"/>
          <w:szCs w:val="22"/>
        </w:rPr>
        <w:t xml:space="preserve">, </w:t>
      </w:r>
      <w:r w:rsidRPr="00CE426E">
        <w:rPr>
          <w:rFonts w:cs="Arial"/>
          <w:color w:val="000000" w:themeColor="text1"/>
          <w:sz w:val="22"/>
          <w:szCs w:val="22"/>
        </w:rPr>
        <w:t>što ukazuje na potrebu dodatnog promovisanja poslova u ovoj oblasti čiji razvoj može doprinijeti rješavanju problema sa kojima se susrijeće tržište rada Berane.</w:t>
      </w:r>
    </w:p>
    <w:p w:rsidR="00AC25CE" w:rsidRPr="00AC25CE" w:rsidRDefault="00AC25CE" w:rsidP="000806C3">
      <w:pPr>
        <w:jc w:val="both"/>
        <w:rPr>
          <w:rFonts w:cs="Arial"/>
          <w:color w:val="000000" w:themeColor="text1"/>
          <w:sz w:val="22"/>
          <w:szCs w:val="22"/>
        </w:rPr>
      </w:pPr>
    </w:p>
    <w:p w:rsidR="000A4DC0" w:rsidRPr="00AC25CE" w:rsidRDefault="003E7382" w:rsidP="000806C3">
      <w:pPr>
        <w:jc w:val="both"/>
        <w:rPr>
          <w:color w:val="000000" w:themeColor="text1"/>
          <w:szCs w:val="20"/>
        </w:rPr>
      </w:pPr>
      <w:r>
        <w:rPr>
          <w:color w:val="000000" w:themeColor="text1"/>
          <w:szCs w:val="20"/>
        </w:rPr>
        <w:t>График</w:t>
      </w:r>
      <w:r w:rsidR="00235E36">
        <w:rPr>
          <w:color w:val="000000" w:themeColor="text1"/>
          <w:szCs w:val="20"/>
        </w:rPr>
        <w:t xml:space="preserve"> 7</w:t>
      </w:r>
      <w:r w:rsidR="00F36F4A" w:rsidRPr="006A529A">
        <w:rPr>
          <w:color w:val="000000" w:themeColor="text1"/>
          <w:szCs w:val="20"/>
        </w:rPr>
        <w:t xml:space="preserve">: </w:t>
      </w:r>
      <w:r w:rsidRPr="003E7382">
        <w:rPr>
          <w:color w:val="000000" w:themeColor="text1"/>
          <w:szCs w:val="20"/>
        </w:rPr>
        <w:t>Број пензионера и број запослених у општини Беране</w:t>
      </w:r>
      <w:r w:rsidR="00F36F4A" w:rsidRPr="006A529A">
        <w:rPr>
          <w:color w:val="000000" w:themeColor="text1"/>
          <w:szCs w:val="20"/>
        </w:rPr>
        <w:t>, 2011-2019</w:t>
      </w:r>
      <w:r w:rsidR="0026469A" w:rsidRPr="006A529A">
        <w:rPr>
          <w:color w:val="000000" w:themeColor="text1"/>
          <w:szCs w:val="20"/>
        </w:rPr>
        <w:t>.</w:t>
      </w:r>
    </w:p>
    <w:p w:rsidR="000A4DC0" w:rsidRDefault="000A4DC0" w:rsidP="000A4DC0">
      <w:pPr>
        <w:jc w:val="center"/>
        <w:rPr>
          <w:color w:val="000000" w:themeColor="text1"/>
          <w:szCs w:val="20"/>
        </w:rPr>
      </w:pPr>
      <w:r>
        <w:rPr>
          <w:noProof/>
          <w:lang w:val="en-US"/>
        </w:rPr>
        <w:drawing>
          <wp:inline distT="0" distB="0" distL="0" distR="0">
            <wp:extent cx="5403215" cy="1512916"/>
            <wp:effectExtent l="0" t="0" r="6985" b="11430"/>
            <wp:docPr id="18" name="Grafikon 1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D03BAD5-1073-42CA-8B8F-A1A34B66D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C50CB" w:rsidRPr="00D04B40" w:rsidRDefault="003E7382" w:rsidP="000806C3">
      <w:pPr>
        <w:ind w:left="6372"/>
        <w:jc w:val="both"/>
        <w:rPr>
          <w:rFonts w:cs="Arial"/>
          <w:i/>
          <w:iCs/>
          <w:sz w:val="18"/>
        </w:rPr>
      </w:pPr>
      <w:r>
        <w:rPr>
          <w:rFonts w:cs="Arial"/>
          <w:i/>
          <w:iCs/>
          <w:sz w:val="18"/>
        </w:rPr>
        <w:t>Извор: MONSTAT, Фонд</w:t>
      </w:r>
      <w:r w:rsidR="002C50CB" w:rsidRPr="00135060">
        <w:rPr>
          <w:rFonts w:cs="Arial"/>
          <w:i/>
          <w:iCs/>
          <w:sz w:val="18"/>
        </w:rPr>
        <w:t xml:space="preserve"> PIO</w:t>
      </w:r>
    </w:p>
    <w:p w:rsidR="00F83593" w:rsidRDefault="00F83593" w:rsidP="000806C3">
      <w:pPr>
        <w:jc w:val="both"/>
        <w:rPr>
          <w:rFonts w:cs="Arial"/>
          <w:color w:val="000000" w:themeColor="text1"/>
          <w:sz w:val="22"/>
          <w:szCs w:val="22"/>
        </w:rPr>
      </w:pPr>
    </w:p>
    <w:p w:rsidR="0026469A" w:rsidRPr="006A529A" w:rsidRDefault="00CE426E" w:rsidP="000806C3">
      <w:pPr>
        <w:jc w:val="both"/>
        <w:rPr>
          <w:rFonts w:cs="Arial"/>
          <w:color w:val="000000" w:themeColor="text1"/>
          <w:sz w:val="22"/>
          <w:szCs w:val="22"/>
        </w:rPr>
      </w:pPr>
      <w:r w:rsidRPr="00CE426E">
        <w:rPr>
          <w:rFonts w:cs="Arial"/>
          <w:color w:val="000000" w:themeColor="text1"/>
          <w:sz w:val="22"/>
          <w:szCs w:val="22"/>
        </w:rPr>
        <w:lastRenderedPageBreak/>
        <w:t>Додатни показатељ стања на тржишту рада представља однос између броја запослених и броја пензионера. У посматраном периоду 2011-2018. однос између броја запослених и б</w:t>
      </w:r>
      <w:r w:rsidR="00594409">
        <w:rPr>
          <w:rFonts w:cs="Arial"/>
          <w:color w:val="000000" w:themeColor="text1"/>
          <w:sz w:val="22"/>
          <w:szCs w:val="22"/>
        </w:rPr>
        <w:t>роја пензионера се погоршавао гдј</w:t>
      </w:r>
      <w:r w:rsidRPr="00CE426E">
        <w:rPr>
          <w:rFonts w:cs="Arial"/>
          <w:color w:val="000000" w:themeColor="text1"/>
          <w:sz w:val="22"/>
          <w:szCs w:val="22"/>
        </w:rPr>
        <w:t xml:space="preserve">е је забиљежено смањење овог показатеља са 0,93 колико је износио 2011. на 0,90 у 2018. Усљед раста запослених и благог пада броја пензионера у 2019. години овај индикатор је био на нешто већем нивоу (1,0), када је број пензионера био незнатно </w:t>
      </w:r>
      <w:r>
        <w:rPr>
          <w:rFonts w:cs="Arial"/>
          <w:color w:val="000000" w:themeColor="text1"/>
          <w:sz w:val="22"/>
          <w:szCs w:val="22"/>
        </w:rPr>
        <w:t>мањи од броја запослених</w:t>
      </w:r>
      <w:r w:rsidR="000312B1" w:rsidRPr="006A529A">
        <w:rPr>
          <w:rFonts w:cs="Arial"/>
          <w:color w:val="000000" w:themeColor="text1"/>
          <w:sz w:val="22"/>
          <w:szCs w:val="22"/>
        </w:rPr>
        <w:t xml:space="preserve">. </w:t>
      </w:r>
    </w:p>
    <w:p w:rsidR="0026469A" w:rsidRDefault="0026469A" w:rsidP="000806C3">
      <w:pPr>
        <w:ind w:left="6372"/>
        <w:jc w:val="both"/>
        <w:rPr>
          <w:rFonts w:cs="Arial"/>
          <w:i/>
          <w:iCs/>
          <w:szCs w:val="20"/>
        </w:rPr>
      </w:pPr>
    </w:p>
    <w:p w:rsidR="00A01B40" w:rsidRPr="00CE426E" w:rsidRDefault="00C058B9" w:rsidP="000806C3">
      <w:pPr>
        <w:pStyle w:val="Heading3"/>
        <w:spacing w:before="0"/>
      </w:pPr>
      <w:r w:rsidRPr="006A529A">
        <w:t xml:space="preserve">3.1.2 </w:t>
      </w:r>
      <w:r w:rsidR="00CE426E">
        <w:t>Просјечна зарада</w:t>
      </w:r>
    </w:p>
    <w:p w:rsidR="00266F07" w:rsidRPr="006A529A" w:rsidRDefault="00266F07" w:rsidP="000806C3">
      <w:pPr>
        <w:jc w:val="both"/>
        <w:rPr>
          <w:sz w:val="22"/>
          <w:szCs w:val="22"/>
        </w:rPr>
      </w:pPr>
    </w:p>
    <w:p w:rsidR="00D04B40" w:rsidRDefault="00CE426E" w:rsidP="000806C3">
      <w:pPr>
        <w:jc w:val="both"/>
        <w:rPr>
          <w:sz w:val="22"/>
          <w:szCs w:val="22"/>
        </w:rPr>
      </w:pPr>
      <w:r w:rsidRPr="00CE426E">
        <w:rPr>
          <w:sz w:val="22"/>
          <w:szCs w:val="22"/>
        </w:rPr>
        <w:t>У периоду од 2011. до 2019. године, нето зараде су биљежиле раст.  У односу на 2011. годину нето зараде су биле веће за 21,8% (зараде су повећане са 386 ЕУР у 2011. на 470 ЕУР у 2019.). На кретање зарада је највећим дијел</w:t>
      </w:r>
      <w:r w:rsidR="008F0DF1">
        <w:rPr>
          <w:sz w:val="22"/>
          <w:szCs w:val="22"/>
        </w:rPr>
        <w:t>ом утицало кретање зарада у сек</w:t>
      </w:r>
      <w:r w:rsidRPr="00CE426E">
        <w:rPr>
          <w:sz w:val="22"/>
          <w:szCs w:val="22"/>
        </w:rPr>
        <w:t>т</w:t>
      </w:r>
      <w:r w:rsidR="008F0DF1">
        <w:rPr>
          <w:sz w:val="22"/>
          <w:szCs w:val="22"/>
        </w:rPr>
        <w:t>о</w:t>
      </w:r>
      <w:r w:rsidRPr="00CE426E">
        <w:rPr>
          <w:sz w:val="22"/>
          <w:szCs w:val="22"/>
        </w:rPr>
        <w:t>ру трговине и шумарству и дрвопреради будући да трећина запослених у привредним су</w:t>
      </w:r>
      <w:r w:rsidR="008F0DF1">
        <w:rPr>
          <w:sz w:val="22"/>
          <w:szCs w:val="22"/>
        </w:rPr>
        <w:t>бјектима ради у овим секторима дј</w:t>
      </w:r>
      <w:r w:rsidRPr="00CE426E">
        <w:rPr>
          <w:sz w:val="22"/>
          <w:szCs w:val="22"/>
        </w:rPr>
        <w:t>елатности, а у којим су истовремено мање плаћена занимања у односу на друга (енергетски сектор</w:t>
      </w:r>
      <w:r>
        <w:rPr>
          <w:sz w:val="22"/>
          <w:szCs w:val="22"/>
        </w:rPr>
        <w:t xml:space="preserve">, </w:t>
      </w:r>
      <w:r w:rsidR="00AB3B2A" w:rsidRPr="006A529A">
        <w:rPr>
          <w:sz w:val="22"/>
          <w:szCs w:val="22"/>
        </w:rPr>
        <w:t xml:space="preserve">ICT, </w:t>
      </w:r>
      <w:r>
        <w:rPr>
          <w:sz w:val="22"/>
          <w:szCs w:val="22"/>
        </w:rPr>
        <w:t>финансијски сектор ит</w:t>
      </w:r>
      <w:r w:rsidR="008F0DF1">
        <w:rPr>
          <w:sz w:val="22"/>
          <w:szCs w:val="22"/>
        </w:rPr>
        <w:t>д.) гдј</w:t>
      </w:r>
      <w:r w:rsidRPr="00CE426E">
        <w:rPr>
          <w:sz w:val="22"/>
          <w:szCs w:val="22"/>
        </w:rPr>
        <w:t>е је мање запослених у општини Беране.</w:t>
      </w:r>
    </w:p>
    <w:p w:rsidR="00CE426E" w:rsidRPr="00CE426E" w:rsidRDefault="00CE426E" w:rsidP="000806C3">
      <w:pPr>
        <w:jc w:val="both"/>
        <w:rPr>
          <w:sz w:val="22"/>
          <w:szCs w:val="22"/>
        </w:rPr>
      </w:pPr>
    </w:p>
    <w:p w:rsidR="00D04B40" w:rsidRDefault="00CE426E" w:rsidP="000806C3">
      <w:pPr>
        <w:jc w:val="both"/>
        <w:rPr>
          <w:sz w:val="22"/>
          <w:szCs w:val="22"/>
        </w:rPr>
      </w:pPr>
      <w:r w:rsidRPr="00CE426E">
        <w:rPr>
          <w:sz w:val="22"/>
          <w:szCs w:val="22"/>
        </w:rPr>
        <w:t>Додатно, просјечна нето зарада у Беранама је 2019. представљала 91,3% просјечне зараде у Црној Гори, што је слично нивоу из 2018. Међутим, у односу на 2016. годину однос између просјечне зараде у Беранама и националног просјека је био мањи за 2,3 процентна поена у 2019. години. Оваква кретања зарада представљају додатни изазов локалног тржишта рада.</w:t>
      </w:r>
    </w:p>
    <w:p w:rsidR="00CE426E" w:rsidRPr="00CE426E" w:rsidRDefault="00CE426E" w:rsidP="000806C3">
      <w:pPr>
        <w:jc w:val="both"/>
        <w:rPr>
          <w:sz w:val="22"/>
          <w:szCs w:val="22"/>
        </w:rPr>
      </w:pPr>
    </w:p>
    <w:p w:rsidR="00F83593" w:rsidRPr="008B0A04" w:rsidRDefault="008766DA" w:rsidP="008B0A04">
      <w:pPr>
        <w:jc w:val="both"/>
        <w:rPr>
          <w:rFonts w:cs="Arial"/>
        </w:rPr>
      </w:pPr>
      <w:r w:rsidRPr="008766DA">
        <w:rPr>
          <w:sz w:val="22"/>
          <w:szCs w:val="22"/>
        </w:rPr>
        <w:t>Процјена платног фонда</w:t>
      </w:r>
      <w:r>
        <w:rPr>
          <w:sz w:val="22"/>
          <w:szCs w:val="22"/>
        </w:rPr>
        <w:t xml:space="preserve"> </w:t>
      </w:r>
      <w:r w:rsidR="000312B1" w:rsidRPr="006A529A">
        <w:rPr>
          <w:sz w:val="22"/>
          <w:szCs w:val="22"/>
        </w:rPr>
        <w:t>per</w:t>
      </w:r>
      <w:r w:rsidRPr="008766DA">
        <w:rPr>
          <w:sz w:val="22"/>
          <w:szCs w:val="22"/>
        </w:rPr>
        <w:t xml:space="preserve"> </w:t>
      </w:r>
      <w:r w:rsidRPr="006A529A">
        <w:rPr>
          <w:sz w:val="22"/>
          <w:szCs w:val="22"/>
        </w:rPr>
        <w:t>capita</w:t>
      </w:r>
      <w:r>
        <w:rPr>
          <w:sz w:val="22"/>
          <w:szCs w:val="22"/>
        </w:rPr>
        <w:t xml:space="preserve"> </w:t>
      </w:r>
      <w:r w:rsidRPr="008766DA">
        <w:rPr>
          <w:sz w:val="22"/>
          <w:szCs w:val="22"/>
        </w:rPr>
        <w:t xml:space="preserve">била је 79,9 ЕУР у 2018. години што је био номинални раст од 43,4% у 2018. у односу на 2011. годину. Раст платног фонда је генерисан са једне стране растом броја запослених и растом зарада у посматраном периоду и смањењем </w:t>
      </w:r>
      <w:r>
        <w:rPr>
          <w:sz w:val="22"/>
          <w:szCs w:val="22"/>
        </w:rPr>
        <w:t>броја становника са друге стран</w:t>
      </w:r>
      <w:r w:rsidR="00953238" w:rsidRPr="006A529A">
        <w:rPr>
          <w:sz w:val="22"/>
          <w:szCs w:val="22"/>
        </w:rPr>
        <w:t>e</w:t>
      </w:r>
      <w:r w:rsidR="00953238" w:rsidRPr="006A529A">
        <w:rPr>
          <w:rStyle w:val="FootnoteReference"/>
          <w:sz w:val="22"/>
          <w:szCs w:val="22"/>
        </w:rPr>
        <w:footnoteReference w:id="14"/>
      </w:r>
      <w:r w:rsidR="00953238" w:rsidRPr="006A529A">
        <w:rPr>
          <w:sz w:val="22"/>
          <w:szCs w:val="22"/>
        </w:rPr>
        <w:t xml:space="preserve">. </w:t>
      </w:r>
      <w:r w:rsidR="00F7360E">
        <w:rPr>
          <w:sz w:val="22"/>
          <w:szCs w:val="22"/>
        </w:rPr>
        <w:t xml:space="preserve"> </w:t>
      </w:r>
      <w:r w:rsidRPr="008766DA">
        <w:rPr>
          <w:sz w:val="22"/>
          <w:szCs w:val="22"/>
        </w:rPr>
        <w:t>Међутим, платни фонд</w:t>
      </w:r>
      <w:r>
        <w:rPr>
          <w:sz w:val="22"/>
          <w:szCs w:val="22"/>
        </w:rPr>
        <w:t xml:space="preserve"> </w:t>
      </w:r>
      <w:r w:rsidR="000312B1" w:rsidRPr="006A529A">
        <w:rPr>
          <w:sz w:val="22"/>
          <w:szCs w:val="22"/>
        </w:rPr>
        <w:t xml:space="preserve">per capita </w:t>
      </w:r>
      <w:bookmarkStart w:id="25" w:name="_Toc44873763"/>
      <w:bookmarkStart w:id="26" w:name="_Toc52644729"/>
      <w:r w:rsidRPr="008766DA">
        <w:rPr>
          <w:sz w:val="22"/>
          <w:szCs w:val="22"/>
        </w:rPr>
        <w:t>општине Беране представља 51,2% просјека Црне Горе који је у 2018. износио 156,1 ЕУР.</w:t>
      </w:r>
      <w:r w:rsidR="00F83593">
        <w:rPr>
          <w:rFonts w:cs="Arial"/>
        </w:rPr>
        <w:br w:type="page"/>
      </w:r>
    </w:p>
    <w:p w:rsidR="00142033" w:rsidRPr="006A529A" w:rsidRDefault="0045461F" w:rsidP="000806C3">
      <w:pPr>
        <w:pStyle w:val="Heading2"/>
        <w:spacing w:before="0"/>
        <w:rPr>
          <w:rFonts w:cs="Arial"/>
        </w:rPr>
      </w:pPr>
      <w:bookmarkStart w:id="27" w:name="_Toc74296644"/>
      <w:r w:rsidRPr="006A529A">
        <w:rPr>
          <w:rFonts w:cs="Arial"/>
        </w:rPr>
        <w:lastRenderedPageBreak/>
        <w:t>3.</w:t>
      </w:r>
      <w:r w:rsidR="00BC319B" w:rsidRPr="006A529A">
        <w:rPr>
          <w:rFonts w:cs="Arial"/>
        </w:rPr>
        <w:t>2</w:t>
      </w:r>
      <w:r w:rsidRPr="006A529A">
        <w:rPr>
          <w:rFonts w:cs="Arial"/>
        </w:rPr>
        <w:t xml:space="preserve"> </w:t>
      </w:r>
      <w:r w:rsidR="008766DA">
        <w:rPr>
          <w:rFonts w:cs="Arial"/>
        </w:rPr>
        <w:t>Незапосленост</w:t>
      </w:r>
      <w:r w:rsidR="00BD67E4" w:rsidRPr="00D04B40">
        <w:rPr>
          <w:b w:val="0"/>
          <w:bCs/>
          <w:color w:val="auto"/>
          <w:sz w:val="20"/>
          <w:szCs w:val="20"/>
          <w:vertAlign w:val="superscript"/>
        </w:rPr>
        <w:footnoteReference w:id="15"/>
      </w:r>
      <w:bookmarkEnd w:id="25"/>
      <w:bookmarkEnd w:id="26"/>
      <w:bookmarkEnd w:id="27"/>
    </w:p>
    <w:p w:rsidR="00BF0C19" w:rsidRPr="006A529A" w:rsidRDefault="00BF0C19" w:rsidP="000806C3">
      <w:pPr>
        <w:jc w:val="both"/>
        <w:rPr>
          <w:rFonts w:cs="Arial"/>
          <w:sz w:val="22"/>
          <w:szCs w:val="22"/>
        </w:rPr>
      </w:pPr>
    </w:p>
    <w:p w:rsidR="00135060" w:rsidRDefault="008766DA" w:rsidP="000806C3">
      <w:pPr>
        <w:jc w:val="both"/>
        <w:rPr>
          <w:rFonts w:cs="Arial"/>
          <w:sz w:val="22"/>
          <w:szCs w:val="22"/>
        </w:rPr>
      </w:pPr>
      <w:r w:rsidRPr="008766DA">
        <w:rPr>
          <w:rFonts w:cs="Arial"/>
          <w:sz w:val="22"/>
          <w:szCs w:val="22"/>
        </w:rPr>
        <w:t>У периоду од 2011. до 2017. године је забиљежен значајан раст броја незапослених у општини Беране. Регистрована незапосленост се повећала 3,7 пута. Висока раст регистроване незапослености у овом периоду се може објаснити и</w:t>
      </w:r>
      <w:r w:rsidR="008F0DF1">
        <w:rPr>
          <w:rFonts w:cs="Arial"/>
          <w:sz w:val="22"/>
          <w:szCs w:val="22"/>
        </w:rPr>
        <w:t>змјенама Закона о социјалној и дј</w:t>
      </w:r>
      <w:r w:rsidRPr="008766DA">
        <w:rPr>
          <w:rFonts w:cs="Arial"/>
          <w:sz w:val="22"/>
          <w:szCs w:val="22"/>
        </w:rPr>
        <w:t>еч</w:t>
      </w:r>
      <w:r w:rsidR="008F0DF1">
        <w:rPr>
          <w:rFonts w:cs="Arial"/>
          <w:sz w:val="22"/>
          <w:szCs w:val="22"/>
        </w:rPr>
        <w:t>и</w:t>
      </w:r>
      <w:r w:rsidRPr="008766DA">
        <w:rPr>
          <w:rFonts w:cs="Arial"/>
          <w:sz w:val="22"/>
          <w:szCs w:val="22"/>
        </w:rPr>
        <w:t>јој заштити 2016. године ко</w:t>
      </w:r>
      <w:r w:rsidR="008F0DF1">
        <w:rPr>
          <w:rFonts w:cs="Arial"/>
          <w:sz w:val="22"/>
          <w:szCs w:val="22"/>
        </w:rPr>
        <w:t>јим је мајкама са троје и више дј</w:t>
      </w:r>
      <w:r w:rsidRPr="008766DA">
        <w:rPr>
          <w:rFonts w:cs="Arial"/>
          <w:sz w:val="22"/>
          <w:szCs w:val="22"/>
        </w:rPr>
        <w:t>еце омогућен</w:t>
      </w:r>
      <w:r w:rsidR="008F0DF1">
        <w:rPr>
          <w:rFonts w:cs="Arial"/>
          <w:sz w:val="22"/>
          <w:szCs w:val="22"/>
        </w:rPr>
        <w:t>о право на доживотну накнаду, гдј</w:t>
      </w:r>
      <w:r w:rsidRPr="008766DA">
        <w:rPr>
          <w:rFonts w:cs="Arial"/>
          <w:sz w:val="22"/>
          <w:szCs w:val="22"/>
        </w:rPr>
        <w:t>е је један од услова за добијање накнаде регистровање у евиденцији незапослених. У анализираном периоду, број незапослених жена је порастао са 769 на 3.632 или 4,7 пута, тако да су измјене законске регулативе значајно утицале на раст незапослености. Међутим, током 2018. и 2019. број незапослених се смањио у односу на 2017. годину (-29,9% и -33,1%, респективно).</w:t>
      </w:r>
    </w:p>
    <w:p w:rsidR="008766DA" w:rsidRPr="008766DA" w:rsidRDefault="008766DA" w:rsidP="000806C3">
      <w:pPr>
        <w:jc w:val="both"/>
        <w:rPr>
          <w:sz w:val="22"/>
          <w:szCs w:val="20"/>
        </w:rPr>
      </w:pPr>
    </w:p>
    <w:p w:rsidR="003E5E9C" w:rsidRDefault="008766DA" w:rsidP="000806C3">
      <w:pPr>
        <w:jc w:val="both"/>
        <w:rPr>
          <w:sz w:val="22"/>
          <w:szCs w:val="20"/>
        </w:rPr>
      </w:pPr>
      <w:r w:rsidRPr="008766DA">
        <w:rPr>
          <w:sz w:val="22"/>
          <w:szCs w:val="20"/>
        </w:rPr>
        <w:t>Због неповољних кретања на тржишту рада усљед пандемије корона вируса која је утицала на смањење економске активности и тешкоће у пословању великог броја предузећа, број незапослених је повећан. На крају другог квартала 2020. регистрована незапосленост је била на нивоу од 4.473 што је за 161 или 3,7% више у односу на крај 2019. године.</w:t>
      </w:r>
    </w:p>
    <w:p w:rsidR="008766DA" w:rsidRPr="008766DA" w:rsidRDefault="008766DA" w:rsidP="000806C3">
      <w:pPr>
        <w:jc w:val="both"/>
        <w:rPr>
          <w:rFonts w:cs="Arial"/>
          <w:sz w:val="22"/>
          <w:szCs w:val="22"/>
        </w:rPr>
      </w:pPr>
    </w:p>
    <w:p w:rsidR="003E5E9C" w:rsidRDefault="00991A1C" w:rsidP="00B80901">
      <w:pPr>
        <w:rPr>
          <w:rFonts w:cs="Arial"/>
          <w:szCs w:val="20"/>
        </w:rPr>
      </w:pPr>
      <w:r>
        <w:rPr>
          <w:rFonts w:cs="Arial"/>
          <w:szCs w:val="20"/>
        </w:rPr>
        <w:t>Grafik</w:t>
      </w:r>
      <w:r w:rsidR="00235E36">
        <w:rPr>
          <w:rFonts w:cs="Arial"/>
          <w:szCs w:val="20"/>
        </w:rPr>
        <w:t xml:space="preserve"> 8</w:t>
      </w:r>
      <w:r w:rsidR="003E5E9C" w:rsidRPr="006A529A">
        <w:rPr>
          <w:rFonts w:cs="Arial"/>
          <w:szCs w:val="20"/>
        </w:rPr>
        <w:t xml:space="preserve">: </w:t>
      </w:r>
      <w:r w:rsidRPr="00991A1C">
        <w:rPr>
          <w:rFonts w:cs="Arial"/>
          <w:szCs w:val="20"/>
        </w:rPr>
        <w:t>Број незапослених лица</w:t>
      </w:r>
      <w:r w:rsidR="003E5E9C" w:rsidRPr="006A529A">
        <w:rPr>
          <w:rFonts w:cs="Arial"/>
          <w:szCs w:val="20"/>
        </w:rPr>
        <w:t xml:space="preserve">, 2011- VI 2020. </w:t>
      </w:r>
    </w:p>
    <w:p w:rsidR="00E0199F" w:rsidRPr="006A529A" w:rsidRDefault="00E0199F" w:rsidP="00B80901">
      <w:pPr>
        <w:rPr>
          <w:rFonts w:cs="Arial"/>
          <w:szCs w:val="20"/>
        </w:rPr>
      </w:pPr>
    </w:p>
    <w:p w:rsidR="00B87F88" w:rsidRPr="006A529A" w:rsidRDefault="000A4DC0" w:rsidP="000806C3">
      <w:pPr>
        <w:jc w:val="center"/>
        <w:rPr>
          <w:rFonts w:cs="Arial"/>
          <w:szCs w:val="20"/>
        </w:rPr>
      </w:pPr>
      <w:r>
        <w:rPr>
          <w:noProof/>
          <w:lang w:val="en-US"/>
        </w:rPr>
        <w:drawing>
          <wp:inline distT="0" distB="0" distL="0" distR="0">
            <wp:extent cx="5053330" cy="1862051"/>
            <wp:effectExtent l="0" t="0" r="13970" b="5080"/>
            <wp:docPr id="19" name="Grafikon 1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A68256AD-8909-4D4F-A7F6-959EB13E69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35060" w:rsidRPr="00991A1C" w:rsidRDefault="00991A1C" w:rsidP="000806C3">
      <w:pPr>
        <w:jc w:val="both"/>
        <w:rPr>
          <w:color w:val="000000" w:themeColor="text1"/>
          <w:sz w:val="22"/>
          <w:szCs w:val="22"/>
        </w:rPr>
      </w:pPr>
      <w:r>
        <w:rPr>
          <w:rFonts w:cs="Arial"/>
          <w:i/>
          <w:sz w:val="18"/>
        </w:rPr>
        <w:t xml:space="preserve">                                                                                      </w:t>
      </w:r>
      <w:r w:rsidRPr="00991A1C">
        <w:rPr>
          <w:rFonts w:cs="Arial"/>
          <w:i/>
          <w:sz w:val="18"/>
        </w:rPr>
        <w:t>Извор: Завод за запошљавање Црне Горе, Извјештај о</w:t>
      </w:r>
      <w:r>
        <w:rPr>
          <w:rFonts w:cs="Arial"/>
          <w:i/>
          <w:sz w:val="18"/>
        </w:rPr>
        <w:t xml:space="preserve"> раду</w:t>
      </w:r>
    </w:p>
    <w:p w:rsidR="00991A1C" w:rsidRDefault="00991A1C" w:rsidP="000806C3">
      <w:pPr>
        <w:jc w:val="both"/>
        <w:rPr>
          <w:color w:val="000000" w:themeColor="text1"/>
          <w:sz w:val="22"/>
          <w:szCs w:val="22"/>
        </w:rPr>
      </w:pPr>
    </w:p>
    <w:p w:rsidR="00473D27" w:rsidRDefault="008766DA" w:rsidP="000806C3">
      <w:pPr>
        <w:jc w:val="both"/>
        <w:rPr>
          <w:color w:val="000000" w:themeColor="text1"/>
          <w:sz w:val="22"/>
          <w:szCs w:val="22"/>
        </w:rPr>
      </w:pPr>
      <w:r w:rsidRPr="008766DA">
        <w:rPr>
          <w:color w:val="000000" w:themeColor="text1"/>
          <w:sz w:val="22"/>
          <w:szCs w:val="22"/>
        </w:rPr>
        <w:t>На крају 2019. регистрована незапосленост је представљала 16,2% укупног броја становника у општини Беране, што је значајно више у односу на Сјеверни регион (11,7%) и у односу на национални ниво (6,1%).</w:t>
      </w:r>
    </w:p>
    <w:p w:rsidR="008766DA" w:rsidRPr="008766DA" w:rsidRDefault="008766DA" w:rsidP="000806C3">
      <w:pPr>
        <w:jc w:val="both"/>
        <w:rPr>
          <w:color w:val="000000" w:themeColor="text1"/>
          <w:sz w:val="22"/>
          <w:szCs w:val="22"/>
        </w:rPr>
      </w:pPr>
    </w:p>
    <w:p w:rsidR="00D35D39" w:rsidRDefault="00D35D39" w:rsidP="008766DA">
      <w:pPr>
        <w:pStyle w:val="Heading3"/>
        <w:spacing w:before="0"/>
      </w:pPr>
      <w:r w:rsidRPr="006A529A">
        <w:t xml:space="preserve">3.2.1 </w:t>
      </w:r>
      <w:r w:rsidR="008766DA" w:rsidRPr="008766DA">
        <w:t>Структурне карактеристике незапослених лица пријављених на Бироу рада Беране</w:t>
      </w:r>
    </w:p>
    <w:p w:rsidR="006664BA" w:rsidRPr="006664BA" w:rsidRDefault="006664BA" w:rsidP="006664BA"/>
    <w:p w:rsidR="003E5E9C" w:rsidRPr="006A529A" w:rsidRDefault="008766DA" w:rsidP="000806C3">
      <w:pPr>
        <w:jc w:val="both"/>
        <w:rPr>
          <w:rFonts w:cs="Arial"/>
          <w:sz w:val="22"/>
          <w:szCs w:val="22"/>
        </w:rPr>
      </w:pPr>
      <w:r w:rsidRPr="008766DA">
        <w:rPr>
          <w:rFonts w:cs="Arial"/>
          <w:sz w:val="22"/>
          <w:szCs w:val="22"/>
        </w:rPr>
        <w:t>У наставку је дата свеобухватна анализа структуре и кретања незапослености у циљу сагледавања овог пр</w:t>
      </w:r>
      <w:r>
        <w:rPr>
          <w:rFonts w:cs="Arial"/>
          <w:sz w:val="22"/>
          <w:szCs w:val="22"/>
        </w:rPr>
        <w:t>облема са различитих становишта</w:t>
      </w:r>
      <w:r w:rsidR="003E5E9C" w:rsidRPr="006A529A">
        <w:rPr>
          <w:rFonts w:cs="Arial"/>
          <w:sz w:val="22"/>
          <w:szCs w:val="22"/>
        </w:rPr>
        <w:t>.</w:t>
      </w:r>
    </w:p>
    <w:p w:rsidR="003E5E9C" w:rsidRPr="006A529A" w:rsidRDefault="003E5E9C" w:rsidP="000806C3">
      <w:pPr>
        <w:jc w:val="both"/>
        <w:rPr>
          <w:rFonts w:cs="Arial"/>
          <w:sz w:val="22"/>
          <w:szCs w:val="22"/>
        </w:rPr>
      </w:pPr>
    </w:p>
    <w:p w:rsidR="00E0199F" w:rsidRDefault="006D5CE5" w:rsidP="000806C3">
      <w:pPr>
        <w:jc w:val="both"/>
        <w:rPr>
          <w:rFonts w:cs="Arial"/>
          <w:iCs/>
          <w:color w:val="000000" w:themeColor="text1"/>
          <w:sz w:val="22"/>
          <w:szCs w:val="22"/>
        </w:rPr>
      </w:pPr>
      <w:r w:rsidRPr="006D5CE5">
        <w:rPr>
          <w:rFonts w:cs="Arial"/>
          <w:b/>
          <w:i/>
          <w:iCs/>
          <w:color w:val="000000" w:themeColor="text1"/>
          <w:sz w:val="22"/>
          <w:szCs w:val="22"/>
        </w:rPr>
        <w:t xml:space="preserve">Незапослене жене. </w:t>
      </w:r>
      <w:r w:rsidRPr="006D5CE5">
        <w:rPr>
          <w:rFonts w:cs="Arial"/>
          <w:iCs/>
          <w:color w:val="000000" w:themeColor="text1"/>
          <w:sz w:val="22"/>
          <w:szCs w:val="22"/>
        </w:rPr>
        <w:t>Након значајног повећања броја незапослених жена у периоду од 2011. до 2017. године (372,3%) због</w:t>
      </w:r>
      <w:r>
        <w:rPr>
          <w:rFonts w:cs="Arial"/>
          <w:iCs/>
          <w:color w:val="000000" w:themeColor="text1"/>
          <w:sz w:val="22"/>
          <w:szCs w:val="22"/>
        </w:rPr>
        <w:t xml:space="preserve"> измјена Закона о социјалној и дј</w:t>
      </w:r>
      <w:r w:rsidRPr="006D5CE5">
        <w:rPr>
          <w:rFonts w:cs="Arial"/>
          <w:iCs/>
          <w:color w:val="000000" w:themeColor="text1"/>
          <w:sz w:val="22"/>
          <w:szCs w:val="22"/>
        </w:rPr>
        <w:t>ечијој заштити, број незапослених жена се смањивао до 2019. године. У односу на 2017. број незапослених жена је у 2019. био мањи за 33,2%. Међутим, незапосленост је порасла током 2020. године, када је на крају другог квартала износила 2.456 или 1,3% више у односу на крај 2019. године. Свакако, незапосленост жена је мање порасла у односу на раст укупне незапослености током 2020. године.</w:t>
      </w:r>
    </w:p>
    <w:p w:rsidR="00F31DA9" w:rsidRDefault="006D5CE5" w:rsidP="000806C3">
      <w:pPr>
        <w:jc w:val="both"/>
        <w:rPr>
          <w:rFonts w:cs="Arial"/>
          <w:iCs/>
          <w:color w:val="000000" w:themeColor="text1"/>
          <w:sz w:val="22"/>
          <w:szCs w:val="22"/>
        </w:rPr>
      </w:pPr>
      <w:r w:rsidRPr="006D5CE5">
        <w:rPr>
          <w:rFonts w:cs="Arial"/>
          <w:iCs/>
          <w:color w:val="000000" w:themeColor="text1"/>
          <w:sz w:val="22"/>
          <w:szCs w:val="22"/>
        </w:rPr>
        <w:t xml:space="preserve">Додатно, током анализираног периода од 2011. до 2020. учешће незапослених жена у укупној незапослености је повећано, што представља додатни изазов за локално тржиште рада и потребу за креирањем програма за ову циљну групу. У односу на 2011. годину када </w:t>
      </w:r>
      <w:r w:rsidRPr="006D5CE5">
        <w:rPr>
          <w:rFonts w:cs="Arial"/>
          <w:iCs/>
          <w:color w:val="000000" w:themeColor="text1"/>
          <w:sz w:val="22"/>
          <w:szCs w:val="22"/>
        </w:rPr>
        <w:lastRenderedPageBreak/>
        <w:t>су жене чиниле 43,7% укупне незапослености, у 2019. години је учешће порасло на 56,2%. Због бржег раста незапослености мушкараца у односу на незапосленост жена током првих шест мјесеци 2020. године, учешће жена у укупној незапослености је смањено на 54,9% или 1,3 процентна поена у односу на 2019. годину.</w:t>
      </w:r>
    </w:p>
    <w:p w:rsidR="006D5CE5" w:rsidRPr="006D5CE5" w:rsidRDefault="006D5CE5" w:rsidP="000806C3">
      <w:pPr>
        <w:jc w:val="both"/>
        <w:rPr>
          <w:rFonts w:cs="Arial"/>
          <w:iCs/>
          <w:color w:val="000000" w:themeColor="text1"/>
          <w:sz w:val="22"/>
          <w:szCs w:val="22"/>
        </w:rPr>
      </w:pPr>
    </w:p>
    <w:p w:rsidR="00E0199F" w:rsidRDefault="006D5CE5" w:rsidP="000806C3">
      <w:pPr>
        <w:jc w:val="both"/>
        <w:rPr>
          <w:rFonts w:cs="Arial"/>
          <w:iCs/>
          <w:color w:val="000000" w:themeColor="text1"/>
          <w:sz w:val="22"/>
          <w:szCs w:val="22"/>
        </w:rPr>
      </w:pPr>
      <w:r w:rsidRPr="006D5CE5">
        <w:rPr>
          <w:rFonts w:cs="Arial"/>
          <w:b/>
          <w:bCs/>
          <w:i/>
          <w:iCs/>
          <w:sz w:val="22"/>
          <w:szCs w:val="22"/>
        </w:rPr>
        <w:t>Образовна структура незапослених лица</w:t>
      </w:r>
      <w:r w:rsidR="00135060">
        <w:rPr>
          <w:rFonts w:cs="Arial"/>
          <w:b/>
          <w:bCs/>
          <w:i/>
          <w:iCs/>
          <w:sz w:val="22"/>
          <w:szCs w:val="22"/>
        </w:rPr>
        <w:t xml:space="preserve">. </w:t>
      </w:r>
      <w:r w:rsidRPr="006D5CE5">
        <w:rPr>
          <w:rFonts w:cs="Arial"/>
          <w:iCs/>
          <w:color w:val="000000" w:themeColor="text1"/>
          <w:sz w:val="22"/>
          <w:szCs w:val="22"/>
        </w:rPr>
        <w:t xml:space="preserve">Са становишта образовне структуре незапослених, највећи проценат чине средњеквалификовани </w:t>
      </w:r>
      <w:r>
        <w:rPr>
          <w:rFonts w:cs="Arial"/>
          <w:iCs/>
          <w:color w:val="000000" w:themeColor="text1"/>
          <w:sz w:val="22"/>
          <w:szCs w:val="22"/>
        </w:rPr>
        <w:t>незапослени</w:t>
      </w:r>
      <w:r w:rsidR="00DC350E" w:rsidRPr="00B80901">
        <w:rPr>
          <w:iCs/>
          <w:color w:val="000000" w:themeColor="text1"/>
          <w:sz w:val="22"/>
          <w:szCs w:val="22"/>
          <w:vertAlign w:val="superscript"/>
        </w:rPr>
        <w:footnoteReference w:id="16"/>
      </w:r>
      <w:r w:rsidR="00DC350E" w:rsidRPr="006A529A">
        <w:rPr>
          <w:rFonts w:cs="Arial"/>
          <w:iCs/>
          <w:color w:val="000000" w:themeColor="text1"/>
          <w:sz w:val="22"/>
          <w:szCs w:val="22"/>
        </w:rPr>
        <w:t xml:space="preserve">. </w:t>
      </w:r>
      <w:r w:rsidRPr="006D5CE5">
        <w:rPr>
          <w:rFonts w:cs="Arial"/>
          <w:iCs/>
          <w:color w:val="000000" w:themeColor="text1"/>
          <w:sz w:val="22"/>
          <w:szCs w:val="22"/>
        </w:rPr>
        <w:t>Током периода од 2011. до 2019. број средњеквалификованих незапослених је порастао са 1.020 на 2.315, односно 127%. Са друге стране, њихово учешће у укупној незапослености је смањено са 58,0% на 53,7% у истом упоредном периоду, усљед већег раста нискоквалификованих и висококвалификованих незапослених.</w:t>
      </w:r>
    </w:p>
    <w:p w:rsidR="006D5CE5" w:rsidRPr="006D5CE5" w:rsidRDefault="006D5CE5" w:rsidP="000806C3">
      <w:pPr>
        <w:jc w:val="both"/>
        <w:rPr>
          <w:rFonts w:cs="Arial"/>
          <w:iCs/>
          <w:color w:val="000000" w:themeColor="text1"/>
          <w:sz w:val="22"/>
          <w:szCs w:val="22"/>
        </w:rPr>
      </w:pPr>
    </w:p>
    <w:p w:rsidR="00B80901" w:rsidRPr="00D17489" w:rsidRDefault="006D5CE5" w:rsidP="000806C3">
      <w:pPr>
        <w:jc w:val="both"/>
        <w:rPr>
          <w:rFonts w:cs="Arial"/>
          <w:iCs/>
          <w:color w:val="000000" w:themeColor="text1"/>
          <w:sz w:val="22"/>
          <w:szCs w:val="22"/>
        </w:rPr>
      </w:pPr>
      <w:r w:rsidRPr="006D5CE5">
        <w:rPr>
          <w:rFonts w:cs="Arial"/>
          <w:iCs/>
          <w:color w:val="000000" w:themeColor="text1"/>
          <w:sz w:val="22"/>
          <w:szCs w:val="22"/>
        </w:rPr>
        <w:t>Број нискоквалификованих незапослених у посматраном периоду је повећан 3,3 пута, док је са друге стране број незапослених са високим образовањем порастао са 271 колико је износио 2011. на 464 у 2019. години. Разлог високог раста нискоквалификованих незапослених се може објаснити већом регистрацијом на евиденцији Бироа рада Беране усљед измјене горе поменуте законске регулативе, што је довело до регистрације већег броја жена које се до тада нијесу налазиле у евиденцији незапослених.</w:t>
      </w:r>
    </w:p>
    <w:p w:rsidR="00E0199F" w:rsidRDefault="00E0199F" w:rsidP="000806C3">
      <w:pPr>
        <w:jc w:val="both"/>
        <w:rPr>
          <w:rFonts w:cs="Arial"/>
          <w:iCs/>
          <w:color w:val="000000" w:themeColor="text1"/>
          <w:sz w:val="22"/>
          <w:szCs w:val="22"/>
        </w:rPr>
      </w:pPr>
    </w:p>
    <w:p w:rsidR="00E0199F" w:rsidRDefault="00991A1C" w:rsidP="00991A1C">
      <w:pPr>
        <w:rPr>
          <w:rFonts w:cs="Arial"/>
          <w:szCs w:val="20"/>
        </w:rPr>
      </w:pPr>
      <w:r>
        <w:rPr>
          <w:rFonts w:cs="Arial"/>
          <w:szCs w:val="20"/>
        </w:rPr>
        <w:t>Табела</w:t>
      </w:r>
      <w:r w:rsidR="00E0199F" w:rsidRPr="006A529A">
        <w:rPr>
          <w:rFonts w:cs="Arial"/>
          <w:szCs w:val="20"/>
        </w:rPr>
        <w:t xml:space="preserve"> </w:t>
      </w:r>
      <w:r w:rsidR="00135060">
        <w:rPr>
          <w:rFonts w:cs="Arial"/>
          <w:szCs w:val="20"/>
        </w:rPr>
        <w:t>10</w:t>
      </w:r>
      <w:r w:rsidR="00E0199F" w:rsidRPr="006A529A">
        <w:rPr>
          <w:rFonts w:cs="Arial"/>
          <w:szCs w:val="20"/>
        </w:rPr>
        <w:t xml:space="preserve">: </w:t>
      </w:r>
      <w:r w:rsidRPr="00991A1C">
        <w:rPr>
          <w:rFonts w:cs="Arial"/>
          <w:szCs w:val="20"/>
        </w:rPr>
        <w:t>Незапослена лица према степену стручне спреме и полу</w:t>
      </w:r>
    </w:p>
    <w:p w:rsidR="00991A1C" w:rsidRPr="00991A1C" w:rsidRDefault="00991A1C" w:rsidP="00991A1C">
      <w:pPr>
        <w:rPr>
          <w:rFonts w:cs="Arial"/>
          <w:iCs/>
          <w:color w:val="000000" w:themeColor="text1"/>
          <w:sz w:val="22"/>
          <w:szCs w:val="22"/>
        </w:rPr>
      </w:pPr>
    </w:p>
    <w:p w:rsidR="00E0199F" w:rsidRDefault="001C7D02" w:rsidP="00E0199F">
      <w:pPr>
        <w:rPr>
          <w:rFonts w:cs="Arial"/>
          <w:szCs w:val="20"/>
        </w:rPr>
      </w:pPr>
      <w:r w:rsidRPr="001C7D02">
        <w:rPr>
          <w:noProof/>
          <w:lang w:val="en-US"/>
        </w:rPr>
        <w:drawing>
          <wp:inline distT="0" distB="0" distL="0" distR="0">
            <wp:extent cx="5868035" cy="1030778"/>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5894551" cy="1035436"/>
                    </a:xfrm>
                    <a:prstGeom prst="rect">
                      <a:avLst/>
                    </a:prstGeom>
                  </pic:spPr>
                </pic:pic>
              </a:graphicData>
            </a:graphic>
          </wp:inline>
        </w:drawing>
      </w:r>
    </w:p>
    <w:p w:rsidR="00135060" w:rsidRDefault="00991A1C" w:rsidP="00991A1C">
      <w:pPr>
        <w:jc w:val="right"/>
        <w:rPr>
          <w:i/>
          <w:color w:val="000000" w:themeColor="text1"/>
          <w:sz w:val="18"/>
        </w:rPr>
      </w:pPr>
      <w:r>
        <w:rPr>
          <w:i/>
          <w:color w:val="000000" w:themeColor="text1"/>
          <w:sz w:val="18"/>
        </w:rPr>
        <w:t>Извор</w:t>
      </w:r>
      <w:r w:rsidR="00E0199F" w:rsidRPr="00B80901">
        <w:rPr>
          <w:i/>
          <w:color w:val="000000" w:themeColor="text1"/>
          <w:sz w:val="18"/>
        </w:rPr>
        <w:t xml:space="preserve">: </w:t>
      </w:r>
      <w:r w:rsidRPr="00991A1C">
        <w:rPr>
          <w:i/>
          <w:color w:val="000000" w:themeColor="text1"/>
          <w:sz w:val="18"/>
        </w:rPr>
        <w:t>Завод за запошљавање Црне Горе, Извјештаји о раду</w:t>
      </w:r>
    </w:p>
    <w:p w:rsidR="00991A1C" w:rsidRPr="00991A1C" w:rsidRDefault="00991A1C" w:rsidP="00991A1C">
      <w:pPr>
        <w:jc w:val="right"/>
        <w:rPr>
          <w:rFonts w:cs="Arial"/>
          <w:iCs/>
          <w:color w:val="000000" w:themeColor="text1"/>
          <w:sz w:val="22"/>
          <w:szCs w:val="22"/>
        </w:rPr>
      </w:pPr>
    </w:p>
    <w:p w:rsidR="00DC350E" w:rsidRDefault="00865FFD" w:rsidP="000806C3">
      <w:pPr>
        <w:rPr>
          <w:rFonts w:cs="Arial"/>
          <w:iCs/>
          <w:color w:val="000000" w:themeColor="text1"/>
          <w:sz w:val="22"/>
          <w:szCs w:val="22"/>
        </w:rPr>
      </w:pPr>
      <w:r w:rsidRPr="00865FFD">
        <w:rPr>
          <w:rFonts w:cs="Arial"/>
          <w:iCs/>
          <w:color w:val="000000" w:themeColor="text1"/>
          <w:sz w:val="22"/>
          <w:szCs w:val="22"/>
        </w:rPr>
        <w:t>Учешће жена у овој категорији незапослених значајно је порасло у 2017. у односу на 2011. годину (учешће жена у</w:t>
      </w:r>
      <w:r w:rsidR="00D17489">
        <w:rPr>
          <w:rFonts w:cs="Arial"/>
          <w:iCs/>
          <w:color w:val="000000" w:themeColor="text1"/>
          <w:sz w:val="22"/>
          <w:szCs w:val="22"/>
        </w:rPr>
        <w:t xml:space="preserve"> укупном броју незапослених са I и II</w:t>
      </w:r>
      <w:r w:rsidRPr="00865FFD">
        <w:rPr>
          <w:rFonts w:cs="Arial"/>
          <w:iCs/>
          <w:color w:val="000000" w:themeColor="text1"/>
          <w:sz w:val="22"/>
          <w:szCs w:val="22"/>
        </w:rPr>
        <w:t xml:space="preserve"> степеном стручне спреме је у 2011. износило 8,4%, док је тај проценат у 2017. био на нивоу од 24,8%).</w:t>
      </w:r>
    </w:p>
    <w:p w:rsidR="00865FFD" w:rsidRPr="00865FFD" w:rsidRDefault="00865FFD" w:rsidP="000806C3">
      <w:pPr>
        <w:rPr>
          <w:rFonts w:cs="Arial"/>
          <w:szCs w:val="20"/>
        </w:rPr>
      </w:pPr>
    </w:p>
    <w:p w:rsidR="006C796E" w:rsidRPr="006A529A" w:rsidRDefault="00865FFD" w:rsidP="000806C3">
      <w:pPr>
        <w:jc w:val="both"/>
        <w:rPr>
          <w:color w:val="000000" w:themeColor="text1"/>
          <w:sz w:val="22"/>
          <w:szCs w:val="22"/>
        </w:rPr>
      </w:pPr>
      <w:r w:rsidRPr="00865FFD">
        <w:rPr>
          <w:color w:val="000000" w:themeColor="text1"/>
          <w:sz w:val="22"/>
          <w:szCs w:val="22"/>
        </w:rPr>
        <w:t>Са друге стране, у Беранама је забиљежен и раст броја висококвалификованих незапослених у периоду од 2011. до 2019. године (број висококвалификованих незапослених је порастао за 72,2%). Овакви трендови показују да локално тржиште рада не може да апсорбује прилив високообразованих, будући да је највећи број запослених у секторима који запошљавању средњеквалификовану радну снагу (прерађивачка индустрија, трговина, саобраћај и друго). У том случају су потребне додатне мјере и програми запошљавања који су усмјерени на различите и спе</w:t>
      </w:r>
      <w:r>
        <w:rPr>
          <w:color w:val="000000" w:themeColor="text1"/>
          <w:sz w:val="22"/>
          <w:szCs w:val="22"/>
        </w:rPr>
        <w:t>цифичне категорије незапослених</w:t>
      </w:r>
      <w:r w:rsidR="00002A6E" w:rsidRPr="006A529A">
        <w:rPr>
          <w:color w:val="000000" w:themeColor="text1"/>
          <w:sz w:val="22"/>
          <w:szCs w:val="22"/>
        </w:rPr>
        <w:t xml:space="preserve">. </w:t>
      </w:r>
    </w:p>
    <w:p w:rsidR="00B80901" w:rsidRDefault="00865FFD" w:rsidP="000806C3">
      <w:pPr>
        <w:jc w:val="both"/>
        <w:rPr>
          <w:color w:val="000000" w:themeColor="text1"/>
          <w:sz w:val="22"/>
          <w:szCs w:val="22"/>
        </w:rPr>
      </w:pPr>
      <w:r w:rsidRPr="00865FFD">
        <w:rPr>
          <w:color w:val="000000" w:themeColor="text1"/>
          <w:sz w:val="22"/>
          <w:szCs w:val="22"/>
        </w:rPr>
        <w:t>Посматрано по полу и нивоу образовања, жене са средњим нивоом стручне спреме чине 52,9% незапослен</w:t>
      </w:r>
      <w:r w:rsidR="00EA45FD">
        <w:rPr>
          <w:color w:val="000000" w:themeColor="text1"/>
          <w:sz w:val="22"/>
          <w:szCs w:val="22"/>
        </w:rPr>
        <w:t>их жена, док је учешће жена са I и II</w:t>
      </w:r>
      <w:r w:rsidRPr="00865FFD">
        <w:rPr>
          <w:color w:val="000000" w:themeColor="text1"/>
          <w:sz w:val="22"/>
          <w:szCs w:val="22"/>
        </w:rPr>
        <w:t xml:space="preserve"> нивоом образовања у укупном броју незапослених жена 36,8%. Током периода од 2011. до 2019. структура незапослености узимајући у обзир пол и образовање се мијењала у правцу смањења учешћа висококвалификованих жена у укупном броју незапослених, док је порастао број нискоквалификованих и незапослених жена.</w:t>
      </w:r>
    </w:p>
    <w:p w:rsidR="00865FFD" w:rsidRPr="00865FFD" w:rsidRDefault="00865FFD" w:rsidP="000806C3">
      <w:pPr>
        <w:jc w:val="both"/>
        <w:rPr>
          <w:color w:val="000000" w:themeColor="text1"/>
          <w:sz w:val="22"/>
          <w:szCs w:val="22"/>
        </w:rPr>
      </w:pPr>
    </w:p>
    <w:p w:rsidR="00B80901" w:rsidRDefault="00865FFD" w:rsidP="00865FFD">
      <w:pPr>
        <w:jc w:val="both"/>
        <w:rPr>
          <w:color w:val="000000" w:themeColor="text1"/>
          <w:sz w:val="22"/>
          <w:szCs w:val="22"/>
        </w:rPr>
      </w:pPr>
      <w:r w:rsidRPr="00865FFD">
        <w:rPr>
          <w:color w:val="000000" w:themeColor="text1"/>
          <w:sz w:val="22"/>
          <w:szCs w:val="22"/>
        </w:rPr>
        <w:lastRenderedPageBreak/>
        <w:t>Током 2020. криза је у највећем дијелу утицала на раст незапослености код средњеквалификоване радне снаге. Учешће ове категорије незапослених је порасло током првих шест мјесеци 2020. у укупном броју незапослених, док је истовремено регистрован пад броја незапослених високошколаца у односу на крај 2019. године (20,5%).</w:t>
      </w:r>
    </w:p>
    <w:p w:rsidR="00865FFD" w:rsidRPr="00865FFD" w:rsidRDefault="00865FFD" w:rsidP="000806C3">
      <w:pPr>
        <w:jc w:val="both"/>
        <w:rPr>
          <w:rFonts w:cs="Arial"/>
          <w:i/>
          <w:iCs/>
          <w:sz w:val="22"/>
          <w:szCs w:val="22"/>
        </w:rPr>
      </w:pPr>
    </w:p>
    <w:p w:rsidR="00135060" w:rsidRDefault="00865FFD" w:rsidP="00865FFD">
      <w:pPr>
        <w:jc w:val="both"/>
        <w:rPr>
          <w:rFonts w:cs="Arial"/>
          <w:bCs/>
          <w:iCs/>
          <w:sz w:val="22"/>
          <w:szCs w:val="22"/>
        </w:rPr>
      </w:pPr>
      <w:r w:rsidRPr="00865FFD">
        <w:rPr>
          <w:rFonts w:cs="Arial"/>
          <w:b/>
          <w:bCs/>
          <w:i/>
          <w:iCs/>
          <w:sz w:val="22"/>
          <w:szCs w:val="22"/>
        </w:rPr>
        <w:t xml:space="preserve">Дугорочна незапосленост.  </w:t>
      </w:r>
      <w:r w:rsidRPr="00865FFD">
        <w:rPr>
          <w:rFonts w:cs="Arial"/>
          <w:bCs/>
          <w:iCs/>
          <w:sz w:val="22"/>
          <w:szCs w:val="22"/>
        </w:rPr>
        <w:t>Са становишта дужине тражења запослења, током претходне двије године је забиљежен благи раст броја дугорочно незапослених. Учешће незапослених који траже посао дуже од годину дана је 2018. износило 74,3%, док је тај проценат у 2019. био на нивоу од 77,9%. Посматрано по полу, проценат дугорочно незапослених жена је порастао у периоду од 2018. до 2019. за 3,5 процентних поена (са 75,7% на 79,2%, респективно). Такође, незапослене жене чине 57,2% укупног броја дугорочно незапослених, што додатно указује на проблеме локалног тржишта рада и потребе за креирањем мјера како би угрожене категорије ефикасније нашле запослење.</w:t>
      </w:r>
    </w:p>
    <w:p w:rsidR="00865FFD" w:rsidRPr="00865FFD" w:rsidRDefault="00865FFD" w:rsidP="000806C3">
      <w:pPr>
        <w:rPr>
          <w:rFonts w:cs="Arial"/>
          <w:szCs w:val="20"/>
        </w:rPr>
      </w:pPr>
    </w:p>
    <w:p w:rsidR="00B80901" w:rsidRDefault="00F4020D" w:rsidP="000806C3">
      <w:pPr>
        <w:rPr>
          <w:rFonts w:cs="Arial"/>
          <w:szCs w:val="20"/>
        </w:rPr>
      </w:pPr>
      <w:r>
        <w:rPr>
          <w:rFonts w:cs="Arial"/>
          <w:szCs w:val="20"/>
        </w:rPr>
        <w:t>Табела</w:t>
      </w:r>
      <w:r w:rsidR="00E62642" w:rsidRPr="006A529A">
        <w:rPr>
          <w:rFonts w:cs="Arial"/>
          <w:szCs w:val="20"/>
        </w:rPr>
        <w:t xml:space="preserve"> </w:t>
      </w:r>
      <w:r w:rsidR="00135060">
        <w:rPr>
          <w:rFonts w:cs="Arial"/>
          <w:szCs w:val="20"/>
        </w:rPr>
        <w:t>11</w:t>
      </w:r>
      <w:r w:rsidR="001953FF" w:rsidRPr="006A529A">
        <w:rPr>
          <w:rFonts w:cs="Arial"/>
          <w:szCs w:val="20"/>
        </w:rPr>
        <w:t xml:space="preserve">: </w:t>
      </w:r>
      <w:r w:rsidRPr="00F4020D">
        <w:rPr>
          <w:rFonts w:cs="Arial"/>
          <w:szCs w:val="20"/>
        </w:rPr>
        <w:t>Незапослена лица према дужини пријаве на евиденцији Бироа рада</w:t>
      </w:r>
    </w:p>
    <w:p w:rsidR="00F4020D" w:rsidRPr="00F4020D" w:rsidRDefault="00F4020D" w:rsidP="000806C3">
      <w:pPr>
        <w:rPr>
          <w:rFonts w:eastAsia="Cambria" w:cs="Arial"/>
          <w:color w:val="000000" w:themeColor="text1"/>
          <w:kern w:val="24"/>
          <w:szCs w:val="20"/>
        </w:rPr>
      </w:pPr>
    </w:p>
    <w:p w:rsidR="00B80901" w:rsidRDefault="001C7D02" w:rsidP="000806C3">
      <w:pPr>
        <w:rPr>
          <w:rFonts w:eastAsia="Cambria" w:cs="Arial"/>
          <w:color w:val="000000" w:themeColor="text1"/>
          <w:kern w:val="24"/>
          <w:szCs w:val="20"/>
        </w:rPr>
      </w:pPr>
      <w:r w:rsidRPr="001C7D02">
        <w:rPr>
          <w:noProof/>
          <w:lang w:val="en-US"/>
        </w:rPr>
        <w:drawing>
          <wp:inline distT="0" distB="0" distL="0" distR="0">
            <wp:extent cx="5866419" cy="1221971"/>
            <wp:effectExtent l="0" t="0" r="127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5888588" cy="1226589"/>
                    </a:xfrm>
                    <a:prstGeom prst="rect">
                      <a:avLst/>
                    </a:prstGeom>
                  </pic:spPr>
                </pic:pic>
              </a:graphicData>
            </a:graphic>
          </wp:inline>
        </w:drawing>
      </w:r>
    </w:p>
    <w:p w:rsidR="00481821" w:rsidRPr="00235E36" w:rsidRDefault="00F4020D" w:rsidP="000806C3">
      <w:pPr>
        <w:jc w:val="right"/>
        <w:rPr>
          <w:i/>
          <w:color w:val="000000" w:themeColor="text1"/>
          <w:szCs w:val="20"/>
        </w:rPr>
      </w:pPr>
      <w:r w:rsidRPr="00F4020D">
        <w:rPr>
          <w:i/>
          <w:color w:val="000000" w:themeColor="text1"/>
          <w:sz w:val="18"/>
        </w:rPr>
        <w:t>Извор: Завод за запошљава</w:t>
      </w:r>
      <w:r>
        <w:rPr>
          <w:i/>
          <w:color w:val="000000" w:themeColor="text1"/>
          <w:sz w:val="18"/>
        </w:rPr>
        <w:t>ње Црне Горе, Извјештаји о раду</w:t>
      </w:r>
      <w:r w:rsidR="00481821" w:rsidRPr="00B80901">
        <w:rPr>
          <w:i/>
          <w:color w:val="000000" w:themeColor="text1"/>
          <w:sz w:val="18"/>
        </w:rPr>
        <w:t xml:space="preserve"> </w:t>
      </w:r>
    </w:p>
    <w:p w:rsidR="00F83593" w:rsidRDefault="00F83593" w:rsidP="000806C3">
      <w:pPr>
        <w:jc w:val="both"/>
        <w:rPr>
          <w:color w:val="000000" w:themeColor="text1"/>
          <w:sz w:val="22"/>
          <w:szCs w:val="22"/>
        </w:rPr>
      </w:pPr>
    </w:p>
    <w:p w:rsidR="00BC0BC8" w:rsidRPr="00865FFD" w:rsidRDefault="00865FFD" w:rsidP="000806C3">
      <w:pPr>
        <w:jc w:val="both"/>
        <w:rPr>
          <w:color w:val="000000" w:themeColor="text1"/>
          <w:sz w:val="22"/>
          <w:szCs w:val="22"/>
        </w:rPr>
      </w:pPr>
      <w:r w:rsidRPr="00865FFD">
        <w:rPr>
          <w:color w:val="000000" w:themeColor="text1"/>
          <w:sz w:val="22"/>
          <w:szCs w:val="22"/>
        </w:rPr>
        <w:t>Највећи проценат дугорочно незапослених чине незапослени који чекају на посао од три до пет година (48,6% у 2019.), док је нешто мањи проценат оних који траже запослење од једне до три године (43,7% у 2019.). Од укупног броја дугорочно незапослених, 9% тражи посао дуже од 5 година, док 4% тражи запослење дуже од 8 година.</w:t>
      </w:r>
    </w:p>
    <w:p w:rsidR="00B80901" w:rsidRDefault="00B80901" w:rsidP="000806C3">
      <w:pPr>
        <w:rPr>
          <w:rFonts w:cs="Arial"/>
          <w:i/>
          <w:iCs/>
          <w:sz w:val="22"/>
          <w:szCs w:val="22"/>
        </w:rPr>
      </w:pPr>
    </w:p>
    <w:p w:rsidR="00922A5E" w:rsidRPr="006A529A" w:rsidRDefault="00865FFD" w:rsidP="00922A5E">
      <w:pPr>
        <w:rPr>
          <w:rFonts w:cs="Arial"/>
          <w:iCs/>
          <w:sz w:val="22"/>
          <w:szCs w:val="22"/>
        </w:rPr>
      </w:pPr>
      <w:r>
        <w:rPr>
          <w:rFonts w:cs="Arial"/>
          <w:b/>
          <w:bCs/>
          <w:i/>
          <w:iCs/>
          <w:sz w:val="22"/>
          <w:szCs w:val="22"/>
        </w:rPr>
        <w:t>Радни стаж</w:t>
      </w:r>
      <w:r w:rsidR="00135060">
        <w:rPr>
          <w:rFonts w:cs="Arial"/>
          <w:b/>
          <w:bCs/>
          <w:i/>
          <w:iCs/>
          <w:sz w:val="22"/>
          <w:szCs w:val="22"/>
        </w:rPr>
        <w:t xml:space="preserve">. </w:t>
      </w:r>
      <w:r w:rsidRPr="00865FFD">
        <w:rPr>
          <w:rFonts w:cs="Arial"/>
          <w:iCs/>
          <w:sz w:val="22"/>
          <w:szCs w:val="22"/>
        </w:rPr>
        <w:t>Од укупног броја незапослених, у 2019. је регистовано 45,8% незапослених без радног стажа. У односу на 2018. проценат је мањи за 0,3 процентна поена, док је на крају другог квартала 2020. исти смањен на 44,7%</w:t>
      </w:r>
    </w:p>
    <w:p w:rsidR="00135060" w:rsidRDefault="00135060" w:rsidP="000806C3">
      <w:pPr>
        <w:jc w:val="both"/>
        <w:rPr>
          <w:color w:val="000000" w:themeColor="text1"/>
          <w:szCs w:val="20"/>
        </w:rPr>
      </w:pPr>
    </w:p>
    <w:p w:rsidR="00936A32" w:rsidRPr="00766346" w:rsidRDefault="00766346" w:rsidP="000806C3">
      <w:pPr>
        <w:jc w:val="both"/>
        <w:rPr>
          <w:color w:val="000000" w:themeColor="text1"/>
          <w:szCs w:val="20"/>
        </w:rPr>
      </w:pPr>
      <w:r>
        <w:rPr>
          <w:color w:val="000000" w:themeColor="text1"/>
          <w:szCs w:val="20"/>
        </w:rPr>
        <w:t>График</w:t>
      </w:r>
      <w:r w:rsidR="00936A32" w:rsidRPr="006A529A">
        <w:rPr>
          <w:color w:val="000000" w:themeColor="text1"/>
          <w:szCs w:val="20"/>
        </w:rPr>
        <w:t xml:space="preserve"> 9: </w:t>
      </w:r>
      <w:r w:rsidRPr="00766346">
        <w:rPr>
          <w:color w:val="000000" w:themeColor="text1"/>
          <w:szCs w:val="20"/>
        </w:rPr>
        <w:t xml:space="preserve">Незапослени према радном стажу у Беранама </w:t>
      </w:r>
      <w:r>
        <w:rPr>
          <w:color w:val="000000" w:themeColor="text1"/>
          <w:szCs w:val="20"/>
        </w:rPr>
        <w:t>2018-VI 2020. године</w:t>
      </w:r>
    </w:p>
    <w:p w:rsidR="00922A5E" w:rsidRDefault="00922A5E" w:rsidP="000806C3">
      <w:pPr>
        <w:jc w:val="both"/>
        <w:rPr>
          <w:color w:val="000000" w:themeColor="text1"/>
          <w:szCs w:val="20"/>
        </w:rPr>
      </w:pPr>
    </w:p>
    <w:p w:rsidR="00936A32" w:rsidRPr="006A529A" w:rsidRDefault="00ED72C9" w:rsidP="000806C3">
      <w:pPr>
        <w:jc w:val="center"/>
        <w:rPr>
          <w:rFonts w:cs="Arial"/>
          <w:i/>
          <w:iCs/>
          <w:sz w:val="22"/>
          <w:szCs w:val="22"/>
        </w:rPr>
      </w:pPr>
      <w:r>
        <w:rPr>
          <w:noProof/>
          <w:lang w:val="en-US"/>
        </w:rPr>
        <w:drawing>
          <wp:inline distT="0" distB="0" distL="0" distR="0">
            <wp:extent cx="4031615" cy="2019993"/>
            <wp:effectExtent l="0" t="0" r="6985" b="0"/>
            <wp:docPr id="27" name="Grafikon 2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68C4E2D-9FF8-49FA-A818-2F4214DF2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66346" w:rsidRPr="00235E36" w:rsidRDefault="00766346" w:rsidP="00766346">
      <w:pPr>
        <w:jc w:val="right"/>
        <w:rPr>
          <w:i/>
          <w:color w:val="000000" w:themeColor="text1"/>
          <w:szCs w:val="20"/>
        </w:rPr>
      </w:pPr>
      <w:r w:rsidRPr="00F4020D">
        <w:rPr>
          <w:i/>
          <w:color w:val="000000" w:themeColor="text1"/>
          <w:sz w:val="18"/>
        </w:rPr>
        <w:t>Извор: Завод за запошљава</w:t>
      </w:r>
      <w:r>
        <w:rPr>
          <w:i/>
          <w:color w:val="000000" w:themeColor="text1"/>
          <w:sz w:val="18"/>
        </w:rPr>
        <w:t>ње Црне Горе, Извјештаји о раду</w:t>
      </w:r>
      <w:r w:rsidRPr="00B80901">
        <w:rPr>
          <w:i/>
          <w:color w:val="000000" w:themeColor="text1"/>
          <w:sz w:val="18"/>
        </w:rPr>
        <w:t xml:space="preserve"> </w:t>
      </w:r>
    </w:p>
    <w:p w:rsidR="00B80901" w:rsidRDefault="00B80901" w:rsidP="000806C3">
      <w:pPr>
        <w:jc w:val="both"/>
        <w:rPr>
          <w:rFonts w:cs="Arial"/>
          <w:iCs/>
          <w:sz w:val="22"/>
          <w:szCs w:val="22"/>
        </w:rPr>
      </w:pPr>
    </w:p>
    <w:p w:rsidR="00ED72C9" w:rsidRPr="00865FFD" w:rsidRDefault="00865FFD" w:rsidP="000806C3">
      <w:pPr>
        <w:rPr>
          <w:rFonts w:cs="Arial"/>
          <w:i/>
          <w:iCs/>
          <w:sz w:val="22"/>
          <w:szCs w:val="22"/>
        </w:rPr>
      </w:pPr>
      <w:r w:rsidRPr="00865FFD">
        <w:rPr>
          <w:rFonts w:cs="Arial"/>
          <w:iCs/>
          <w:sz w:val="22"/>
          <w:szCs w:val="22"/>
        </w:rPr>
        <w:t>Четвртина незапослених има радни стаж који је краћи од годину дана (</w:t>
      </w:r>
      <w:r w:rsidR="00523E19" w:rsidRPr="00523E19">
        <w:rPr>
          <w:rFonts w:cs="Arial"/>
          <w:iCs/>
          <w:sz w:val="22"/>
          <w:szCs w:val="22"/>
        </w:rPr>
        <w:t>VI</w:t>
      </w:r>
      <w:r w:rsidRPr="00865FFD">
        <w:rPr>
          <w:rFonts w:cs="Arial"/>
          <w:iCs/>
          <w:sz w:val="22"/>
          <w:szCs w:val="22"/>
        </w:rPr>
        <w:t xml:space="preserve"> 2020). У односу на крај 2019. године овај проценат је већи за 2,5 процентних поена. Раст учешћа ове групе незапослених у укупном броју незапослених са радним стажом се може објаснити чешћим отпуштањем запослених који имају радни ста</w:t>
      </w:r>
      <w:r w:rsidR="00EA45FD">
        <w:rPr>
          <w:rFonts w:cs="Arial"/>
          <w:iCs/>
          <w:sz w:val="22"/>
          <w:szCs w:val="22"/>
        </w:rPr>
        <w:t>ж од неколико мјесеци у првој п</w:t>
      </w:r>
      <w:r w:rsidRPr="00865FFD">
        <w:rPr>
          <w:rFonts w:cs="Arial"/>
          <w:iCs/>
          <w:sz w:val="22"/>
          <w:szCs w:val="22"/>
        </w:rPr>
        <w:t xml:space="preserve">оловини 2020. </w:t>
      </w:r>
      <w:r w:rsidRPr="00865FFD">
        <w:rPr>
          <w:rFonts w:cs="Arial"/>
          <w:iCs/>
          <w:sz w:val="22"/>
          <w:szCs w:val="22"/>
        </w:rPr>
        <w:lastRenderedPageBreak/>
        <w:t xml:space="preserve">будући да је криза утицала на тешкоће у пословању и уопште на смањење нивоа привређивања. Са друге стране, више од четвртине незапослених је са радним стажом дужим од 10 година (27% у </w:t>
      </w:r>
      <w:r w:rsidR="00523E19" w:rsidRPr="00523E19">
        <w:rPr>
          <w:rFonts w:cs="Arial"/>
          <w:iCs/>
          <w:sz w:val="22"/>
          <w:szCs w:val="22"/>
        </w:rPr>
        <w:t>VI</w:t>
      </w:r>
      <w:r w:rsidRPr="00865FFD">
        <w:rPr>
          <w:rFonts w:cs="Arial"/>
          <w:iCs/>
          <w:sz w:val="22"/>
          <w:szCs w:val="22"/>
        </w:rPr>
        <w:t xml:space="preserve"> 2020.).</w:t>
      </w:r>
    </w:p>
    <w:p w:rsidR="00ED72C9" w:rsidRDefault="00ED72C9" w:rsidP="000806C3">
      <w:pPr>
        <w:rPr>
          <w:rFonts w:cs="Arial"/>
          <w:szCs w:val="20"/>
        </w:rPr>
      </w:pPr>
    </w:p>
    <w:p w:rsidR="002E73D1" w:rsidRDefault="00766346" w:rsidP="000806C3">
      <w:pPr>
        <w:rPr>
          <w:rFonts w:eastAsia="Cambria" w:cs="Arial"/>
          <w:color w:val="000000" w:themeColor="text1"/>
          <w:kern w:val="24"/>
          <w:szCs w:val="20"/>
        </w:rPr>
      </w:pPr>
      <w:r>
        <w:rPr>
          <w:rFonts w:cs="Arial"/>
          <w:szCs w:val="20"/>
        </w:rPr>
        <w:t>Табела</w:t>
      </w:r>
      <w:r w:rsidR="00E62642" w:rsidRPr="006A529A">
        <w:rPr>
          <w:rFonts w:cs="Arial"/>
          <w:szCs w:val="20"/>
        </w:rPr>
        <w:t xml:space="preserve"> </w:t>
      </w:r>
      <w:r w:rsidR="00135060">
        <w:rPr>
          <w:rFonts w:cs="Arial"/>
          <w:szCs w:val="20"/>
        </w:rPr>
        <w:t>12</w:t>
      </w:r>
      <w:r w:rsidR="00085AE2" w:rsidRPr="006A529A">
        <w:rPr>
          <w:rFonts w:cs="Arial"/>
          <w:szCs w:val="20"/>
        </w:rPr>
        <w:t xml:space="preserve">: </w:t>
      </w:r>
      <w:r w:rsidRPr="00766346">
        <w:rPr>
          <w:rFonts w:cs="Arial"/>
          <w:szCs w:val="20"/>
        </w:rPr>
        <w:t>Незапослена лица са радним стажом на евиденцији ЗЗЗЦГ Биро рада Беране</w:t>
      </w:r>
    </w:p>
    <w:p w:rsidR="002E73D1" w:rsidRDefault="00085AE2" w:rsidP="000806C3">
      <w:pPr>
        <w:rPr>
          <w:rFonts w:eastAsia="Cambria" w:cs="Arial"/>
          <w:color w:val="000000" w:themeColor="text1"/>
          <w:kern w:val="24"/>
          <w:szCs w:val="20"/>
        </w:rPr>
      </w:pPr>
      <w:r w:rsidRPr="006A529A">
        <w:rPr>
          <w:rFonts w:eastAsia="Cambria" w:cs="Arial"/>
          <w:color w:val="000000" w:themeColor="text1"/>
          <w:kern w:val="24"/>
          <w:szCs w:val="20"/>
        </w:rPr>
        <w:t xml:space="preserve"> </w:t>
      </w:r>
    </w:p>
    <w:p w:rsidR="00085AE2" w:rsidRDefault="00ED72C9" w:rsidP="000806C3">
      <w:pPr>
        <w:rPr>
          <w:rFonts w:eastAsia="Cambria" w:cs="Arial"/>
          <w:color w:val="000000" w:themeColor="text1"/>
          <w:kern w:val="24"/>
          <w:szCs w:val="20"/>
        </w:rPr>
      </w:pPr>
      <w:r w:rsidRPr="00ED72C9">
        <w:rPr>
          <w:noProof/>
          <w:lang w:val="en-US"/>
        </w:rPr>
        <w:drawing>
          <wp:inline distT="0" distB="0" distL="0" distR="0">
            <wp:extent cx="5868035" cy="1030778"/>
            <wp:effectExtent l="0" t="0" r="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5882383" cy="1033298"/>
                    </a:xfrm>
                    <a:prstGeom prst="rect">
                      <a:avLst/>
                    </a:prstGeom>
                  </pic:spPr>
                </pic:pic>
              </a:graphicData>
            </a:graphic>
          </wp:inline>
        </w:drawing>
      </w:r>
    </w:p>
    <w:p w:rsidR="00766346" w:rsidRPr="00235E36" w:rsidRDefault="00766346" w:rsidP="00766346">
      <w:pPr>
        <w:jc w:val="right"/>
        <w:rPr>
          <w:i/>
          <w:color w:val="000000" w:themeColor="text1"/>
          <w:szCs w:val="20"/>
        </w:rPr>
      </w:pPr>
      <w:r w:rsidRPr="00F4020D">
        <w:rPr>
          <w:i/>
          <w:color w:val="000000" w:themeColor="text1"/>
          <w:sz w:val="18"/>
        </w:rPr>
        <w:t>Извор: Завод за запошљава</w:t>
      </w:r>
      <w:r>
        <w:rPr>
          <w:i/>
          <w:color w:val="000000" w:themeColor="text1"/>
          <w:sz w:val="18"/>
        </w:rPr>
        <w:t>ње Црне Горе, Извјештаји о раду</w:t>
      </w:r>
      <w:r w:rsidRPr="00B80901">
        <w:rPr>
          <w:i/>
          <w:color w:val="000000" w:themeColor="text1"/>
          <w:sz w:val="18"/>
        </w:rPr>
        <w:t xml:space="preserve"> </w:t>
      </w:r>
    </w:p>
    <w:p w:rsidR="00ED72C9" w:rsidRDefault="00ED72C9" w:rsidP="000806C3">
      <w:pPr>
        <w:jc w:val="both"/>
        <w:rPr>
          <w:rFonts w:cs="Arial"/>
          <w:iCs/>
          <w:sz w:val="22"/>
          <w:szCs w:val="22"/>
        </w:rPr>
      </w:pPr>
    </w:p>
    <w:p w:rsidR="004365DE" w:rsidRPr="006A529A" w:rsidRDefault="00523E19" w:rsidP="000806C3">
      <w:pPr>
        <w:jc w:val="both"/>
        <w:rPr>
          <w:rFonts w:cs="Arial"/>
          <w:iCs/>
          <w:sz w:val="22"/>
          <w:szCs w:val="22"/>
        </w:rPr>
      </w:pPr>
      <w:r w:rsidRPr="00523E19">
        <w:rPr>
          <w:rFonts w:cs="Arial"/>
          <w:iCs/>
          <w:sz w:val="22"/>
          <w:szCs w:val="22"/>
        </w:rPr>
        <w:t xml:space="preserve">Посматрано по полу, нешто више од 54% незапослених жена је без радног стажа. Највећи проценат незапослених жена има радни стаж краћи од једне године </w:t>
      </w:r>
      <w:r w:rsidR="00824F58" w:rsidRPr="006A529A">
        <w:rPr>
          <w:rFonts w:cs="Arial"/>
          <w:iCs/>
          <w:sz w:val="22"/>
          <w:szCs w:val="22"/>
        </w:rPr>
        <w:t>(29% u VI 2020</w:t>
      </w:r>
      <w:r w:rsidRPr="00523E19">
        <w:rPr>
          <w:rFonts w:cs="Arial"/>
          <w:iCs/>
          <w:sz w:val="22"/>
          <w:szCs w:val="22"/>
        </w:rPr>
        <w:t xml:space="preserve"> Значајно мањи проценат незапослених жена у односу на укупан ниво представља учешће жена у укупном броју незапослених са радним стажом дужим од 10 година</w:t>
      </w:r>
      <w:r w:rsidR="00EA45FD">
        <w:rPr>
          <w:rFonts w:cs="Arial"/>
          <w:iCs/>
          <w:sz w:val="22"/>
          <w:szCs w:val="22"/>
        </w:rPr>
        <w:t xml:space="preserve"> (18% наспрам</w:t>
      </w:r>
      <w:r w:rsidR="00824F58" w:rsidRPr="006A529A">
        <w:rPr>
          <w:rFonts w:cs="Arial"/>
          <w:iCs/>
          <w:sz w:val="22"/>
          <w:szCs w:val="22"/>
        </w:rPr>
        <w:t xml:space="preserve"> 27%, VI 2020.). </w:t>
      </w:r>
    </w:p>
    <w:p w:rsidR="00824F58" w:rsidRPr="006A529A" w:rsidRDefault="00824F58" w:rsidP="000806C3">
      <w:pPr>
        <w:jc w:val="both"/>
        <w:rPr>
          <w:rFonts w:cs="Arial"/>
          <w:color w:val="000000" w:themeColor="text1"/>
          <w:szCs w:val="20"/>
        </w:rPr>
      </w:pPr>
    </w:p>
    <w:p w:rsidR="00F7360E" w:rsidRDefault="009D0780" w:rsidP="009D0780">
      <w:pPr>
        <w:jc w:val="both"/>
        <w:rPr>
          <w:rFonts w:cs="Arial"/>
          <w:color w:val="000000" w:themeColor="text1"/>
          <w:sz w:val="22"/>
          <w:szCs w:val="22"/>
        </w:rPr>
      </w:pPr>
      <w:r w:rsidRPr="009D0780">
        <w:rPr>
          <w:rFonts w:cs="Arial"/>
          <w:b/>
          <w:i/>
          <w:color w:val="000000" w:themeColor="text1"/>
          <w:sz w:val="22"/>
          <w:szCs w:val="22"/>
        </w:rPr>
        <w:t>Старосна структура</w:t>
      </w:r>
      <w:r w:rsidR="00135060" w:rsidRPr="009D0780">
        <w:rPr>
          <w:rFonts w:cs="Arial"/>
          <w:b/>
          <w:bCs/>
          <w:i/>
          <w:iCs/>
          <w:color w:val="000000" w:themeColor="text1"/>
          <w:sz w:val="22"/>
          <w:szCs w:val="22"/>
        </w:rPr>
        <w:t>.</w:t>
      </w:r>
      <w:r w:rsidR="00135060">
        <w:rPr>
          <w:rFonts w:cs="Arial"/>
          <w:b/>
          <w:bCs/>
          <w:i/>
          <w:iCs/>
          <w:color w:val="000000" w:themeColor="text1"/>
          <w:sz w:val="22"/>
          <w:szCs w:val="22"/>
        </w:rPr>
        <w:t xml:space="preserve"> </w:t>
      </w:r>
      <w:r w:rsidRPr="009D0780">
        <w:rPr>
          <w:rFonts w:cs="Arial"/>
          <w:color w:val="000000" w:themeColor="text1"/>
          <w:sz w:val="22"/>
          <w:szCs w:val="22"/>
        </w:rPr>
        <w:t xml:space="preserve">Са становишта старосне структуре, незапослени млађи од 30 година чине 14,8% укупног броја незапослених </w:t>
      </w:r>
      <w:r w:rsidR="00255F91" w:rsidRPr="006A529A">
        <w:rPr>
          <w:rFonts w:cs="Arial"/>
          <w:color w:val="000000" w:themeColor="text1"/>
          <w:sz w:val="22"/>
          <w:szCs w:val="22"/>
        </w:rPr>
        <w:t xml:space="preserve">(VI 2020.). </w:t>
      </w:r>
      <w:r w:rsidRPr="009D0780">
        <w:rPr>
          <w:rFonts w:cs="Arial"/>
          <w:color w:val="000000" w:themeColor="text1"/>
          <w:sz w:val="22"/>
          <w:szCs w:val="22"/>
        </w:rPr>
        <w:t>У односу на 2018. овај проценат је смањен за 3,3 процентна поена. Смањење броја незапослених млађих од 30 година током протеклог двогодишњег периода се може објаснити емиграцијом млађе популације у друге крајеве Црне Горе или иностранство. Током посматраног периода раст броја незапослених је забиљежен једино код старосне групе преко 50 година (7,5% на крају другог квартала 2020. у односу на 2018.), док је у свим осталим старосним групама забиљежен пад броја незапослених, што се може везати са емиграцијом становништва.</w:t>
      </w:r>
    </w:p>
    <w:p w:rsidR="009D0780" w:rsidRPr="009D0780" w:rsidRDefault="009D0780" w:rsidP="009D0780">
      <w:pPr>
        <w:jc w:val="both"/>
        <w:rPr>
          <w:rFonts w:cs="Arial"/>
          <w:color w:val="000000" w:themeColor="text1"/>
          <w:szCs w:val="20"/>
        </w:rPr>
      </w:pPr>
    </w:p>
    <w:p w:rsidR="002E73D1" w:rsidRDefault="00E52552" w:rsidP="000806C3">
      <w:pPr>
        <w:jc w:val="both"/>
        <w:rPr>
          <w:rFonts w:cs="Arial"/>
          <w:color w:val="000000" w:themeColor="text1"/>
          <w:szCs w:val="20"/>
        </w:rPr>
      </w:pPr>
      <w:r>
        <w:rPr>
          <w:rFonts w:cs="Arial"/>
          <w:color w:val="000000" w:themeColor="text1"/>
          <w:szCs w:val="20"/>
        </w:rPr>
        <w:t>Табела</w:t>
      </w:r>
      <w:r w:rsidR="00E62642" w:rsidRPr="006A529A">
        <w:rPr>
          <w:rFonts w:cs="Arial"/>
          <w:color w:val="000000" w:themeColor="text1"/>
          <w:szCs w:val="20"/>
        </w:rPr>
        <w:t xml:space="preserve"> </w:t>
      </w:r>
      <w:r w:rsidR="00135060">
        <w:rPr>
          <w:rFonts w:cs="Arial"/>
          <w:color w:val="000000" w:themeColor="text1"/>
          <w:szCs w:val="20"/>
        </w:rPr>
        <w:t>13</w:t>
      </w:r>
      <w:r w:rsidR="003C049F" w:rsidRPr="006A529A">
        <w:rPr>
          <w:rFonts w:cs="Arial"/>
          <w:color w:val="000000" w:themeColor="text1"/>
          <w:szCs w:val="20"/>
        </w:rPr>
        <w:t xml:space="preserve">: </w:t>
      </w:r>
      <w:r w:rsidRPr="00E52552">
        <w:rPr>
          <w:rFonts w:cs="Arial"/>
          <w:color w:val="000000" w:themeColor="text1"/>
          <w:szCs w:val="20"/>
        </w:rPr>
        <w:t>Незапослена лица према годинама старости на евиденцији ЗЗЗЦГ Биро рада Беране</w:t>
      </w:r>
    </w:p>
    <w:p w:rsidR="00E52552" w:rsidRPr="00E52552" w:rsidRDefault="00E52552" w:rsidP="000806C3">
      <w:pPr>
        <w:jc w:val="both"/>
        <w:rPr>
          <w:rFonts w:cs="Arial"/>
          <w:color w:val="000000" w:themeColor="text1"/>
          <w:szCs w:val="20"/>
        </w:rPr>
      </w:pPr>
    </w:p>
    <w:p w:rsidR="00ED72C9" w:rsidRDefault="00ED72C9" w:rsidP="000806C3">
      <w:pPr>
        <w:jc w:val="both"/>
        <w:rPr>
          <w:rFonts w:cs="Arial"/>
          <w:color w:val="000000" w:themeColor="text1"/>
          <w:szCs w:val="20"/>
        </w:rPr>
      </w:pPr>
      <w:r w:rsidRPr="00ED72C9">
        <w:rPr>
          <w:noProof/>
          <w:lang w:val="en-US"/>
        </w:rPr>
        <w:drawing>
          <wp:inline distT="0" distB="0" distL="0" distR="0">
            <wp:extent cx="5868035" cy="1033780"/>
            <wp:effectExtent l="0" t="0" r="0" b="0"/>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5868035" cy="1033780"/>
                    </a:xfrm>
                    <a:prstGeom prst="rect">
                      <a:avLst/>
                    </a:prstGeom>
                  </pic:spPr>
                </pic:pic>
              </a:graphicData>
            </a:graphic>
          </wp:inline>
        </w:drawing>
      </w:r>
    </w:p>
    <w:p w:rsidR="00255F91" w:rsidRPr="00E52552" w:rsidRDefault="00E52552" w:rsidP="00E52552">
      <w:pPr>
        <w:jc w:val="right"/>
        <w:rPr>
          <w:i/>
          <w:color w:val="000000" w:themeColor="text1"/>
          <w:szCs w:val="20"/>
        </w:rPr>
      </w:pPr>
      <w:r w:rsidRPr="00F4020D">
        <w:rPr>
          <w:i/>
          <w:color w:val="000000" w:themeColor="text1"/>
          <w:sz w:val="18"/>
        </w:rPr>
        <w:t>Извор: Завод за запошљава</w:t>
      </w:r>
      <w:r>
        <w:rPr>
          <w:i/>
          <w:color w:val="000000" w:themeColor="text1"/>
          <w:sz w:val="18"/>
        </w:rPr>
        <w:t>ње Црне Горе, Извјештаји о раду</w:t>
      </w:r>
      <w:r w:rsidRPr="00B80901">
        <w:rPr>
          <w:i/>
          <w:color w:val="000000" w:themeColor="text1"/>
          <w:sz w:val="18"/>
        </w:rPr>
        <w:t xml:space="preserve"> </w:t>
      </w:r>
    </w:p>
    <w:p w:rsidR="002E73D1" w:rsidRDefault="002E73D1" w:rsidP="000806C3">
      <w:pPr>
        <w:jc w:val="both"/>
        <w:rPr>
          <w:rFonts w:cs="Arial"/>
          <w:color w:val="000000" w:themeColor="text1"/>
          <w:sz w:val="22"/>
          <w:szCs w:val="22"/>
        </w:rPr>
      </w:pPr>
    </w:p>
    <w:p w:rsidR="00A15D4E" w:rsidRDefault="009D0780" w:rsidP="000806C3">
      <w:pPr>
        <w:jc w:val="both"/>
        <w:rPr>
          <w:rFonts w:cs="Arial"/>
          <w:color w:val="000000" w:themeColor="text1"/>
          <w:sz w:val="22"/>
          <w:szCs w:val="22"/>
        </w:rPr>
      </w:pPr>
      <w:r w:rsidRPr="009D0780">
        <w:rPr>
          <w:rFonts w:cs="Arial"/>
          <w:color w:val="000000" w:themeColor="text1"/>
          <w:sz w:val="22"/>
          <w:szCs w:val="22"/>
        </w:rPr>
        <w:t xml:space="preserve">Посматрано по полу и старости, 13,2% укупне незапослености жена представљају жене млађе од 30 година што је за 3,8 процентних поена мање у односу на 2018. Додатно, од укупног броја незапослених жена, близу 44% су старије од 50 година што представља значајан проблем тржишта рада.  </w:t>
      </w:r>
    </w:p>
    <w:p w:rsidR="009D0780" w:rsidRPr="009D0780" w:rsidRDefault="009D0780" w:rsidP="000806C3">
      <w:pPr>
        <w:jc w:val="both"/>
        <w:rPr>
          <w:rFonts w:cs="Arial"/>
          <w:color w:val="000000" w:themeColor="text1"/>
          <w:sz w:val="22"/>
          <w:szCs w:val="22"/>
        </w:rPr>
      </w:pPr>
    </w:p>
    <w:p w:rsidR="005E7C88" w:rsidRDefault="009D0780" w:rsidP="000806C3">
      <w:pPr>
        <w:jc w:val="both"/>
        <w:rPr>
          <w:rFonts w:cs="Arial"/>
          <w:color w:val="000000" w:themeColor="text1"/>
          <w:sz w:val="22"/>
          <w:szCs w:val="22"/>
        </w:rPr>
      </w:pPr>
      <w:r>
        <w:rPr>
          <w:rFonts w:cs="Arial"/>
          <w:b/>
          <w:i/>
          <w:color w:val="000000" w:themeColor="text1"/>
          <w:sz w:val="22"/>
          <w:szCs w:val="22"/>
        </w:rPr>
        <w:t>Л</w:t>
      </w:r>
      <w:r w:rsidRPr="009D0780">
        <w:rPr>
          <w:rFonts w:cs="Arial"/>
          <w:b/>
          <w:i/>
          <w:color w:val="000000" w:themeColor="text1"/>
          <w:sz w:val="22"/>
          <w:szCs w:val="22"/>
        </w:rPr>
        <w:t>ица са инвалидитетом.</w:t>
      </w:r>
      <w:r>
        <w:rPr>
          <w:rFonts w:cs="Arial"/>
          <w:color w:val="000000" w:themeColor="text1"/>
          <w:sz w:val="22"/>
          <w:szCs w:val="22"/>
        </w:rPr>
        <w:t xml:space="preserve"> </w:t>
      </w:r>
      <w:r w:rsidRPr="009D0780">
        <w:rPr>
          <w:rFonts w:cs="Arial"/>
          <w:color w:val="000000" w:themeColor="text1"/>
          <w:sz w:val="22"/>
          <w:szCs w:val="22"/>
        </w:rPr>
        <w:t>Укупан број лица са инвалидитетом на евиденцији Бироа рада Беране је у 2019. Износио 2.688, што представља 24,1% укупног броја на нивоу Црне Горе. У односу на 2018. годину број лица са инвалидитетом на евиденцији незапослених је у 2019. био већи за 23,4%, док је у односу на крај другог квартала 2020. био мањи за 1,7%. Од укупног броја, жене чине више од 57% и током посљедње двије године овај проценат је биљежио раст (у 2018. је износио 53,3%, док је на крају другог квартала 2020. био на нивоу од 57,8%).</w:t>
      </w:r>
    </w:p>
    <w:p w:rsidR="00235E36" w:rsidRDefault="00235E36" w:rsidP="000806C3">
      <w:pPr>
        <w:jc w:val="both"/>
        <w:rPr>
          <w:rFonts w:cs="Arial"/>
          <w:color w:val="000000" w:themeColor="text1"/>
          <w:sz w:val="22"/>
          <w:szCs w:val="22"/>
        </w:rPr>
      </w:pPr>
    </w:p>
    <w:p w:rsidR="00A80443" w:rsidRDefault="00A80443" w:rsidP="000806C3">
      <w:pPr>
        <w:jc w:val="both"/>
        <w:rPr>
          <w:rFonts w:cs="Arial"/>
          <w:color w:val="000000" w:themeColor="text1"/>
          <w:sz w:val="22"/>
          <w:szCs w:val="22"/>
        </w:rPr>
      </w:pPr>
    </w:p>
    <w:p w:rsidR="00A80443" w:rsidRDefault="00A80443" w:rsidP="000806C3">
      <w:pPr>
        <w:jc w:val="both"/>
        <w:rPr>
          <w:rFonts w:cs="Arial"/>
          <w:color w:val="000000" w:themeColor="text1"/>
          <w:sz w:val="22"/>
          <w:szCs w:val="22"/>
        </w:rPr>
      </w:pPr>
    </w:p>
    <w:p w:rsidR="00A80443" w:rsidRDefault="00A80443" w:rsidP="000806C3">
      <w:pPr>
        <w:jc w:val="both"/>
        <w:rPr>
          <w:rFonts w:cs="Arial"/>
          <w:color w:val="000000" w:themeColor="text1"/>
          <w:sz w:val="22"/>
          <w:szCs w:val="22"/>
        </w:rPr>
      </w:pPr>
    </w:p>
    <w:p w:rsidR="00A80443" w:rsidRPr="00A80443" w:rsidRDefault="00A80443" w:rsidP="000806C3">
      <w:pPr>
        <w:jc w:val="both"/>
        <w:rPr>
          <w:rFonts w:cs="Arial"/>
          <w:color w:val="000000" w:themeColor="text1"/>
          <w:sz w:val="22"/>
          <w:szCs w:val="22"/>
        </w:rPr>
      </w:pPr>
    </w:p>
    <w:p w:rsidR="00527B4C" w:rsidRDefault="00A80443" w:rsidP="000806C3">
      <w:pPr>
        <w:rPr>
          <w:rFonts w:eastAsia="Cambria" w:cs="Arial"/>
          <w:color w:val="000000" w:themeColor="text1"/>
          <w:kern w:val="24"/>
          <w:szCs w:val="20"/>
        </w:rPr>
      </w:pPr>
      <w:r>
        <w:rPr>
          <w:rFonts w:eastAsia="Cambria" w:cs="Arial"/>
          <w:color w:val="000000" w:themeColor="text1"/>
          <w:kern w:val="24"/>
          <w:szCs w:val="20"/>
        </w:rPr>
        <w:t>Табела</w:t>
      </w:r>
      <w:r w:rsidR="00085AE2" w:rsidRPr="006A529A">
        <w:rPr>
          <w:rFonts w:eastAsia="Cambria" w:cs="Arial"/>
          <w:color w:val="000000" w:themeColor="text1"/>
          <w:kern w:val="24"/>
          <w:szCs w:val="20"/>
        </w:rPr>
        <w:t xml:space="preserve"> </w:t>
      </w:r>
      <w:r w:rsidR="00135060">
        <w:rPr>
          <w:rFonts w:eastAsia="Cambria" w:cs="Arial"/>
          <w:color w:val="000000" w:themeColor="text1"/>
          <w:kern w:val="24"/>
          <w:szCs w:val="20"/>
        </w:rPr>
        <w:t>14</w:t>
      </w:r>
      <w:r w:rsidR="00830225" w:rsidRPr="006A529A">
        <w:rPr>
          <w:rFonts w:eastAsia="Cambria" w:cs="Arial"/>
          <w:color w:val="000000" w:themeColor="text1"/>
          <w:kern w:val="24"/>
          <w:szCs w:val="20"/>
        </w:rPr>
        <w:t xml:space="preserve">: </w:t>
      </w:r>
      <w:r w:rsidRPr="00A80443">
        <w:rPr>
          <w:rFonts w:eastAsia="Cambria" w:cs="Arial"/>
          <w:color w:val="000000" w:themeColor="text1"/>
          <w:kern w:val="24"/>
          <w:szCs w:val="20"/>
        </w:rPr>
        <w:t>Лица са инвалидитетом пријављена на евиденцији Бироа рада</w:t>
      </w:r>
    </w:p>
    <w:p w:rsidR="002E73D1" w:rsidRPr="00235E36" w:rsidRDefault="002E73D1" w:rsidP="000806C3">
      <w:pPr>
        <w:rPr>
          <w:rFonts w:cs="Arial"/>
          <w:i/>
          <w:color w:val="000000" w:themeColor="text1"/>
          <w:szCs w:val="20"/>
        </w:rPr>
      </w:pPr>
    </w:p>
    <w:tbl>
      <w:tblPr>
        <w:tblStyle w:val="TableGrid"/>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tblPr>
      <w:tblGrid>
        <w:gridCol w:w="1994"/>
        <w:gridCol w:w="1254"/>
        <w:gridCol w:w="1134"/>
        <w:gridCol w:w="1194"/>
        <w:gridCol w:w="1271"/>
        <w:gridCol w:w="1256"/>
        <w:gridCol w:w="1297"/>
      </w:tblGrid>
      <w:tr w:rsidR="00527B4C" w:rsidRPr="006A529A" w:rsidTr="003E69BE">
        <w:trPr>
          <w:trHeight w:val="269"/>
        </w:trPr>
        <w:tc>
          <w:tcPr>
            <w:tcW w:w="1061" w:type="pct"/>
            <w:vMerge w:val="restart"/>
            <w:tcBorders>
              <w:top w:val="single" w:sz="4" w:space="0" w:color="BFBFBF" w:themeColor="background1" w:themeShade="BF"/>
            </w:tcBorders>
            <w:shd w:val="clear" w:color="auto" w:fill="BFBFBF" w:themeFill="background1" w:themeFillShade="BF"/>
            <w:hideMark/>
          </w:tcPr>
          <w:p w:rsidR="00527B4C" w:rsidRPr="006A529A" w:rsidRDefault="00527B4C" w:rsidP="000806C3">
            <w:pPr>
              <w:jc w:val="center"/>
              <w:rPr>
                <w:rFonts w:cs="Arial"/>
                <w:iCs/>
                <w:color w:val="000000" w:themeColor="text1"/>
                <w:sz w:val="18"/>
              </w:rPr>
            </w:pPr>
          </w:p>
        </w:tc>
        <w:tc>
          <w:tcPr>
            <w:tcW w:w="1270" w:type="pct"/>
            <w:gridSpan w:val="2"/>
            <w:tcBorders>
              <w:top w:val="single" w:sz="4" w:space="0" w:color="BFBFBF" w:themeColor="background1" w:themeShade="BF"/>
            </w:tcBorders>
            <w:shd w:val="clear" w:color="auto" w:fill="BFBFBF" w:themeFill="background1" w:themeFillShade="BF"/>
            <w:hideMark/>
          </w:tcPr>
          <w:p w:rsidR="00527B4C" w:rsidRPr="006A529A" w:rsidRDefault="00527B4C" w:rsidP="000806C3">
            <w:pPr>
              <w:jc w:val="center"/>
              <w:rPr>
                <w:rFonts w:cs="Arial"/>
                <w:iCs/>
                <w:color w:val="000000" w:themeColor="text1"/>
                <w:sz w:val="18"/>
              </w:rPr>
            </w:pPr>
            <w:r w:rsidRPr="006A529A">
              <w:rPr>
                <w:rFonts w:cs="Arial"/>
                <w:iCs/>
                <w:color w:val="000000" w:themeColor="text1"/>
                <w:sz w:val="18"/>
              </w:rPr>
              <w:t>2018</w:t>
            </w:r>
            <w:r w:rsidR="00D957E9" w:rsidRPr="006A529A">
              <w:rPr>
                <w:rFonts w:cs="Arial"/>
                <w:iCs/>
                <w:color w:val="000000" w:themeColor="text1"/>
                <w:sz w:val="18"/>
              </w:rPr>
              <w:t>.</w:t>
            </w:r>
          </w:p>
        </w:tc>
        <w:tc>
          <w:tcPr>
            <w:tcW w:w="1311" w:type="pct"/>
            <w:gridSpan w:val="2"/>
            <w:tcBorders>
              <w:top w:val="single" w:sz="4" w:space="0" w:color="BFBFBF" w:themeColor="background1" w:themeShade="BF"/>
            </w:tcBorders>
            <w:shd w:val="clear" w:color="auto" w:fill="BFBFBF" w:themeFill="background1" w:themeFillShade="BF"/>
            <w:hideMark/>
          </w:tcPr>
          <w:p w:rsidR="00527B4C" w:rsidRPr="006A529A" w:rsidRDefault="00527B4C" w:rsidP="000806C3">
            <w:pPr>
              <w:jc w:val="center"/>
              <w:rPr>
                <w:rFonts w:cs="Arial"/>
                <w:iCs/>
                <w:color w:val="000000" w:themeColor="text1"/>
                <w:sz w:val="18"/>
              </w:rPr>
            </w:pPr>
            <w:r w:rsidRPr="006A529A">
              <w:rPr>
                <w:rFonts w:cs="Arial"/>
                <w:iCs/>
                <w:color w:val="000000" w:themeColor="text1"/>
                <w:sz w:val="18"/>
              </w:rPr>
              <w:t>2019</w:t>
            </w:r>
            <w:r w:rsidR="00D957E9" w:rsidRPr="006A529A">
              <w:rPr>
                <w:rFonts w:cs="Arial"/>
                <w:iCs/>
                <w:color w:val="000000" w:themeColor="text1"/>
                <w:sz w:val="18"/>
              </w:rPr>
              <w:t>.</w:t>
            </w:r>
          </w:p>
        </w:tc>
        <w:tc>
          <w:tcPr>
            <w:tcW w:w="1358" w:type="pct"/>
            <w:gridSpan w:val="2"/>
            <w:tcBorders>
              <w:top w:val="single" w:sz="4" w:space="0" w:color="BFBFBF" w:themeColor="background1" w:themeShade="BF"/>
            </w:tcBorders>
            <w:shd w:val="clear" w:color="auto" w:fill="BFBFBF" w:themeFill="background1" w:themeFillShade="BF"/>
            <w:hideMark/>
          </w:tcPr>
          <w:p w:rsidR="00527B4C" w:rsidRPr="006A529A" w:rsidRDefault="00682ADA" w:rsidP="000806C3">
            <w:pPr>
              <w:jc w:val="center"/>
              <w:rPr>
                <w:rFonts w:cs="Arial"/>
                <w:iCs/>
                <w:color w:val="000000" w:themeColor="text1"/>
                <w:sz w:val="18"/>
              </w:rPr>
            </w:pPr>
            <w:r w:rsidRPr="006A529A">
              <w:rPr>
                <w:rFonts w:cs="Arial"/>
                <w:iCs/>
                <w:color w:val="000000" w:themeColor="text1"/>
                <w:sz w:val="18"/>
              </w:rPr>
              <w:t>VI.2020</w:t>
            </w:r>
            <w:r w:rsidR="00D957E9" w:rsidRPr="006A529A">
              <w:rPr>
                <w:rFonts w:cs="Arial"/>
                <w:iCs/>
                <w:color w:val="000000" w:themeColor="text1"/>
                <w:sz w:val="18"/>
              </w:rPr>
              <w:t>.</w:t>
            </w:r>
          </w:p>
        </w:tc>
      </w:tr>
      <w:tr w:rsidR="00527B4C" w:rsidRPr="006A529A" w:rsidTr="00A80443">
        <w:trPr>
          <w:trHeight w:val="346"/>
        </w:trPr>
        <w:tc>
          <w:tcPr>
            <w:tcW w:w="1061" w:type="pct"/>
            <w:vMerge/>
            <w:tcBorders>
              <w:bottom w:val="single" w:sz="4" w:space="0" w:color="BFBFBF" w:themeColor="background1" w:themeShade="BF"/>
            </w:tcBorders>
            <w:shd w:val="clear" w:color="auto" w:fill="BFBFBF" w:themeFill="background1" w:themeFillShade="BF"/>
            <w:hideMark/>
          </w:tcPr>
          <w:p w:rsidR="00527B4C" w:rsidRPr="006A529A" w:rsidRDefault="00527B4C" w:rsidP="000806C3">
            <w:pPr>
              <w:jc w:val="center"/>
              <w:rPr>
                <w:rFonts w:cs="Arial"/>
                <w:iCs/>
                <w:color w:val="000000" w:themeColor="text1"/>
                <w:sz w:val="18"/>
              </w:rPr>
            </w:pPr>
          </w:p>
        </w:tc>
        <w:tc>
          <w:tcPr>
            <w:tcW w:w="667" w:type="pct"/>
            <w:tcBorders>
              <w:bottom w:val="single" w:sz="4" w:space="0" w:color="BFBFBF" w:themeColor="background1" w:themeShade="BF"/>
            </w:tcBorders>
            <w:shd w:val="clear" w:color="auto" w:fill="D9D9D9" w:themeFill="background1" w:themeFillShade="D9"/>
            <w:hideMark/>
          </w:tcPr>
          <w:p w:rsidR="00527B4C" w:rsidRPr="006A529A" w:rsidRDefault="00527B4C" w:rsidP="000806C3">
            <w:pPr>
              <w:jc w:val="center"/>
              <w:rPr>
                <w:rFonts w:cs="Arial"/>
                <w:iCs/>
                <w:color w:val="000000" w:themeColor="text1"/>
                <w:sz w:val="18"/>
              </w:rPr>
            </w:pPr>
            <w:r w:rsidRPr="006A529A">
              <w:rPr>
                <w:rFonts w:cs="Arial"/>
                <w:iCs/>
                <w:color w:val="000000" w:themeColor="text1"/>
                <w:sz w:val="18"/>
              </w:rPr>
              <w:t>Total</w:t>
            </w:r>
          </w:p>
        </w:tc>
        <w:tc>
          <w:tcPr>
            <w:tcW w:w="603" w:type="pct"/>
            <w:tcBorders>
              <w:bottom w:val="single" w:sz="4" w:space="0" w:color="BFBFBF" w:themeColor="background1" w:themeShade="BF"/>
            </w:tcBorders>
            <w:shd w:val="clear" w:color="auto" w:fill="D9D9D9" w:themeFill="background1" w:themeFillShade="D9"/>
            <w:hideMark/>
          </w:tcPr>
          <w:p w:rsidR="00527B4C" w:rsidRPr="006A529A" w:rsidRDefault="00E0199F" w:rsidP="000806C3">
            <w:pPr>
              <w:jc w:val="center"/>
              <w:rPr>
                <w:rFonts w:cs="Arial"/>
                <w:iCs/>
                <w:color w:val="000000" w:themeColor="text1"/>
                <w:sz w:val="18"/>
              </w:rPr>
            </w:pPr>
            <w:r>
              <w:rPr>
                <w:rFonts w:cs="Arial"/>
                <w:iCs/>
                <w:color w:val="000000" w:themeColor="text1"/>
                <w:sz w:val="18"/>
              </w:rPr>
              <w:t>Žene</w:t>
            </w:r>
          </w:p>
        </w:tc>
        <w:tc>
          <w:tcPr>
            <w:tcW w:w="635" w:type="pct"/>
            <w:tcBorders>
              <w:bottom w:val="single" w:sz="4" w:space="0" w:color="BFBFBF" w:themeColor="background1" w:themeShade="BF"/>
            </w:tcBorders>
            <w:shd w:val="clear" w:color="auto" w:fill="D9D9D9" w:themeFill="background1" w:themeFillShade="D9"/>
            <w:hideMark/>
          </w:tcPr>
          <w:p w:rsidR="00527B4C" w:rsidRPr="006A529A" w:rsidRDefault="00527B4C" w:rsidP="000806C3">
            <w:pPr>
              <w:jc w:val="center"/>
              <w:rPr>
                <w:rFonts w:cs="Arial"/>
                <w:iCs/>
                <w:color w:val="000000" w:themeColor="text1"/>
                <w:sz w:val="18"/>
              </w:rPr>
            </w:pPr>
            <w:r w:rsidRPr="006A529A">
              <w:rPr>
                <w:rFonts w:cs="Arial"/>
                <w:iCs/>
                <w:color w:val="000000" w:themeColor="text1"/>
                <w:sz w:val="18"/>
              </w:rPr>
              <w:t>Total</w:t>
            </w:r>
          </w:p>
        </w:tc>
        <w:tc>
          <w:tcPr>
            <w:tcW w:w="676" w:type="pct"/>
            <w:tcBorders>
              <w:bottom w:val="single" w:sz="4" w:space="0" w:color="BFBFBF" w:themeColor="background1" w:themeShade="BF"/>
            </w:tcBorders>
            <w:shd w:val="clear" w:color="auto" w:fill="D9D9D9" w:themeFill="background1" w:themeFillShade="D9"/>
            <w:hideMark/>
          </w:tcPr>
          <w:p w:rsidR="00527B4C" w:rsidRPr="006A529A" w:rsidRDefault="00E0199F" w:rsidP="000806C3">
            <w:pPr>
              <w:jc w:val="center"/>
              <w:rPr>
                <w:rFonts w:cs="Arial"/>
                <w:iCs/>
                <w:color w:val="000000" w:themeColor="text1"/>
                <w:sz w:val="18"/>
              </w:rPr>
            </w:pPr>
            <w:r>
              <w:rPr>
                <w:rFonts w:cs="Arial"/>
                <w:iCs/>
                <w:color w:val="000000" w:themeColor="text1"/>
                <w:sz w:val="18"/>
              </w:rPr>
              <w:t>Žene</w:t>
            </w:r>
          </w:p>
        </w:tc>
        <w:tc>
          <w:tcPr>
            <w:tcW w:w="668" w:type="pct"/>
            <w:tcBorders>
              <w:bottom w:val="single" w:sz="4" w:space="0" w:color="BFBFBF" w:themeColor="background1" w:themeShade="BF"/>
            </w:tcBorders>
            <w:shd w:val="clear" w:color="auto" w:fill="D9D9D9" w:themeFill="background1" w:themeFillShade="D9"/>
            <w:hideMark/>
          </w:tcPr>
          <w:p w:rsidR="00527B4C" w:rsidRPr="006A529A" w:rsidRDefault="00527B4C" w:rsidP="000806C3">
            <w:pPr>
              <w:jc w:val="center"/>
              <w:rPr>
                <w:rFonts w:cs="Arial"/>
                <w:iCs/>
                <w:color w:val="000000" w:themeColor="text1"/>
                <w:sz w:val="18"/>
              </w:rPr>
            </w:pPr>
            <w:r w:rsidRPr="006A529A">
              <w:rPr>
                <w:rFonts w:cs="Arial"/>
                <w:iCs/>
                <w:color w:val="000000" w:themeColor="text1"/>
                <w:sz w:val="18"/>
              </w:rPr>
              <w:t>Total</w:t>
            </w:r>
          </w:p>
        </w:tc>
        <w:tc>
          <w:tcPr>
            <w:tcW w:w="690" w:type="pct"/>
            <w:tcBorders>
              <w:bottom w:val="single" w:sz="4" w:space="0" w:color="BFBFBF" w:themeColor="background1" w:themeShade="BF"/>
            </w:tcBorders>
            <w:shd w:val="clear" w:color="auto" w:fill="D9D9D9" w:themeFill="background1" w:themeFillShade="D9"/>
            <w:hideMark/>
          </w:tcPr>
          <w:p w:rsidR="00527B4C" w:rsidRPr="006A529A" w:rsidRDefault="00E0199F" w:rsidP="000806C3">
            <w:pPr>
              <w:jc w:val="center"/>
              <w:rPr>
                <w:rFonts w:cs="Arial"/>
                <w:iCs/>
                <w:color w:val="000000" w:themeColor="text1"/>
                <w:sz w:val="18"/>
              </w:rPr>
            </w:pPr>
            <w:r>
              <w:rPr>
                <w:rFonts w:cs="Arial"/>
                <w:iCs/>
                <w:color w:val="000000" w:themeColor="text1"/>
                <w:sz w:val="18"/>
              </w:rPr>
              <w:t>Žene</w:t>
            </w:r>
          </w:p>
        </w:tc>
      </w:tr>
      <w:tr w:rsidR="00527B4C" w:rsidRPr="006A529A" w:rsidTr="00A80443">
        <w:trPr>
          <w:trHeight w:val="181"/>
        </w:trPr>
        <w:tc>
          <w:tcPr>
            <w:tcW w:w="1061" w:type="pct"/>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rsidR="00527B4C" w:rsidRPr="006A529A" w:rsidRDefault="006711DE" w:rsidP="000806C3">
            <w:pPr>
              <w:jc w:val="center"/>
              <w:rPr>
                <w:rFonts w:cs="Arial"/>
                <w:iCs/>
                <w:color w:val="000000" w:themeColor="text1"/>
                <w:sz w:val="18"/>
              </w:rPr>
            </w:pPr>
            <w:r w:rsidRPr="006A529A">
              <w:rPr>
                <w:rFonts w:cs="Arial"/>
                <w:iCs/>
                <w:color w:val="000000" w:themeColor="text1"/>
                <w:sz w:val="18"/>
              </w:rPr>
              <w:t>Berane</w:t>
            </w:r>
          </w:p>
        </w:tc>
        <w:tc>
          <w:tcPr>
            <w:tcW w:w="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7B4C" w:rsidRPr="006A529A" w:rsidRDefault="005E7C88" w:rsidP="000806C3">
            <w:pPr>
              <w:jc w:val="center"/>
              <w:rPr>
                <w:rFonts w:cs="Arial"/>
                <w:iCs/>
                <w:color w:val="000000" w:themeColor="text1"/>
                <w:sz w:val="18"/>
              </w:rPr>
            </w:pPr>
            <w:r w:rsidRPr="006A529A">
              <w:rPr>
                <w:rFonts w:cs="Arial"/>
                <w:iCs/>
                <w:color w:val="000000" w:themeColor="text1"/>
                <w:sz w:val="18"/>
              </w:rPr>
              <w:t>2</w:t>
            </w:r>
            <w:r w:rsidR="00066CC4">
              <w:rPr>
                <w:rFonts w:cs="Arial"/>
                <w:iCs/>
                <w:color w:val="000000" w:themeColor="text1"/>
                <w:sz w:val="18"/>
              </w:rPr>
              <w:t>.</w:t>
            </w:r>
            <w:r w:rsidRPr="006A529A">
              <w:rPr>
                <w:rFonts w:cs="Arial"/>
                <w:iCs/>
                <w:color w:val="000000" w:themeColor="text1"/>
                <w:sz w:val="18"/>
              </w:rPr>
              <w:t>179</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7B4C" w:rsidRPr="006A529A" w:rsidRDefault="005E7C88" w:rsidP="000806C3">
            <w:pPr>
              <w:jc w:val="center"/>
              <w:rPr>
                <w:rFonts w:cs="Arial"/>
                <w:iCs/>
                <w:color w:val="000000" w:themeColor="text1"/>
                <w:sz w:val="18"/>
              </w:rPr>
            </w:pPr>
            <w:r w:rsidRPr="006A529A">
              <w:rPr>
                <w:rFonts w:cs="Arial"/>
                <w:iCs/>
                <w:color w:val="000000" w:themeColor="text1"/>
                <w:sz w:val="18"/>
              </w:rPr>
              <w:t>1</w:t>
            </w:r>
            <w:r w:rsidR="00066CC4">
              <w:rPr>
                <w:rFonts w:cs="Arial"/>
                <w:iCs/>
                <w:color w:val="000000" w:themeColor="text1"/>
                <w:sz w:val="18"/>
              </w:rPr>
              <w:t>.</w:t>
            </w:r>
            <w:r w:rsidRPr="006A529A">
              <w:rPr>
                <w:rFonts w:cs="Arial"/>
                <w:iCs/>
                <w:color w:val="000000" w:themeColor="text1"/>
                <w:sz w:val="18"/>
              </w:rPr>
              <w:t>161</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7B4C" w:rsidRPr="006A529A" w:rsidRDefault="005E7C88" w:rsidP="000806C3">
            <w:pPr>
              <w:jc w:val="center"/>
              <w:rPr>
                <w:rFonts w:cs="Arial"/>
                <w:iCs/>
                <w:color w:val="000000" w:themeColor="text1"/>
                <w:sz w:val="18"/>
              </w:rPr>
            </w:pPr>
            <w:r w:rsidRPr="006A529A">
              <w:rPr>
                <w:rFonts w:cs="Arial"/>
                <w:iCs/>
                <w:color w:val="000000" w:themeColor="text1"/>
                <w:sz w:val="18"/>
              </w:rPr>
              <w:t>2</w:t>
            </w:r>
            <w:r w:rsidR="00066CC4">
              <w:rPr>
                <w:rFonts w:cs="Arial"/>
                <w:iCs/>
                <w:color w:val="000000" w:themeColor="text1"/>
                <w:sz w:val="18"/>
              </w:rPr>
              <w:t>.</w:t>
            </w:r>
            <w:r w:rsidRPr="006A529A">
              <w:rPr>
                <w:rFonts w:cs="Arial"/>
                <w:iCs/>
                <w:color w:val="000000" w:themeColor="text1"/>
                <w:sz w:val="18"/>
              </w:rPr>
              <w:t>688</w:t>
            </w:r>
          </w:p>
        </w:tc>
        <w:tc>
          <w:tcPr>
            <w:tcW w:w="6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7B4C" w:rsidRPr="006A529A" w:rsidRDefault="005E7C88" w:rsidP="000806C3">
            <w:pPr>
              <w:jc w:val="center"/>
              <w:rPr>
                <w:rFonts w:cs="Arial"/>
                <w:iCs/>
                <w:color w:val="000000" w:themeColor="text1"/>
                <w:sz w:val="18"/>
              </w:rPr>
            </w:pPr>
            <w:r w:rsidRPr="006A529A">
              <w:rPr>
                <w:rFonts w:cs="Arial"/>
                <w:iCs/>
                <w:color w:val="000000" w:themeColor="text1"/>
                <w:sz w:val="18"/>
              </w:rPr>
              <w:t>1</w:t>
            </w:r>
            <w:r w:rsidR="00066CC4">
              <w:rPr>
                <w:rFonts w:cs="Arial"/>
                <w:iCs/>
                <w:color w:val="000000" w:themeColor="text1"/>
                <w:sz w:val="18"/>
              </w:rPr>
              <w:t>.</w:t>
            </w:r>
            <w:r w:rsidRPr="006A529A">
              <w:rPr>
                <w:rFonts w:cs="Arial"/>
                <w:iCs/>
                <w:color w:val="000000" w:themeColor="text1"/>
                <w:sz w:val="18"/>
              </w:rPr>
              <w:t>541</w:t>
            </w:r>
          </w:p>
        </w:tc>
        <w:tc>
          <w:tcPr>
            <w:tcW w:w="6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7B4C" w:rsidRPr="006A529A" w:rsidRDefault="005E7C88" w:rsidP="000806C3">
            <w:pPr>
              <w:jc w:val="center"/>
              <w:rPr>
                <w:rFonts w:cs="Arial"/>
                <w:iCs/>
                <w:color w:val="000000" w:themeColor="text1"/>
                <w:sz w:val="18"/>
              </w:rPr>
            </w:pPr>
            <w:r w:rsidRPr="006A529A">
              <w:rPr>
                <w:rFonts w:cs="Arial"/>
                <w:iCs/>
                <w:color w:val="000000" w:themeColor="text1"/>
                <w:sz w:val="18"/>
              </w:rPr>
              <w:t>2</w:t>
            </w:r>
            <w:r w:rsidR="00066CC4">
              <w:rPr>
                <w:rFonts w:cs="Arial"/>
                <w:iCs/>
                <w:color w:val="000000" w:themeColor="text1"/>
                <w:sz w:val="18"/>
              </w:rPr>
              <w:t>.</w:t>
            </w:r>
            <w:r w:rsidRPr="006A529A">
              <w:rPr>
                <w:rFonts w:cs="Arial"/>
                <w:iCs/>
                <w:color w:val="000000" w:themeColor="text1"/>
                <w:sz w:val="18"/>
              </w:rPr>
              <w:t>641</w:t>
            </w:r>
          </w:p>
        </w:tc>
        <w:tc>
          <w:tcPr>
            <w:tcW w:w="690"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527B4C" w:rsidRPr="006A529A" w:rsidRDefault="005E7C88" w:rsidP="000806C3">
            <w:pPr>
              <w:jc w:val="center"/>
              <w:rPr>
                <w:rFonts w:cs="Arial"/>
                <w:iCs/>
                <w:color w:val="000000" w:themeColor="text1"/>
                <w:sz w:val="18"/>
              </w:rPr>
            </w:pPr>
            <w:r w:rsidRPr="006A529A">
              <w:rPr>
                <w:rFonts w:cs="Arial"/>
                <w:iCs/>
                <w:color w:val="000000" w:themeColor="text1"/>
                <w:sz w:val="18"/>
              </w:rPr>
              <w:t>1</w:t>
            </w:r>
            <w:r w:rsidR="00066CC4">
              <w:rPr>
                <w:rFonts w:cs="Arial"/>
                <w:iCs/>
                <w:color w:val="000000" w:themeColor="text1"/>
                <w:sz w:val="18"/>
              </w:rPr>
              <w:t>.</w:t>
            </w:r>
            <w:r w:rsidRPr="006A529A">
              <w:rPr>
                <w:rFonts w:cs="Arial"/>
                <w:iCs/>
                <w:color w:val="000000" w:themeColor="text1"/>
                <w:sz w:val="18"/>
              </w:rPr>
              <w:t>526</w:t>
            </w:r>
          </w:p>
        </w:tc>
      </w:tr>
      <w:tr w:rsidR="00527B4C" w:rsidRPr="002E73D1" w:rsidTr="00A80443">
        <w:trPr>
          <w:trHeight w:val="269"/>
        </w:trPr>
        <w:tc>
          <w:tcPr>
            <w:tcW w:w="1061" w:type="pct"/>
            <w:tcBorders>
              <w:top w:val="single" w:sz="4" w:space="0" w:color="BFBFBF" w:themeColor="background1" w:themeShade="BF"/>
              <w:bottom w:val="single" w:sz="4" w:space="0" w:color="BFBFBF" w:themeColor="background1" w:themeShade="BF"/>
              <w:right w:val="single" w:sz="4" w:space="0" w:color="BFBFBF" w:themeColor="background1" w:themeShade="BF"/>
            </w:tcBorders>
            <w:hideMark/>
          </w:tcPr>
          <w:p w:rsidR="00527B4C" w:rsidRPr="002E73D1" w:rsidRDefault="00527B4C" w:rsidP="000806C3">
            <w:pPr>
              <w:jc w:val="center"/>
              <w:rPr>
                <w:rFonts w:cs="Arial"/>
                <w:iCs/>
                <w:color w:val="000000" w:themeColor="text1"/>
                <w:sz w:val="18"/>
              </w:rPr>
            </w:pPr>
            <w:r w:rsidRPr="002E73D1">
              <w:rPr>
                <w:rFonts w:cs="Arial"/>
                <w:iCs/>
                <w:color w:val="000000" w:themeColor="text1"/>
                <w:sz w:val="18"/>
              </w:rPr>
              <w:t>Crna Gora</w:t>
            </w:r>
          </w:p>
        </w:tc>
        <w:tc>
          <w:tcPr>
            <w:tcW w:w="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7B4C" w:rsidRPr="002E73D1" w:rsidRDefault="00527B4C" w:rsidP="000806C3">
            <w:pPr>
              <w:jc w:val="center"/>
              <w:rPr>
                <w:rFonts w:cs="Arial"/>
                <w:iCs/>
                <w:color w:val="000000" w:themeColor="text1"/>
                <w:sz w:val="18"/>
              </w:rPr>
            </w:pPr>
            <w:r w:rsidRPr="002E73D1">
              <w:rPr>
                <w:rFonts w:cs="Arial"/>
                <w:iCs/>
                <w:color w:val="000000" w:themeColor="text1"/>
                <w:sz w:val="18"/>
              </w:rPr>
              <w:t>8</w:t>
            </w:r>
            <w:r w:rsidR="00066CC4">
              <w:rPr>
                <w:rFonts w:cs="Arial"/>
                <w:iCs/>
                <w:color w:val="000000" w:themeColor="text1"/>
                <w:sz w:val="18"/>
              </w:rPr>
              <w:t>.</w:t>
            </w:r>
            <w:r w:rsidRPr="002E73D1">
              <w:rPr>
                <w:rFonts w:cs="Arial"/>
                <w:iCs/>
                <w:color w:val="000000" w:themeColor="text1"/>
                <w:sz w:val="18"/>
              </w:rPr>
              <w:t>222</w:t>
            </w:r>
          </w:p>
        </w:tc>
        <w:tc>
          <w:tcPr>
            <w:tcW w:w="6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7B4C" w:rsidRPr="002E73D1" w:rsidRDefault="00527B4C" w:rsidP="000806C3">
            <w:pPr>
              <w:jc w:val="center"/>
              <w:rPr>
                <w:rFonts w:cs="Arial"/>
                <w:iCs/>
                <w:color w:val="000000" w:themeColor="text1"/>
                <w:sz w:val="18"/>
              </w:rPr>
            </w:pPr>
            <w:r w:rsidRPr="002E73D1">
              <w:rPr>
                <w:rFonts w:cs="Arial"/>
                <w:iCs/>
                <w:color w:val="000000" w:themeColor="text1"/>
                <w:sz w:val="18"/>
              </w:rPr>
              <w:t>4</w:t>
            </w:r>
            <w:r w:rsidR="00066CC4">
              <w:rPr>
                <w:rFonts w:cs="Arial"/>
                <w:iCs/>
                <w:color w:val="000000" w:themeColor="text1"/>
                <w:sz w:val="18"/>
              </w:rPr>
              <w:t>.</w:t>
            </w:r>
            <w:r w:rsidRPr="002E73D1">
              <w:rPr>
                <w:rFonts w:cs="Arial"/>
                <w:iCs/>
                <w:color w:val="000000" w:themeColor="text1"/>
                <w:sz w:val="18"/>
              </w:rPr>
              <w:t>477</w:t>
            </w:r>
          </w:p>
        </w:tc>
        <w:tc>
          <w:tcPr>
            <w:tcW w:w="6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7B4C" w:rsidRPr="002E73D1" w:rsidRDefault="00527B4C" w:rsidP="000806C3">
            <w:pPr>
              <w:jc w:val="center"/>
              <w:rPr>
                <w:rFonts w:cs="Arial"/>
                <w:iCs/>
                <w:color w:val="000000" w:themeColor="text1"/>
                <w:sz w:val="18"/>
              </w:rPr>
            </w:pPr>
            <w:r w:rsidRPr="002E73D1">
              <w:rPr>
                <w:rFonts w:cs="Arial"/>
                <w:iCs/>
                <w:color w:val="000000" w:themeColor="text1"/>
                <w:sz w:val="18"/>
              </w:rPr>
              <w:t>11</w:t>
            </w:r>
            <w:r w:rsidR="00066CC4">
              <w:rPr>
                <w:rFonts w:cs="Arial"/>
                <w:iCs/>
                <w:color w:val="000000" w:themeColor="text1"/>
                <w:sz w:val="18"/>
              </w:rPr>
              <w:t>.</w:t>
            </w:r>
            <w:r w:rsidRPr="002E73D1">
              <w:rPr>
                <w:rFonts w:cs="Arial"/>
                <w:iCs/>
                <w:color w:val="000000" w:themeColor="text1"/>
                <w:sz w:val="18"/>
              </w:rPr>
              <w:t>163</w:t>
            </w:r>
          </w:p>
        </w:tc>
        <w:tc>
          <w:tcPr>
            <w:tcW w:w="67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27B4C" w:rsidRPr="002E73D1" w:rsidRDefault="00527B4C" w:rsidP="000806C3">
            <w:pPr>
              <w:jc w:val="center"/>
              <w:rPr>
                <w:rFonts w:cs="Arial"/>
                <w:iCs/>
                <w:color w:val="000000" w:themeColor="text1"/>
                <w:sz w:val="18"/>
              </w:rPr>
            </w:pPr>
            <w:r w:rsidRPr="002E73D1">
              <w:rPr>
                <w:rFonts w:cs="Arial"/>
                <w:iCs/>
                <w:color w:val="000000" w:themeColor="text1"/>
                <w:sz w:val="18"/>
              </w:rPr>
              <w:t>6</w:t>
            </w:r>
            <w:r w:rsidR="00066CC4">
              <w:rPr>
                <w:rFonts w:cs="Arial"/>
                <w:iCs/>
                <w:color w:val="000000" w:themeColor="text1"/>
                <w:sz w:val="18"/>
              </w:rPr>
              <w:t>.</w:t>
            </w:r>
            <w:r w:rsidRPr="002E73D1">
              <w:rPr>
                <w:rFonts w:cs="Arial"/>
                <w:iCs/>
                <w:color w:val="000000" w:themeColor="text1"/>
                <w:sz w:val="18"/>
              </w:rPr>
              <w:t>720</w:t>
            </w:r>
          </w:p>
        </w:tc>
        <w:tc>
          <w:tcPr>
            <w:tcW w:w="66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27B4C" w:rsidRPr="002E73D1" w:rsidRDefault="00682ADA" w:rsidP="000806C3">
            <w:pPr>
              <w:jc w:val="center"/>
              <w:rPr>
                <w:rFonts w:cs="Arial"/>
                <w:iCs/>
                <w:color w:val="000000" w:themeColor="text1"/>
                <w:sz w:val="18"/>
              </w:rPr>
            </w:pPr>
            <w:r w:rsidRPr="002E73D1">
              <w:rPr>
                <w:rFonts w:cs="Arial"/>
                <w:iCs/>
                <w:color w:val="000000" w:themeColor="text1"/>
                <w:sz w:val="18"/>
              </w:rPr>
              <w:t>11</w:t>
            </w:r>
            <w:r w:rsidR="00066CC4">
              <w:rPr>
                <w:rFonts w:cs="Arial"/>
                <w:iCs/>
                <w:color w:val="000000" w:themeColor="text1"/>
                <w:sz w:val="18"/>
              </w:rPr>
              <w:t>.</w:t>
            </w:r>
            <w:r w:rsidRPr="002E73D1">
              <w:rPr>
                <w:rFonts w:cs="Arial"/>
                <w:iCs/>
                <w:color w:val="000000" w:themeColor="text1"/>
                <w:sz w:val="18"/>
              </w:rPr>
              <w:t>067</w:t>
            </w:r>
          </w:p>
        </w:tc>
        <w:tc>
          <w:tcPr>
            <w:tcW w:w="690"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527B4C" w:rsidRPr="002E73D1" w:rsidRDefault="00682ADA" w:rsidP="000806C3">
            <w:pPr>
              <w:jc w:val="center"/>
              <w:rPr>
                <w:rFonts w:cs="Arial"/>
                <w:iCs/>
                <w:color w:val="000000" w:themeColor="text1"/>
                <w:sz w:val="18"/>
              </w:rPr>
            </w:pPr>
            <w:r w:rsidRPr="002E73D1">
              <w:rPr>
                <w:rFonts w:cs="Arial"/>
                <w:iCs/>
                <w:color w:val="000000" w:themeColor="text1"/>
                <w:sz w:val="18"/>
              </w:rPr>
              <w:t>6</w:t>
            </w:r>
            <w:r w:rsidR="00066CC4">
              <w:rPr>
                <w:rFonts w:cs="Arial"/>
                <w:iCs/>
                <w:color w:val="000000" w:themeColor="text1"/>
                <w:sz w:val="18"/>
              </w:rPr>
              <w:t>.</w:t>
            </w:r>
            <w:r w:rsidRPr="002E73D1">
              <w:rPr>
                <w:rFonts w:cs="Arial"/>
                <w:iCs/>
                <w:color w:val="000000" w:themeColor="text1"/>
                <w:sz w:val="18"/>
              </w:rPr>
              <w:t>696</w:t>
            </w:r>
          </w:p>
        </w:tc>
      </w:tr>
    </w:tbl>
    <w:p w:rsidR="005E7C88" w:rsidRPr="00A80443" w:rsidRDefault="00A80443" w:rsidP="00A80443">
      <w:pPr>
        <w:jc w:val="right"/>
        <w:rPr>
          <w:i/>
          <w:color w:val="000000" w:themeColor="text1"/>
          <w:szCs w:val="20"/>
        </w:rPr>
      </w:pPr>
      <w:r w:rsidRPr="00F4020D">
        <w:rPr>
          <w:i/>
          <w:color w:val="000000" w:themeColor="text1"/>
          <w:sz w:val="18"/>
        </w:rPr>
        <w:t>Извор: Завод за запошљава</w:t>
      </w:r>
      <w:r>
        <w:rPr>
          <w:i/>
          <w:color w:val="000000" w:themeColor="text1"/>
          <w:sz w:val="18"/>
        </w:rPr>
        <w:t>ње Црне Горе, Извјештаји о раду</w:t>
      </w:r>
      <w:r w:rsidR="005E7C88" w:rsidRPr="002E73D1">
        <w:rPr>
          <w:i/>
          <w:color w:val="000000" w:themeColor="text1"/>
          <w:sz w:val="18"/>
        </w:rPr>
        <w:t xml:space="preserve"> </w:t>
      </w:r>
    </w:p>
    <w:p w:rsidR="002E73D1" w:rsidRDefault="002E73D1" w:rsidP="000806C3">
      <w:pPr>
        <w:jc w:val="both"/>
        <w:rPr>
          <w:rFonts w:cs="Arial"/>
          <w:iCs/>
          <w:color w:val="000000" w:themeColor="text1"/>
          <w:sz w:val="22"/>
          <w:szCs w:val="22"/>
        </w:rPr>
      </w:pPr>
    </w:p>
    <w:p w:rsidR="009E207A" w:rsidRPr="006A529A" w:rsidRDefault="009D0780" w:rsidP="009D0780">
      <w:pPr>
        <w:jc w:val="both"/>
        <w:rPr>
          <w:rFonts w:cs="Arial"/>
          <w:color w:val="000000" w:themeColor="text1"/>
          <w:sz w:val="22"/>
          <w:szCs w:val="22"/>
        </w:rPr>
      </w:pPr>
      <w:r w:rsidRPr="009D0780">
        <w:rPr>
          <w:rFonts w:cs="Arial"/>
          <w:iCs/>
          <w:color w:val="000000" w:themeColor="text1"/>
          <w:sz w:val="22"/>
          <w:szCs w:val="22"/>
        </w:rPr>
        <w:t xml:space="preserve">У односу на укупну незапосленост у Беранама, лица са инвалидитетом су у 2019. чинила чак 62,3%, док је тај проценат на крају шест мјесеци 2020. био нешто мањи (59,0%). Са становишта образовања, највећи проценат лица са инвалидитетом на евиденцији Бироа рада Беране су средњеквалификовани </w:t>
      </w:r>
      <w:r w:rsidR="009E207A" w:rsidRPr="006A529A">
        <w:rPr>
          <w:rFonts w:cs="Arial"/>
          <w:color w:val="000000" w:themeColor="text1"/>
          <w:sz w:val="22"/>
          <w:szCs w:val="22"/>
        </w:rPr>
        <w:t xml:space="preserve">(52,6%, VI 2020), </w:t>
      </w:r>
      <w:r w:rsidRPr="009D0780">
        <w:rPr>
          <w:rFonts w:cs="Arial"/>
          <w:color w:val="000000" w:themeColor="text1"/>
          <w:sz w:val="22"/>
          <w:szCs w:val="22"/>
        </w:rPr>
        <w:t xml:space="preserve">док је висок проценат неквалификованих </w:t>
      </w:r>
      <w:r w:rsidR="009E207A" w:rsidRPr="006A529A">
        <w:rPr>
          <w:rFonts w:cs="Arial"/>
          <w:color w:val="000000" w:themeColor="text1"/>
          <w:sz w:val="22"/>
          <w:szCs w:val="22"/>
        </w:rPr>
        <w:t xml:space="preserve">(44,5%). </w:t>
      </w:r>
    </w:p>
    <w:p w:rsidR="002E73D1" w:rsidRDefault="002E73D1" w:rsidP="009D0780">
      <w:pPr>
        <w:jc w:val="both"/>
        <w:rPr>
          <w:rFonts w:cs="Arial"/>
          <w:color w:val="000000" w:themeColor="text1"/>
          <w:sz w:val="22"/>
          <w:szCs w:val="22"/>
        </w:rPr>
      </w:pPr>
    </w:p>
    <w:p w:rsidR="00804694" w:rsidRDefault="009D0780" w:rsidP="009D0780">
      <w:pPr>
        <w:jc w:val="both"/>
        <w:rPr>
          <w:rFonts w:cs="Arial"/>
          <w:color w:val="000000" w:themeColor="text1"/>
          <w:sz w:val="22"/>
          <w:szCs w:val="22"/>
        </w:rPr>
      </w:pPr>
      <w:r w:rsidRPr="009D0780">
        <w:rPr>
          <w:rFonts w:cs="Arial"/>
          <w:color w:val="000000" w:themeColor="text1"/>
          <w:sz w:val="22"/>
          <w:szCs w:val="22"/>
        </w:rPr>
        <w:t>Додатни проблем тржишта рада је старосна структура лица са инвалидитетом која се налазе на евиденцији. Наиме, на крају другог квартала 2020. 63% лица са инвалидитетом је старије од 50 година, док је 87,4% старије од 40 година. Поред квалификационе структуре, старосна структура ове категорије незапослених представља додатно оптерећење тржишта рада.</w:t>
      </w:r>
    </w:p>
    <w:p w:rsidR="009D0780" w:rsidRPr="009D0780" w:rsidRDefault="009D0780" w:rsidP="000806C3">
      <w:pPr>
        <w:jc w:val="both"/>
        <w:rPr>
          <w:rFonts w:cs="Arial"/>
          <w:color w:val="000000" w:themeColor="text1"/>
          <w:sz w:val="22"/>
          <w:szCs w:val="22"/>
        </w:rPr>
      </w:pPr>
    </w:p>
    <w:p w:rsidR="009B4F22" w:rsidRPr="006A529A" w:rsidRDefault="0045461F" w:rsidP="000806C3">
      <w:pPr>
        <w:pStyle w:val="Heading2"/>
        <w:spacing w:before="0"/>
      </w:pPr>
      <w:bookmarkStart w:id="28" w:name="_Toc74296645"/>
      <w:bookmarkStart w:id="29" w:name="_Toc44873764"/>
      <w:bookmarkStart w:id="30" w:name="_Toc52644730"/>
      <w:r w:rsidRPr="006A529A">
        <w:t>3.</w:t>
      </w:r>
      <w:r w:rsidR="00BC319B" w:rsidRPr="006A529A">
        <w:t>3</w:t>
      </w:r>
      <w:r w:rsidR="009D0780">
        <w:t xml:space="preserve"> </w:t>
      </w:r>
      <w:r w:rsidR="009D0780" w:rsidRPr="009D0780">
        <w:t>Програми и мјере Завода за запошљавање</w:t>
      </w:r>
      <w:bookmarkEnd w:id="28"/>
      <w:r w:rsidRPr="006A529A">
        <w:t xml:space="preserve"> </w:t>
      </w:r>
      <w:bookmarkEnd w:id="29"/>
      <w:bookmarkEnd w:id="30"/>
    </w:p>
    <w:p w:rsidR="00204D27" w:rsidRPr="006A529A" w:rsidRDefault="00204D27" w:rsidP="000806C3">
      <w:pPr>
        <w:jc w:val="both"/>
        <w:rPr>
          <w:rFonts w:cs="Arial"/>
          <w:iCs/>
          <w:color w:val="000000" w:themeColor="text1"/>
          <w:sz w:val="22"/>
          <w:szCs w:val="22"/>
        </w:rPr>
      </w:pPr>
    </w:p>
    <w:p w:rsidR="009B4F22" w:rsidRDefault="009D0780" w:rsidP="009D0780">
      <w:pPr>
        <w:pStyle w:val="Heading2"/>
        <w:spacing w:before="0"/>
        <w:jc w:val="both"/>
        <w:rPr>
          <w:rFonts w:eastAsiaTheme="minorHAnsi" w:cs="Arial"/>
          <w:b w:val="0"/>
          <w:iCs/>
          <w:color w:val="000000" w:themeColor="text1"/>
          <w:sz w:val="22"/>
          <w:szCs w:val="22"/>
        </w:rPr>
      </w:pPr>
      <w:bookmarkStart w:id="31" w:name="_Toc74296646"/>
      <w:r w:rsidRPr="009D0780">
        <w:rPr>
          <w:rFonts w:eastAsiaTheme="minorHAnsi" w:cs="Arial"/>
          <w:b w:val="0"/>
          <w:iCs/>
          <w:color w:val="000000" w:themeColor="text1"/>
          <w:sz w:val="22"/>
          <w:szCs w:val="22"/>
        </w:rPr>
        <w:t>Биро рада Беране је током претходног периода спровео низ мјера и програма у циљу смањења броја незапослених и побољшања стања на тржишту рада. Мјере које су спроведене се односе на стручни третман незапослених, активне мјере запошљавања, професионална рехабилитација лица са инвалидитетом, стручно оспособљавање лица са стеченим високим образовањем и друго.</w:t>
      </w:r>
      <w:bookmarkEnd w:id="31"/>
    </w:p>
    <w:p w:rsidR="009D0780" w:rsidRPr="009D0780" w:rsidRDefault="009D0780" w:rsidP="009D0780">
      <w:pPr>
        <w:rPr>
          <w:highlight w:val="yellow"/>
        </w:rPr>
      </w:pPr>
    </w:p>
    <w:p w:rsidR="00066CC4" w:rsidRPr="006A529A" w:rsidRDefault="00C058B9" w:rsidP="00066CC4">
      <w:pPr>
        <w:pStyle w:val="Heading2"/>
        <w:spacing w:before="0"/>
      </w:pPr>
      <w:bookmarkStart w:id="32" w:name="_Toc52951744"/>
      <w:bookmarkStart w:id="33" w:name="_Toc74296647"/>
      <w:r w:rsidRPr="006664BA">
        <w:rPr>
          <w:color w:val="auto"/>
        </w:rPr>
        <w:t xml:space="preserve">3.3.1 </w:t>
      </w:r>
      <w:r w:rsidR="009D0780" w:rsidRPr="006664BA">
        <w:rPr>
          <w:color w:val="auto"/>
        </w:rPr>
        <w:t>Стручни третман незапослених  лица</w:t>
      </w:r>
      <w:bookmarkEnd w:id="32"/>
      <w:r w:rsidR="00066CC4" w:rsidRPr="006A529A">
        <w:rPr>
          <w:b w:val="0"/>
          <w:bCs/>
          <w:color w:val="auto"/>
          <w:sz w:val="20"/>
          <w:szCs w:val="20"/>
          <w:vertAlign w:val="superscript"/>
        </w:rPr>
        <w:footnoteReference w:id="17"/>
      </w:r>
      <w:bookmarkEnd w:id="33"/>
    </w:p>
    <w:p w:rsidR="009B4F22" w:rsidRPr="006A529A" w:rsidRDefault="009B4F22" w:rsidP="000806C3">
      <w:pPr>
        <w:pStyle w:val="Heading3"/>
        <w:spacing w:before="0"/>
      </w:pPr>
    </w:p>
    <w:p w:rsidR="00204D27" w:rsidRDefault="009D0780" w:rsidP="000806C3">
      <w:pPr>
        <w:jc w:val="both"/>
        <w:rPr>
          <w:rFonts w:cs="Arial"/>
          <w:sz w:val="22"/>
          <w:szCs w:val="22"/>
        </w:rPr>
      </w:pPr>
      <w:r w:rsidRPr="009D0780">
        <w:rPr>
          <w:rFonts w:cs="Arial"/>
          <w:sz w:val="22"/>
          <w:szCs w:val="22"/>
        </w:rPr>
        <w:t>У циљу пружања помоћи незапосленим особама Биро рада Беране води информативне разговоре и индивидуалне интервјуе, организује информативно-мотивационе семинаре и припрема индивидуалне планове запошљавања.</w:t>
      </w:r>
    </w:p>
    <w:p w:rsidR="009D0780" w:rsidRPr="009D0780" w:rsidRDefault="009D0780" w:rsidP="000806C3">
      <w:pPr>
        <w:jc w:val="both"/>
        <w:rPr>
          <w:rFonts w:cs="Arial"/>
          <w:color w:val="000000" w:themeColor="text1"/>
          <w:sz w:val="22"/>
          <w:szCs w:val="22"/>
        </w:rPr>
      </w:pPr>
    </w:p>
    <w:p w:rsidR="00722CD0" w:rsidRPr="00722CD0" w:rsidRDefault="00722CD0" w:rsidP="00722CD0">
      <w:pPr>
        <w:jc w:val="both"/>
        <w:rPr>
          <w:rFonts w:cs="Arial"/>
          <w:color w:val="000000" w:themeColor="text1"/>
          <w:sz w:val="22"/>
          <w:szCs w:val="22"/>
        </w:rPr>
      </w:pPr>
      <w:r w:rsidRPr="00722CD0">
        <w:rPr>
          <w:rFonts w:cs="Arial"/>
          <w:color w:val="000000" w:themeColor="text1"/>
          <w:sz w:val="22"/>
          <w:szCs w:val="22"/>
        </w:rPr>
        <w:t xml:space="preserve">Током 2019. године спроведено је 856 интервјуа са незапосленим лицима и 279 информативних разговора. Такође, према Закону о посредовању при запошљавању и правима за вријеме </w:t>
      </w:r>
      <w:r>
        <w:rPr>
          <w:rFonts w:cs="Arial"/>
          <w:color w:val="000000" w:themeColor="text1"/>
          <w:sz w:val="22"/>
          <w:szCs w:val="22"/>
        </w:rPr>
        <w:t>незапослености</w:t>
      </w:r>
      <w:r w:rsidR="00204D27" w:rsidRPr="006A529A">
        <w:rPr>
          <w:rStyle w:val="FootnoteReference"/>
          <w:rFonts w:cs="Arial"/>
          <w:color w:val="000000" w:themeColor="text1"/>
          <w:sz w:val="22"/>
          <w:szCs w:val="22"/>
        </w:rPr>
        <w:footnoteReference w:id="18"/>
      </w:r>
      <w:r w:rsidR="00204D27" w:rsidRPr="006A529A">
        <w:rPr>
          <w:rFonts w:cs="Arial"/>
          <w:color w:val="000000" w:themeColor="text1"/>
          <w:sz w:val="22"/>
          <w:szCs w:val="22"/>
        </w:rPr>
        <w:t xml:space="preserve"> </w:t>
      </w:r>
      <w:r w:rsidRPr="00722CD0">
        <w:rPr>
          <w:rFonts w:cs="Arial"/>
          <w:color w:val="000000" w:themeColor="text1"/>
          <w:sz w:val="22"/>
          <w:szCs w:val="22"/>
        </w:rPr>
        <w:t xml:space="preserve">припремају се и реализују планови запошљавања, тако да је биро рада Беране израдио 33.203 плана запошљавања за незапослена лица и реализовао 173 плана. У складу са Законом о посредовању при запошљавању и правима за вријеме </w:t>
      </w:r>
      <w:r>
        <w:rPr>
          <w:rFonts w:cs="Arial"/>
          <w:color w:val="000000" w:themeColor="text1"/>
          <w:sz w:val="22"/>
          <w:szCs w:val="22"/>
        </w:rPr>
        <w:t>незапослености</w:t>
      </w:r>
      <w:r w:rsidR="00204D27" w:rsidRPr="006A529A">
        <w:rPr>
          <w:rStyle w:val="FootnoteReference"/>
          <w:rFonts w:cs="Arial"/>
          <w:color w:val="000000" w:themeColor="text1"/>
          <w:sz w:val="22"/>
          <w:szCs w:val="22"/>
        </w:rPr>
        <w:footnoteReference w:id="19"/>
      </w:r>
      <w:r w:rsidR="00204D27" w:rsidRPr="006A529A">
        <w:rPr>
          <w:rFonts w:cs="Arial"/>
          <w:color w:val="000000" w:themeColor="text1"/>
          <w:sz w:val="22"/>
          <w:szCs w:val="22"/>
        </w:rPr>
        <w:t xml:space="preserve"> </w:t>
      </w:r>
      <w:r w:rsidRPr="00722CD0">
        <w:rPr>
          <w:rFonts w:cs="Arial"/>
          <w:color w:val="000000" w:themeColor="text1"/>
          <w:sz w:val="22"/>
          <w:szCs w:val="22"/>
        </w:rPr>
        <w:t>утврђује се индивидуални план запошљавања са незапосленим лицем у року од 45 дана након пријаве у евиденцију ЗЗЗЦГ ради припреме за запошљавање и активног тражења запослења.</w:t>
      </w:r>
    </w:p>
    <w:p w:rsidR="002E73D1" w:rsidRPr="006A529A" w:rsidRDefault="00722CD0" w:rsidP="00722CD0">
      <w:pPr>
        <w:jc w:val="both"/>
        <w:rPr>
          <w:rFonts w:cs="Arial"/>
          <w:color w:val="000000" w:themeColor="text1"/>
          <w:sz w:val="22"/>
          <w:szCs w:val="22"/>
        </w:rPr>
      </w:pPr>
      <w:r w:rsidRPr="00722CD0">
        <w:rPr>
          <w:rFonts w:cs="Arial"/>
          <w:color w:val="000000" w:themeColor="text1"/>
          <w:sz w:val="22"/>
          <w:szCs w:val="22"/>
        </w:rPr>
        <w:t>Додатно, током 2019. је у информационо-мотивациони семинар било укључено 56 незапослених лица.</w:t>
      </w:r>
    </w:p>
    <w:p w:rsidR="002E73D1" w:rsidRPr="006A529A" w:rsidRDefault="002E73D1" w:rsidP="000806C3">
      <w:pPr>
        <w:jc w:val="both"/>
        <w:rPr>
          <w:rFonts w:cs="Arial"/>
          <w:sz w:val="22"/>
          <w:szCs w:val="22"/>
        </w:rPr>
      </w:pPr>
    </w:p>
    <w:p w:rsidR="0045461F" w:rsidRPr="006A529A" w:rsidRDefault="00C058B9" w:rsidP="000806C3">
      <w:pPr>
        <w:pStyle w:val="Heading3"/>
        <w:spacing w:before="0"/>
      </w:pPr>
      <w:r w:rsidRPr="006A529A">
        <w:t xml:space="preserve">3.3.2 </w:t>
      </w:r>
      <w:r w:rsidR="00722CD0" w:rsidRPr="00722CD0">
        <w:t>Активне мјере запошљавања</w:t>
      </w:r>
    </w:p>
    <w:p w:rsidR="00CA1329" w:rsidRPr="006A529A" w:rsidRDefault="00CA1329" w:rsidP="000806C3">
      <w:pPr>
        <w:jc w:val="both"/>
        <w:rPr>
          <w:rFonts w:cs="Arial"/>
          <w:color w:val="000000" w:themeColor="text1"/>
          <w:szCs w:val="20"/>
        </w:rPr>
      </w:pPr>
    </w:p>
    <w:p w:rsidR="00204D27" w:rsidRDefault="00722CD0" w:rsidP="000806C3">
      <w:pPr>
        <w:jc w:val="both"/>
        <w:rPr>
          <w:rFonts w:cs="Arial"/>
          <w:color w:val="000000" w:themeColor="text1"/>
          <w:sz w:val="22"/>
          <w:szCs w:val="22"/>
        </w:rPr>
      </w:pPr>
      <w:r w:rsidRPr="00722CD0">
        <w:rPr>
          <w:rFonts w:cs="Arial"/>
          <w:color w:val="000000" w:themeColor="text1"/>
          <w:sz w:val="22"/>
          <w:szCs w:val="22"/>
        </w:rPr>
        <w:t xml:space="preserve">Током претходног периода, биро рада Беране је спровео различите активне мјере запошљавања, међу којима се могу издвојити јавни радови, оспособљавање одраслих, оспособљавање лица за самостални рад и за рад код послодавца, као и други програми </w:t>
      </w:r>
      <w:r w:rsidRPr="00722CD0">
        <w:rPr>
          <w:rFonts w:cs="Arial"/>
          <w:color w:val="000000" w:themeColor="text1"/>
          <w:sz w:val="22"/>
          <w:szCs w:val="22"/>
        </w:rPr>
        <w:lastRenderedPageBreak/>
        <w:t>намијењени одређеним циљним групама, као што су „Стоп сивој економији“, „Оснажи ме и успјећу“ и „Млади су наш потенцијал“.</w:t>
      </w:r>
    </w:p>
    <w:p w:rsidR="00722CD0" w:rsidRPr="00722CD0" w:rsidRDefault="00722CD0" w:rsidP="000806C3">
      <w:pPr>
        <w:jc w:val="both"/>
        <w:rPr>
          <w:rFonts w:cs="Arial"/>
          <w:color w:val="000000" w:themeColor="text1"/>
          <w:szCs w:val="20"/>
        </w:rPr>
      </w:pPr>
    </w:p>
    <w:p w:rsidR="00593EFC" w:rsidRDefault="003A51F0" w:rsidP="000806C3">
      <w:pPr>
        <w:jc w:val="both"/>
        <w:rPr>
          <w:rFonts w:cs="Arial"/>
          <w:color w:val="000000" w:themeColor="text1"/>
          <w:szCs w:val="20"/>
        </w:rPr>
      </w:pPr>
      <w:r>
        <w:rPr>
          <w:rFonts w:cs="Arial"/>
          <w:color w:val="000000" w:themeColor="text1"/>
          <w:szCs w:val="20"/>
        </w:rPr>
        <w:t>Табела</w:t>
      </w:r>
      <w:r w:rsidR="00E62642" w:rsidRPr="006A529A">
        <w:rPr>
          <w:rFonts w:cs="Arial"/>
          <w:color w:val="000000" w:themeColor="text1"/>
          <w:szCs w:val="20"/>
        </w:rPr>
        <w:t xml:space="preserve"> </w:t>
      </w:r>
      <w:r w:rsidR="00135060">
        <w:rPr>
          <w:rFonts w:cs="Arial"/>
          <w:color w:val="000000" w:themeColor="text1"/>
          <w:szCs w:val="20"/>
        </w:rPr>
        <w:t>15</w:t>
      </w:r>
      <w:r w:rsidR="00593EFC" w:rsidRPr="006A529A">
        <w:rPr>
          <w:rFonts w:cs="Arial"/>
          <w:color w:val="000000" w:themeColor="text1"/>
          <w:szCs w:val="20"/>
        </w:rPr>
        <w:t xml:space="preserve">: </w:t>
      </w:r>
      <w:r w:rsidRPr="003A51F0">
        <w:rPr>
          <w:rFonts w:cs="Arial"/>
          <w:color w:val="000000" w:themeColor="text1"/>
          <w:szCs w:val="20"/>
        </w:rPr>
        <w:t>Укључивање незапослених у активне мјере запошљавања</w:t>
      </w:r>
      <w:r w:rsidR="0090441A" w:rsidRPr="006A529A">
        <w:rPr>
          <w:rStyle w:val="FootnoteReference"/>
          <w:rFonts w:cs="Arial"/>
          <w:color w:val="000000" w:themeColor="text1"/>
          <w:szCs w:val="20"/>
        </w:rPr>
        <w:footnoteReference w:id="20"/>
      </w:r>
    </w:p>
    <w:p w:rsidR="00F7360E" w:rsidRPr="006A529A" w:rsidRDefault="00F7360E" w:rsidP="000806C3">
      <w:pPr>
        <w:jc w:val="both"/>
        <w:rPr>
          <w:rFonts w:cs="Arial"/>
          <w:color w:val="000000" w:themeColor="text1"/>
          <w:szCs w:val="20"/>
        </w:rPr>
      </w:pPr>
    </w:p>
    <w:tbl>
      <w:tblPr>
        <w:tblW w:w="9125" w:type="dxa"/>
        <w:tblInd w:w="-5" w:type="dxa"/>
        <w:tblBorders>
          <w:top w:val="single" w:sz="4" w:space="0" w:color="A6A6A6" w:themeColor="background1" w:themeShade="A6"/>
          <w:bottom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972"/>
        <w:gridCol w:w="1171"/>
        <w:gridCol w:w="1576"/>
        <w:gridCol w:w="1700"/>
        <w:gridCol w:w="1700"/>
        <w:gridCol w:w="1072"/>
        <w:gridCol w:w="934"/>
      </w:tblGrid>
      <w:tr w:rsidR="00A16BC0" w:rsidRPr="006A529A" w:rsidTr="003A51F0">
        <w:trPr>
          <w:trHeight w:val="406"/>
        </w:trPr>
        <w:tc>
          <w:tcPr>
            <w:tcW w:w="972" w:type="dxa"/>
            <w:shd w:val="clear" w:color="auto" w:fill="D9D9D9" w:themeFill="background1" w:themeFillShade="D9"/>
            <w:vAlign w:val="center"/>
            <w:hideMark/>
          </w:tcPr>
          <w:p w:rsidR="00A16BC0" w:rsidRPr="003A51F0" w:rsidRDefault="00A16BC0" w:rsidP="000806C3">
            <w:pPr>
              <w:jc w:val="center"/>
              <w:rPr>
                <w:rFonts w:cs="Arial"/>
                <w:color w:val="000000" w:themeColor="text1"/>
                <w:sz w:val="18"/>
              </w:rPr>
            </w:pPr>
            <w:r w:rsidRPr="002E73D1">
              <w:rPr>
                <w:rFonts w:cs="Arial"/>
                <w:color w:val="000000" w:themeColor="text1"/>
                <w:sz w:val="18"/>
              </w:rPr>
              <w:t>O</w:t>
            </w:r>
            <w:r w:rsidR="003A51F0">
              <w:rPr>
                <w:rFonts w:cs="Arial"/>
                <w:color w:val="000000" w:themeColor="text1"/>
                <w:sz w:val="18"/>
              </w:rPr>
              <w:t>пштина</w:t>
            </w:r>
          </w:p>
        </w:tc>
        <w:tc>
          <w:tcPr>
            <w:tcW w:w="1171" w:type="dxa"/>
            <w:shd w:val="clear" w:color="auto" w:fill="D9D9D9" w:themeFill="background1" w:themeFillShade="D9"/>
            <w:vAlign w:val="center"/>
            <w:hideMark/>
          </w:tcPr>
          <w:p w:rsidR="00A16BC0" w:rsidRPr="002E73D1" w:rsidRDefault="003A51F0" w:rsidP="000806C3">
            <w:pPr>
              <w:jc w:val="center"/>
              <w:rPr>
                <w:rFonts w:cs="Arial"/>
                <w:color w:val="000000" w:themeColor="text1"/>
                <w:sz w:val="18"/>
              </w:rPr>
            </w:pPr>
            <w:r w:rsidRPr="003A51F0">
              <w:rPr>
                <w:rFonts w:cs="Arial"/>
                <w:color w:val="000000" w:themeColor="text1"/>
                <w:sz w:val="18"/>
              </w:rPr>
              <w:t>Јавни рад са Пројектом “Нека буде чисто”</w:t>
            </w:r>
          </w:p>
        </w:tc>
        <w:tc>
          <w:tcPr>
            <w:tcW w:w="1576" w:type="dxa"/>
            <w:shd w:val="clear" w:color="auto" w:fill="D9D9D9" w:themeFill="background1" w:themeFillShade="D9"/>
            <w:vAlign w:val="center"/>
            <w:hideMark/>
          </w:tcPr>
          <w:p w:rsidR="00A16BC0" w:rsidRPr="002E73D1" w:rsidRDefault="003A51F0" w:rsidP="000806C3">
            <w:pPr>
              <w:jc w:val="center"/>
              <w:rPr>
                <w:rFonts w:cs="Arial"/>
                <w:color w:val="000000" w:themeColor="text1"/>
                <w:sz w:val="18"/>
              </w:rPr>
            </w:pPr>
            <w:r w:rsidRPr="003A51F0">
              <w:rPr>
                <w:rFonts w:cs="Arial"/>
                <w:color w:val="000000" w:themeColor="text1"/>
                <w:sz w:val="18"/>
              </w:rPr>
              <w:t>Образовање и оспособљавање одраслих</w:t>
            </w:r>
          </w:p>
        </w:tc>
        <w:tc>
          <w:tcPr>
            <w:tcW w:w="1700" w:type="dxa"/>
            <w:shd w:val="clear" w:color="auto" w:fill="D9D9D9" w:themeFill="background1" w:themeFillShade="D9"/>
            <w:vAlign w:val="center"/>
            <w:hideMark/>
          </w:tcPr>
          <w:p w:rsidR="00A16BC0" w:rsidRPr="002E73D1" w:rsidRDefault="003A51F0" w:rsidP="000806C3">
            <w:pPr>
              <w:jc w:val="center"/>
              <w:rPr>
                <w:rFonts w:cs="Arial"/>
                <w:color w:val="000000" w:themeColor="text1"/>
                <w:sz w:val="18"/>
              </w:rPr>
            </w:pPr>
            <w:r w:rsidRPr="003A51F0">
              <w:rPr>
                <w:rFonts w:cs="Arial"/>
                <w:color w:val="000000" w:themeColor="text1"/>
                <w:sz w:val="18"/>
              </w:rPr>
              <w:t>Оспособљавање за самосталан рад</w:t>
            </w:r>
          </w:p>
        </w:tc>
        <w:tc>
          <w:tcPr>
            <w:tcW w:w="1700" w:type="dxa"/>
            <w:shd w:val="clear" w:color="auto" w:fill="D9D9D9" w:themeFill="background1" w:themeFillShade="D9"/>
            <w:vAlign w:val="center"/>
            <w:hideMark/>
          </w:tcPr>
          <w:p w:rsidR="00A16BC0" w:rsidRPr="002E73D1" w:rsidRDefault="003A51F0" w:rsidP="000806C3">
            <w:pPr>
              <w:jc w:val="center"/>
              <w:rPr>
                <w:rFonts w:cs="Arial"/>
                <w:color w:val="000000" w:themeColor="text1"/>
                <w:sz w:val="18"/>
              </w:rPr>
            </w:pPr>
            <w:r w:rsidRPr="003A51F0">
              <w:rPr>
                <w:rFonts w:cs="Arial"/>
                <w:color w:val="000000" w:themeColor="text1"/>
                <w:sz w:val="18"/>
              </w:rPr>
              <w:t>Оспособљавање за рад код послодавца</w:t>
            </w:r>
          </w:p>
        </w:tc>
        <w:tc>
          <w:tcPr>
            <w:tcW w:w="1072" w:type="dxa"/>
            <w:shd w:val="clear" w:color="auto" w:fill="D9D9D9" w:themeFill="background1" w:themeFillShade="D9"/>
            <w:vAlign w:val="center"/>
            <w:hideMark/>
          </w:tcPr>
          <w:p w:rsidR="00A16BC0" w:rsidRPr="002E73D1" w:rsidRDefault="003A51F0" w:rsidP="000806C3">
            <w:pPr>
              <w:jc w:val="center"/>
              <w:rPr>
                <w:rFonts w:cs="Arial"/>
                <w:color w:val="000000" w:themeColor="text1"/>
                <w:sz w:val="18"/>
              </w:rPr>
            </w:pPr>
            <w:r w:rsidRPr="003A51F0">
              <w:rPr>
                <w:rFonts w:cs="Arial"/>
                <w:color w:val="000000" w:themeColor="text1"/>
                <w:sz w:val="18"/>
              </w:rPr>
              <w:t>Остали програми</w:t>
            </w:r>
          </w:p>
        </w:tc>
        <w:tc>
          <w:tcPr>
            <w:tcW w:w="934" w:type="dxa"/>
            <w:shd w:val="clear" w:color="auto" w:fill="D9D9D9" w:themeFill="background1" w:themeFillShade="D9"/>
            <w:vAlign w:val="center"/>
            <w:hideMark/>
          </w:tcPr>
          <w:p w:rsidR="00A16BC0" w:rsidRPr="003A51F0" w:rsidRDefault="003A51F0" w:rsidP="000806C3">
            <w:pPr>
              <w:jc w:val="center"/>
              <w:rPr>
                <w:rFonts w:cs="Arial"/>
                <w:color w:val="000000" w:themeColor="text1"/>
                <w:sz w:val="18"/>
              </w:rPr>
            </w:pPr>
            <w:r>
              <w:rPr>
                <w:rFonts w:cs="Arial"/>
                <w:color w:val="000000" w:themeColor="text1"/>
                <w:sz w:val="18"/>
              </w:rPr>
              <w:t>Укупно</w:t>
            </w:r>
          </w:p>
        </w:tc>
      </w:tr>
      <w:tr w:rsidR="00A16BC0" w:rsidRPr="006A529A" w:rsidTr="003A51F0">
        <w:trPr>
          <w:trHeight w:val="271"/>
        </w:trPr>
        <w:tc>
          <w:tcPr>
            <w:tcW w:w="972" w:type="dxa"/>
            <w:shd w:val="clear" w:color="auto" w:fill="auto"/>
            <w:vAlign w:val="center"/>
            <w:hideMark/>
          </w:tcPr>
          <w:p w:rsidR="00A16BC0" w:rsidRPr="002E73D1" w:rsidRDefault="00A16BC0" w:rsidP="000806C3">
            <w:pPr>
              <w:jc w:val="both"/>
              <w:rPr>
                <w:rFonts w:cs="Arial"/>
                <w:color w:val="000000" w:themeColor="text1"/>
                <w:sz w:val="18"/>
              </w:rPr>
            </w:pPr>
            <w:r w:rsidRPr="002E73D1">
              <w:rPr>
                <w:rFonts w:cs="Arial"/>
                <w:color w:val="000000" w:themeColor="text1"/>
                <w:sz w:val="18"/>
              </w:rPr>
              <w:t>2016</w:t>
            </w:r>
            <w:r w:rsidR="003E69BE">
              <w:rPr>
                <w:rFonts w:cs="Arial"/>
                <w:color w:val="000000" w:themeColor="text1"/>
                <w:sz w:val="18"/>
              </w:rPr>
              <w:t>.</w:t>
            </w:r>
          </w:p>
        </w:tc>
        <w:tc>
          <w:tcPr>
            <w:tcW w:w="1171"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87</w:t>
            </w:r>
          </w:p>
        </w:tc>
        <w:tc>
          <w:tcPr>
            <w:tcW w:w="1576"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25</w:t>
            </w:r>
          </w:p>
        </w:tc>
        <w:tc>
          <w:tcPr>
            <w:tcW w:w="1700"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20</w:t>
            </w:r>
          </w:p>
        </w:tc>
        <w:tc>
          <w:tcPr>
            <w:tcW w:w="1700"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19</w:t>
            </w:r>
          </w:p>
        </w:tc>
        <w:tc>
          <w:tcPr>
            <w:tcW w:w="1072"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10</w:t>
            </w:r>
          </w:p>
        </w:tc>
        <w:tc>
          <w:tcPr>
            <w:tcW w:w="934"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161</w:t>
            </w:r>
          </w:p>
        </w:tc>
      </w:tr>
      <w:tr w:rsidR="00A16BC0" w:rsidRPr="006A529A" w:rsidTr="003A51F0">
        <w:trPr>
          <w:trHeight w:val="271"/>
        </w:trPr>
        <w:tc>
          <w:tcPr>
            <w:tcW w:w="972" w:type="dxa"/>
            <w:shd w:val="clear" w:color="auto" w:fill="auto"/>
            <w:vAlign w:val="center"/>
            <w:hideMark/>
          </w:tcPr>
          <w:p w:rsidR="00A16BC0" w:rsidRPr="002E73D1" w:rsidRDefault="00A16BC0" w:rsidP="000806C3">
            <w:pPr>
              <w:jc w:val="both"/>
              <w:rPr>
                <w:rFonts w:cs="Arial"/>
                <w:color w:val="000000" w:themeColor="text1"/>
                <w:sz w:val="18"/>
              </w:rPr>
            </w:pPr>
            <w:r w:rsidRPr="002E73D1">
              <w:rPr>
                <w:rFonts w:cs="Arial"/>
                <w:color w:val="000000" w:themeColor="text1"/>
                <w:sz w:val="18"/>
              </w:rPr>
              <w:t>2017</w:t>
            </w:r>
            <w:r w:rsidR="003E69BE">
              <w:rPr>
                <w:rFonts w:cs="Arial"/>
                <w:color w:val="000000" w:themeColor="text1"/>
                <w:sz w:val="18"/>
              </w:rPr>
              <w:t>.</w:t>
            </w:r>
          </w:p>
        </w:tc>
        <w:tc>
          <w:tcPr>
            <w:tcW w:w="1171"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91</w:t>
            </w:r>
          </w:p>
        </w:tc>
        <w:tc>
          <w:tcPr>
            <w:tcW w:w="1576"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65</w:t>
            </w:r>
          </w:p>
        </w:tc>
        <w:tc>
          <w:tcPr>
            <w:tcW w:w="1700"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16</w:t>
            </w:r>
          </w:p>
        </w:tc>
        <w:tc>
          <w:tcPr>
            <w:tcW w:w="1700"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17</w:t>
            </w:r>
          </w:p>
        </w:tc>
        <w:tc>
          <w:tcPr>
            <w:tcW w:w="1072"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3</w:t>
            </w:r>
          </w:p>
        </w:tc>
        <w:tc>
          <w:tcPr>
            <w:tcW w:w="934"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192</w:t>
            </w:r>
          </w:p>
        </w:tc>
      </w:tr>
      <w:tr w:rsidR="00A16BC0" w:rsidRPr="006A529A" w:rsidTr="003A51F0">
        <w:trPr>
          <w:trHeight w:val="271"/>
        </w:trPr>
        <w:tc>
          <w:tcPr>
            <w:tcW w:w="972" w:type="dxa"/>
            <w:shd w:val="clear" w:color="auto" w:fill="auto"/>
            <w:vAlign w:val="center"/>
            <w:hideMark/>
          </w:tcPr>
          <w:p w:rsidR="00A16BC0" w:rsidRPr="002E73D1" w:rsidRDefault="00A16BC0" w:rsidP="000806C3">
            <w:pPr>
              <w:jc w:val="both"/>
              <w:rPr>
                <w:rFonts w:cs="Arial"/>
                <w:color w:val="000000" w:themeColor="text1"/>
                <w:sz w:val="18"/>
              </w:rPr>
            </w:pPr>
            <w:r w:rsidRPr="002E73D1">
              <w:rPr>
                <w:rFonts w:cs="Arial"/>
                <w:color w:val="000000" w:themeColor="text1"/>
                <w:sz w:val="18"/>
              </w:rPr>
              <w:t>2018</w:t>
            </w:r>
            <w:r w:rsidR="003E69BE">
              <w:rPr>
                <w:rFonts w:cs="Arial"/>
                <w:color w:val="000000" w:themeColor="text1"/>
                <w:sz w:val="18"/>
              </w:rPr>
              <w:t>.</w:t>
            </w:r>
          </w:p>
        </w:tc>
        <w:tc>
          <w:tcPr>
            <w:tcW w:w="1171"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126</w:t>
            </w:r>
          </w:p>
        </w:tc>
        <w:tc>
          <w:tcPr>
            <w:tcW w:w="1576"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131</w:t>
            </w:r>
          </w:p>
        </w:tc>
        <w:tc>
          <w:tcPr>
            <w:tcW w:w="1700" w:type="dxa"/>
            <w:shd w:val="clear" w:color="auto" w:fill="auto"/>
            <w:vAlign w:val="center"/>
            <w:hideMark/>
          </w:tcPr>
          <w:p w:rsidR="00A16BC0" w:rsidRPr="002E73D1" w:rsidRDefault="003E69BE" w:rsidP="000806C3">
            <w:pPr>
              <w:jc w:val="center"/>
              <w:rPr>
                <w:rFonts w:cs="Arial"/>
                <w:color w:val="000000" w:themeColor="text1"/>
                <w:sz w:val="18"/>
              </w:rPr>
            </w:pPr>
            <w:r>
              <w:rPr>
                <w:rFonts w:cs="Arial"/>
                <w:color w:val="000000" w:themeColor="text1"/>
                <w:sz w:val="18"/>
              </w:rPr>
              <w:t>/</w:t>
            </w:r>
          </w:p>
        </w:tc>
        <w:tc>
          <w:tcPr>
            <w:tcW w:w="1700" w:type="dxa"/>
            <w:shd w:val="clear" w:color="auto" w:fill="auto"/>
            <w:vAlign w:val="center"/>
            <w:hideMark/>
          </w:tcPr>
          <w:p w:rsidR="00A16BC0" w:rsidRPr="002E73D1" w:rsidRDefault="003E69BE" w:rsidP="000806C3">
            <w:pPr>
              <w:jc w:val="center"/>
              <w:rPr>
                <w:rFonts w:cs="Arial"/>
                <w:color w:val="000000" w:themeColor="text1"/>
                <w:sz w:val="18"/>
              </w:rPr>
            </w:pPr>
            <w:r>
              <w:rPr>
                <w:rFonts w:cs="Arial"/>
                <w:color w:val="000000" w:themeColor="text1"/>
                <w:sz w:val="18"/>
              </w:rPr>
              <w:t>/</w:t>
            </w:r>
          </w:p>
        </w:tc>
        <w:tc>
          <w:tcPr>
            <w:tcW w:w="1072"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127</w:t>
            </w:r>
          </w:p>
        </w:tc>
        <w:tc>
          <w:tcPr>
            <w:tcW w:w="934"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384</w:t>
            </w:r>
          </w:p>
        </w:tc>
      </w:tr>
      <w:tr w:rsidR="00A16BC0" w:rsidRPr="006A529A" w:rsidTr="003A51F0">
        <w:trPr>
          <w:trHeight w:val="147"/>
        </w:trPr>
        <w:tc>
          <w:tcPr>
            <w:tcW w:w="972" w:type="dxa"/>
            <w:shd w:val="clear" w:color="auto" w:fill="auto"/>
            <w:vAlign w:val="center"/>
            <w:hideMark/>
          </w:tcPr>
          <w:p w:rsidR="00A16BC0" w:rsidRPr="002E73D1" w:rsidRDefault="00A16BC0" w:rsidP="000806C3">
            <w:pPr>
              <w:jc w:val="both"/>
              <w:rPr>
                <w:rFonts w:cs="Arial"/>
                <w:color w:val="000000" w:themeColor="text1"/>
                <w:sz w:val="18"/>
              </w:rPr>
            </w:pPr>
            <w:r w:rsidRPr="002E73D1">
              <w:rPr>
                <w:rFonts w:cs="Arial"/>
                <w:color w:val="000000" w:themeColor="text1"/>
                <w:sz w:val="18"/>
              </w:rPr>
              <w:t>2019</w:t>
            </w:r>
            <w:r w:rsidR="003E69BE">
              <w:rPr>
                <w:rFonts w:cs="Arial"/>
                <w:color w:val="000000" w:themeColor="text1"/>
                <w:sz w:val="18"/>
              </w:rPr>
              <w:t>.</w:t>
            </w:r>
          </w:p>
        </w:tc>
        <w:tc>
          <w:tcPr>
            <w:tcW w:w="1171"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66</w:t>
            </w:r>
          </w:p>
        </w:tc>
        <w:tc>
          <w:tcPr>
            <w:tcW w:w="1576"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140</w:t>
            </w:r>
          </w:p>
        </w:tc>
        <w:tc>
          <w:tcPr>
            <w:tcW w:w="1700"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24</w:t>
            </w:r>
          </w:p>
        </w:tc>
        <w:tc>
          <w:tcPr>
            <w:tcW w:w="1700"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40</w:t>
            </w:r>
          </w:p>
        </w:tc>
        <w:tc>
          <w:tcPr>
            <w:tcW w:w="1072"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11</w:t>
            </w:r>
          </w:p>
        </w:tc>
        <w:tc>
          <w:tcPr>
            <w:tcW w:w="934" w:type="dxa"/>
            <w:shd w:val="clear" w:color="auto" w:fill="auto"/>
            <w:vAlign w:val="center"/>
            <w:hideMark/>
          </w:tcPr>
          <w:p w:rsidR="00A16BC0" w:rsidRPr="002E73D1" w:rsidRDefault="00A16BC0" w:rsidP="000806C3">
            <w:pPr>
              <w:jc w:val="center"/>
              <w:rPr>
                <w:rFonts w:cs="Arial"/>
                <w:color w:val="000000" w:themeColor="text1"/>
                <w:sz w:val="18"/>
              </w:rPr>
            </w:pPr>
            <w:r w:rsidRPr="002E73D1">
              <w:rPr>
                <w:rFonts w:cs="Arial"/>
                <w:color w:val="000000" w:themeColor="text1"/>
                <w:sz w:val="18"/>
              </w:rPr>
              <w:t>281</w:t>
            </w:r>
          </w:p>
        </w:tc>
      </w:tr>
    </w:tbl>
    <w:p w:rsidR="003A51F0" w:rsidRPr="00A80443" w:rsidRDefault="003A51F0" w:rsidP="003A51F0">
      <w:pPr>
        <w:jc w:val="right"/>
        <w:rPr>
          <w:i/>
          <w:color w:val="000000" w:themeColor="text1"/>
          <w:szCs w:val="20"/>
        </w:rPr>
      </w:pPr>
      <w:r w:rsidRPr="00F4020D">
        <w:rPr>
          <w:i/>
          <w:color w:val="000000" w:themeColor="text1"/>
          <w:sz w:val="18"/>
        </w:rPr>
        <w:t>Извор: Завод за запошљава</w:t>
      </w:r>
      <w:r>
        <w:rPr>
          <w:i/>
          <w:color w:val="000000" w:themeColor="text1"/>
          <w:sz w:val="18"/>
        </w:rPr>
        <w:t>ње Црне Горе, Извјештаји о раду</w:t>
      </w:r>
      <w:r w:rsidRPr="002E73D1">
        <w:rPr>
          <w:i/>
          <w:color w:val="000000" w:themeColor="text1"/>
          <w:sz w:val="18"/>
        </w:rPr>
        <w:t xml:space="preserve"> </w:t>
      </w:r>
    </w:p>
    <w:p w:rsidR="003A51F0" w:rsidRPr="003A51F0" w:rsidRDefault="00A16BC0" w:rsidP="003A51F0">
      <w:pPr>
        <w:jc w:val="right"/>
        <w:rPr>
          <w:i/>
          <w:color w:val="000000" w:themeColor="text1"/>
          <w:sz w:val="18"/>
        </w:rPr>
      </w:pPr>
      <w:r w:rsidRPr="002E73D1">
        <w:rPr>
          <w:i/>
          <w:color w:val="000000" w:themeColor="text1"/>
          <w:sz w:val="18"/>
        </w:rPr>
        <w:t xml:space="preserve"> </w:t>
      </w:r>
    </w:p>
    <w:p w:rsidR="00722CD0" w:rsidRPr="006644BA" w:rsidRDefault="00722CD0" w:rsidP="000806C3">
      <w:pPr>
        <w:jc w:val="both"/>
        <w:rPr>
          <w:rFonts w:cs="Arial"/>
          <w:color w:val="000000" w:themeColor="text1"/>
          <w:sz w:val="22"/>
          <w:szCs w:val="22"/>
        </w:rPr>
      </w:pPr>
      <w:r w:rsidRPr="00722CD0">
        <w:rPr>
          <w:rFonts w:cs="Arial"/>
          <w:color w:val="000000" w:themeColor="text1"/>
          <w:sz w:val="22"/>
          <w:szCs w:val="22"/>
        </w:rPr>
        <w:t>Током посматраног периода од 2016. до 2019. број незапослених који је укључен у активне мјере запошљавања је варирао. У односу на 2016. годину, број незапослених обухваћених активним мјерама запошљавања је у 2019. години био већи за 74,5%, међутим у односу на 2018. годину број укључених незапослених у мјере запошљавања је мањи за 28,8%. Највећи број незапослених је у 2019. години укључен у програм образовања и оспособљавања одраслих (близу 50%). Међутим, у поређењу са ранијим годинама, структура се значајније мијењала. Током 2016-2017. највећи број незапослених је био укључен у програме јавних радова.</w:t>
      </w:r>
    </w:p>
    <w:p w:rsidR="00066CC4" w:rsidRDefault="00722CD0" w:rsidP="000806C3">
      <w:pPr>
        <w:jc w:val="both"/>
        <w:rPr>
          <w:sz w:val="22"/>
          <w:szCs w:val="22"/>
        </w:rPr>
      </w:pPr>
      <w:r w:rsidRPr="00722CD0">
        <w:rPr>
          <w:sz w:val="22"/>
          <w:szCs w:val="22"/>
          <w:lang w:val="bs-Latn-BA"/>
        </w:rPr>
        <w:t>Прерачунато на просјечан број незапослених пријављених на Бироу рада у 2019. години, било је укључено само 6,5% свих незапослених, што је ипак више од просјека у Сјеверном региону (6,1%) и укупно на нивоу Црне Горе (6,0%).</w:t>
      </w:r>
    </w:p>
    <w:p w:rsidR="00722CD0" w:rsidRPr="00722CD0" w:rsidRDefault="00722CD0" w:rsidP="000806C3">
      <w:pPr>
        <w:jc w:val="both"/>
        <w:rPr>
          <w:sz w:val="22"/>
          <w:szCs w:val="22"/>
        </w:rPr>
      </w:pPr>
    </w:p>
    <w:p w:rsidR="004E3492" w:rsidRPr="006A529A" w:rsidRDefault="00C058B9" w:rsidP="000806C3">
      <w:pPr>
        <w:pStyle w:val="Heading3"/>
        <w:spacing w:before="0"/>
      </w:pPr>
      <w:r w:rsidRPr="006A529A">
        <w:t xml:space="preserve">3.3.3 </w:t>
      </w:r>
      <w:r w:rsidR="006644BA" w:rsidRPr="006644BA">
        <w:t xml:space="preserve">Професионална рехабилитација лица са </w:t>
      </w:r>
      <w:r w:rsidR="006644BA">
        <w:t>инвалидитетом</w:t>
      </w:r>
      <w:r w:rsidR="003E69BE" w:rsidRPr="006A529A">
        <w:rPr>
          <w:rStyle w:val="FootnoteReference"/>
          <w:rFonts w:cs="Times New Roman"/>
        </w:rPr>
        <w:footnoteReference w:id="21"/>
      </w:r>
    </w:p>
    <w:p w:rsidR="00CA1329" w:rsidRPr="006A529A" w:rsidRDefault="00CA1329" w:rsidP="000806C3">
      <w:pPr>
        <w:pStyle w:val="NoSpacing"/>
        <w:jc w:val="both"/>
        <w:rPr>
          <w:rFonts w:ascii="Cambria" w:hAnsi="Cambria" w:cs="Times New Roman"/>
        </w:rPr>
      </w:pPr>
    </w:p>
    <w:p w:rsidR="006644BA" w:rsidRPr="006644BA" w:rsidRDefault="006644BA" w:rsidP="006644BA">
      <w:pPr>
        <w:pStyle w:val="NoSpacing"/>
        <w:jc w:val="both"/>
        <w:rPr>
          <w:rFonts w:ascii="Cambria" w:hAnsi="Cambria" w:cs="Times New Roman"/>
        </w:rPr>
      </w:pPr>
      <w:r w:rsidRPr="006644BA">
        <w:rPr>
          <w:rFonts w:ascii="Cambria" w:hAnsi="Cambria" w:cs="Times New Roman"/>
        </w:rPr>
        <w:t xml:space="preserve">Сходно Закону о професионалној рехабилитацији и запошљавању лица са </w:t>
      </w:r>
      <w:r>
        <w:rPr>
          <w:rFonts w:ascii="Cambria" w:hAnsi="Cambria" w:cs="Times New Roman"/>
        </w:rPr>
        <w:t>инвалидитетом</w:t>
      </w:r>
      <w:r w:rsidR="00BC1F7E" w:rsidRPr="006A529A">
        <w:rPr>
          <w:rStyle w:val="FootnoteReference"/>
          <w:rFonts w:ascii="Cambria" w:hAnsi="Cambria" w:cs="Times New Roman"/>
        </w:rPr>
        <w:footnoteReference w:id="22"/>
      </w:r>
      <w:r w:rsidR="00BC1F7E" w:rsidRPr="006A529A">
        <w:rPr>
          <w:rFonts w:ascii="Cambria" w:hAnsi="Cambria" w:cs="Times New Roman"/>
        </w:rPr>
        <w:t xml:space="preserve">, </w:t>
      </w:r>
      <w:r w:rsidRPr="006644BA">
        <w:rPr>
          <w:rFonts w:ascii="Cambria" w:hAnsi="Cambria" w:cs="Times New Roman"/>
        </w:rPr>
        <w:t xml:space="preserve">у Заводу за запошљавање Црне Горе организован је Фонд за професионалну рехабилитацију и запошљавање лица са инвалидитетом. Фонд се финансира из средстава која су обезбијеђена из посебног доприноса, који уплаћују послодавци који нијесу испунили прописану квоту при запошљавању лица са инвалидитетом. Средства Фонда, сходно Закону могу се користити, за: мјере и активности професионалне рехабилитације за незапослена и запослена лица са инвалидитетом, суфинансирање посебних организација за запошљавање, програме активне политике запошљавања у којима учествују лица са инвалидитетом, субвенције, финансирање грант шема и новчане помоћи за учеснике у мјерама професионалне рехабилитације.  </w:t>
      </w:r>
    </w:p>
    <w:p w:rsidR="00023E29" w:rsidRDefault="006644BA" w:rsidP="006644BA">
      <w:pPr>
        <w:pStyle w:val="NoSpacing"/>
        <w:jc w:val="both"/>
        <w:rPr>
          <w:rFonts w:ascii="Cambria" w:hAnsi="Cambria" w:cs="Times New Roman"/>
        </w:rPr>
      </w:pPr>
      <w:r w:rsidRPr="006644BA">
        <w:rPr>
          <w:rFonts w:ascii="Cambria" w:hAnsi="Cambria" w:cs="Times New Roman"/>
        </w:rPr>
        <w:t>Током 2019. године у Беранама је у мјере професионалне рехабилитације било укључено 71 лице са инвалидитетом.</w:t>
      </w:r>
    </w:p>
    <w:p w:rsidR="006644BA" w:rsidRPr="006644BA" w:rsidRDefault="006644BA" w:rsidP="006644BA">
      <w:pPr>
        <w:pStyle w:val="NoSpacing"/>
        <w:jc w:val="both"/>
        <w:rPr>
          <w:rFonts w:cs="Arial"/>
          <w:i/>
          <w:iCs/>
          <w:color w:val="000000" w:themeColor="text1"/>
        </w:rPr>
      </w:pPr>
    </w:p>
    <w:p w:rsidR="00CA1329" w:rsidRDefault="00C058B9" w:rsidP="006644BA">
      <w:pPr>
        <w:pStyle w:val="Heading3"/>
        <w:spacing w:before="0"/>
      </w:pPr>
      <w:r w:rsidRPr="006A529A">
        <w:t xml:space="preserve">3.3.4 </w:t>
      </w:r>
      <w:r w:rsidR="006644BA" w:rsidRPr="006644BA">
        <w:t>Програм стручног оспособљавања лица са стеченим високим образовањем</w:t>
      </w:r>
    </w:p>
    <w:p w:rsidR="006644BA" w:rsidRPr="006644BA" w:rsidRDefault="006644BA" w:rsidP="006644BA"/>
    <w:p w:rsidR="008E0A1A" w:rsidRDefault="006644BA" w:rsidP="000806C3">
      <w:pPr>
        <w:jc w:val="both"/>
        <w:rPr>
          <w:rFonts w:cs="Arial"/>
          <w:color w:val="000000" w:themeColor="text1"/>
          <w:sz w:val="22"/>
          <w:szCs w:val="22"/>
        </w:rPr>
      </w:pPr>
      <w:r w:rsidRPr="006644BA">
        <w:rPr>
          <w:rFonts w:cs="Arial"/>
          <w:color w:val="000000" w:themeColor="text1"/>
          <w:sz w:val="22"/>
          <w:szCs w:val="22"/>
        </w:rPr>
        <w:t>Током периода од 2016. до 2019. број укључених високошколаца у Програм стручног оспособљавања лица са стеченим високим образовањем је биљежио тренд пада. У 2019. години је број укључених високошколаца био за 19% мањи у поређењу са 2016. годином, док је за 16,2% био већи у односу на 2018. годину</w:t>
      </w:r>
    </w:p>
    <w:p w:rsidR="006644BA" w:rsidRDefault="006644BA" w:rsidP="000806C3">
      <w:pPr>
        <w:jc w:val="both"/>
        <w:rPr>
          <w:rFonts w:cs="Arial"/>
          <w:color w:val="000000" w:themeColor="text1"/>
          <w:sz w:val="22"/>
          <w:szCs w:val="22"/>
        </w:rPr>
      </w:pPr>
    </w:p>
    <w:p w:rsidR="003A51F0" w:rsidRPr="003A51F0" w:rsidRDefault="003A51F0" w:rsidP="000806C3">
      <w:pPr>
        <w:jc w:val="both"/>
        <w:rPr>
          <w:rFonts w:cs="Arial"/>
          <w:color w:val="000000" w:themeColor="text1"/>
          <w:sz w:val="22"/>
          <w:szCs w:val="22"/>
        </w:rPr>
      </w:pPr>
    </w:p>
    <w:p w:rsidR="006644BA" w:rsidRPr="006644BA" w:rsidRDefault="006644BA" w:rsidP="000806C3">
      <w:pPr>
        <w:jc w:val="both"/>
        <w:rPr>
          <w:sz w:val="22"/>
          <w:szCs w:val="22"/>
        </w:rPr>
      </w:pPr>
    </w:p>
    <w:p w:rsidR="00D62334" w:rsidRDefault="005A7B52" w:rsidP="000806C3">
      <w:pPr>
        <w:jc w:val="both"/>
        <w:rPr>
          <w:rFonts w:cs="Arial"/>
          <w:color w:val="000000" w:themeColor="text1"/>
          <w:szCs w:val="20"/>
        </w:rPr>
      </w:pPr>
      <w:r>
        <w:rPr>
          <w:rFonts w:cs="Arial"/>
          <w:color w:val="000000" w:themeColor="text1"/>
          <w:szCs w:val="20"/>
        </w:rPr>
        <w:lastRenderedPageBreak/>
        <w:t>График</w:t>
      </w:r>
      <w:r w:rsidR="007530E9" w:rsidRPr="00E0199F">
        <w:rPr>
          <w:rFonts w:cs="Arial"/>
          <w:color w:val="000000" w:themeColor="text1"/>
          <w:szCs w:val="20"/>
        </w:rPr>
        <w:t xml:space="preserve"> 10: </w:t>
      </w:r>
      <w:r w:rsidRPr="005A7B52">
        <w:rPr>
          <w:rFonts w:cs="Arial"/>
          <w:color w:val="000000" w:themeColor="text1"/>
          <w:szCs w:val="20"/>
        </w:rPr>
        <w:t>Стручно оспособљавање лица са стеченим високим образовањем</w:t>
      </w:r>
    </w:p>
    <w:p w:rsidR="002E73D1" w:rsidRDefault="002E73D1" w:rsidP="000806C3">
      <w:pPr>
        <w:jc w:val="both"/>
        <w:rPr>
          <w:rFonts w:cs="Arial"/>
          <w:color w:val="000000" w:themeColor="text1"/>
          <w:szCs w:val="20"/>
        </w:rPr>
      </w:pPr>
    </w:p>
    <w:p w:rsidR="001F4414" w:rsidRDefault="00F960A0" w:rsidP="00F960A0">
      <w:pPr>
        <w:jc w:val="center"/>
        <w:rPr>
          <w:rFonts w:cs="Arial"/>
          <w:color w:val="000000" w:themeColor="text1"/>
          <w:szCs w:val="20"/>
        </w:rPr>
      </w:pPr>
      <w:r w:rsidRPr="00F960A0">
        <w:rPr>
          <w:noProof/>
          <w:shd w:val="clear" w:color="auto" w:fill="FFFFFF" w:themeFill="background1"/>
          <w:lang w:val="en-US"/>
        </w:rPr>
        <w:drawing>
          <wp:inline distT="0" distB="0" distL="0" distR="0">
            <wp:extent cx="5646420" cy="1978429"/>
            <wp:effectExtent l="0" t="0" r="11430" b="3175"/>
            <wp:docPr id="32" name="Grafikon 3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C8263D6-FC39-419A-B833-5E5A720CDB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5F6648" w:rsidRPr="005A7B52" w:rsidRDefault="005A7B52" w:rsidP="005A7B52">
      <w:pPr>
        <w:rPr>
          <w:rFonts w:cs="Arial"/>
          <w:i/>
          <w:color w:val="000000" w:themeColor="text1"/>
          <w:sz w:val="18"/>
        </w:rPr>
      </w:pPr>
      <w:r>
        <w:rPr>
          <w:rFonts w:cs="Arial"/>
          <w:i/>
          <w:color w:val="000000" w:themeColor="text1"/>
          <w:sz w:val="18"/>
        </w:rPr>
        <w:t xml:space="preserve">                                                                                                                                                                       </w:t>
      </w:r>
      <w:r w:rsidRPr="005A7B52">
        <w:rPr>
          <w:rFonts w:cs="Arial"/>
          <w:i/>
          <w:color w:val="000000" w:themeColor="text1"/>
          <w:sz w:val="18"/>
        </w:rPr>
        <w:t xml:space="preserve">Извор: Завод за запошљавање </w:t>
      </w:r>
      <w:r w:rsidR="005F6648" w:rsidRPr="002E73D1">
        <w:rPr>
          <w:rFonts w:cs="Arial"/>
          <w:i/>
          <w:color w:val="000000" w:themeColor="text1"/>
          <w:sz w:val="18"/>
        </w:rPr>
        <w:t xml:space="preserve"> </w:t>
      </w:r>
    </w:p>
    <w:p w:rsidR="005F6648" w:rsidRDefault="005F6648" w:rsidP="000806C3">
      <w:pPr>
        <w:jc w:val="both"/>
        <w:rPr>
          <w:rFonts w:cs="Arial"/>
          <w:color w:val="000000" w:themeColor="text1"/>
          <w:sz w:val="22"/>
          <w:szCs w:val="22"/>
        </w:rPr>
      </w:pPr>
    </w:p>
    <w:p w:rsidR="00D4523C" w:rsidRDefault="006644BA" w:rsidP="000806C3">
      <w:pPr>
        <w:jc w:val="both"/>
        <w:rPr>
          <w:rFonts w:cs="Arial"/>
          <w:color w:val="000000" w:themeColor="text1"/>
          <w:sz w:val="22"/>
          <w:szCs w:val="22"/>
        </w:rPr>
      </w:pPr>
      <w:r w:rsidRPr="006644BA">
        <w:rPr>
          <w:rFonts w:cs="Arial"/>
          <w:color w:val="000000" w:themeColor="text1"/>
          <w:sz w:val="22"/>
          <w:szCs w:val="22"/>
        </w:rPr>
        <w:t>Током посљедње двије године већи проценат високошколаца је обављао стручно оспособљавање за период од девет мјесеци у јавном сектору (у 2018. је 52,9%, а у 2019. је 51,3% високошколаца било запослено у јавном сектору). Са друге стране, у 2016. години је три четвртине укључених  корисника у овај Програм радило у приватном сектору (76,9%).</w:t>
      </w:r>
    </w:p>
    <w:p w:rsidR="006644BA" w:rsidRPr="006644BA" w:rsidRDefault="006644BA" w:rsidP="000806C3">
      <w:pPr>
        <w:jc w:val="both"/>
        <w:rPr>
          <w:rFonts w:cs="Arial"/>
          <w:color w:val="000000" w:themeColor="text1"/>
          <w:sz w:val="22"/>
          <w:szCs w:val="22"/>
        </w:rPr>
      </w:pPr>
    </w:p>
    <w:p w:rsidR="006D281D" w:rsidRPr="002C1D5A" w:rsidRDefault="006D281D" w:rsidP="000806C3">
      <w:pPr>
        <w:pStyle w:val="Heading2"/>
        <w:spacing w:before="0"/>
        <w:rPr>
          <w:rFonts w:cs="Arial"/>
        </w:rPr>
      </w:pPr>
      <w:bookmarkStart w:id="34" w:name="_Toc44873765"/>
      <w:bookmarkStart w:id="35" w:name="_Toc52644731"/>
      <w:bookmarkStart w:id="36" w:name="_Toc52951745"/>
      <w:bookmarkStart w:id="37" w:name="_Toc74296648"/>
      <w:r w:rsidRPr="002C1D5A">
        <w:rPr>
          <w:rFonts w:cs="Arial"/>
        </w:rPr>
        <w:t xml:space="preserve">3.4 </w:t>
      </w:r>
      <w:bookmarkEnd w:id="34"/>
      <w:bookmarkEnd w:id="35"/>
      <w:bookmarkEnd w:id="36"/>
      <w:r w:rsidR="006644BA" w:rsidRPr="006644BA">
        <w:rPr>
          <w:rFonts w:cs="Arial"/>
        </w:rPr>
        <w:t>Тражња радне снаге</w:t>
      </w:r>
      <w:bookmarkEnd w:id="37"/>
    </w:p>
    <w:p w:rsidR="006D281D" w:rsidRPr="002C1D5A" w:rsidRDefault="006D281D" w:rsidP="000806C3">
      <w:pPr>
        <w:jc w:val="both"/>
        <w:rPr>
          <w:rFonts w:cs="Arial"/>
          <w:color w:val="000000" w:themeColor="text1"/>
          <w:sz w:val="22"/>
          <w:szCs w:val="22"/>
        </w:rPr>
      </w:pPr>
    </w:p>
    <w:p w:rsidR="006D281D" w:rsidRPr="002C1D5A" w:rsidRDefault="006644BA" w:rsidP="000806C3">
      <w:pPr>
        <w:jc w:val="both"/>
        <w:rPr>
          <w:rFonts w:cs="Arial"/>
          <w:color w:val="000000" w:themeColor="text1"/>
          <w:sz w:val="22"/>
          <w:szCs w:val="22"/>
        </w:rPr>
      </w:pPr>
      <w:r w:rsidRPr="006644BA">
        <w:rPr>
          <w:rFonts w:cs="Arial"/>
          <w:color w:val="000000" w:themeColor="text1"/>
          <w:sz w:val="22"/>
          <w:szCs w:val="22"/>
        </w:rPr>
        <w:t>Тражња радне снаге најчешће се посматра кроз пријаву слободних радних мјеста на Бироу рада у одређеном периоду и запош</w:t>
      </w:r>
      <w:r>
        <w:rPr>
          <w:rFonts w:cs="Arial"/>
          <w:color w:val="000000" w:themeColor="text1"/>
          <w:sz w:val="22"/>
          <w:szCs w:val="22"/>
        </w:rPr>
        <w:t>љавања из евиденције Бироа рада</w:t>
      </w:r>
      <w:r w:rsidR="006D281D" w:rsidRPr="002C1D5A">
        <w:rPr>
          <w:rFonts w:cs="Arial"/>
          <w:color w:val="000000" w:themeColor="text1"/>
          <w:sz w:val="22"/>
          <w:szCs w:val="22"/>
        </w:rPr>
        <w:t>.</w:t>
      </w:r>
    </w:p>
    <w:p w:rsidR="00F83593" w:rsidRDefault="00F83593" w:rsidP="00E0199F">
      <w:pPr>
        <w:jc w:val="both"/>
        <w:rPr>
          <w:rFonts w:cs="Arial"/>
          <w:color w:val="000000" w:themeColor="text1"/>
          <w:sz w:val="22"/>
          <w:szCs w:val="22"/>
        </w:rPr>
      </w:pPr>
    </w:p>
    <w:p w:rsidR="00E0199F" w:rsidRPr="002C1D5A" w:rsidRDefault="006644BA" w:rsidP="00E0199F">
      <w:pPr>
        <w:jc w:val="both"/>
        <w:rPr>
          <w:rFonts w:cs="Arial"/>
          <w:color w:val="000000" w:themeColor="text1"/>
          <w:sz w:val="22"/>
          <w:szCs w:val="22"/>
        </w:rPr>
      </w:pPr>
      <w:r w:rsidRPr="006644BA">
        <w:rPr>
          <w:rFonts w:cs="Arial"/>
          <w:color w:val="000000" w:themeColor="text1"/>
          <w:sz w:val="22"/>
          <w:szCs w:val="22"/>
        </w:rPr>
        <w:t xml:space="preserve">Број оглашених слободних радних мјеста је у 2019. години износио 539, што је смањење од 15 радних мјеста у односу на 2018 годину, односно смањење од 2,7%. Са друге стране, на нивоу Црне Горе је у 2019. години забиљежено повећање слободних радних мјеста за </w:t>
      </w:r>
      <w:r>
        <w:rPr>
          <w:rFonts w:cs="Arial"/>
          <w:color w:val="000000" w:themeColor="text1"/>
          <w:sz w:val="22"/>
          <w:szCs w:val="22"/>
        </w:rPr>
        <w:t>10,14% у односу на 2018. годину</w:t>
      </w:r>
      <w:r w:rsidR="00E0199F" w:rsidRPr="002C1D5A">
        <w:rPr>
          <w:rFonts w:cs="Arial"/>
          <w:color w:val="000000" w:themeColor="text1"/>
          <w:sz w:val="22"/>
          <w:szCs w:val="22"/>
        </w:rPr>
        <w:t xml:space="preserve">. </w:t>
      </w:r>
    </w:p>
    <w:p w:rsidR="00E0199F" w:rsidRDefault="00E0199F" w:rsidP="000806C3">
      <w:pPr>
        <w:rPr>
          <w:rFonts w:cs="Arial"/>
          <w:color w:val="000000" w:themeColor="text1"/>
          <w:szCs w:val="20"/>
        </w:rPr>
      </w:pPr>
    </w:p>
    <w:p w:rsidR="006D281D" w:rsidRPr="002C1D5A" w:rsidRDefault="003504F6" w:rsidP="000806C3">
      <w:pPr>
        <w:rPr>
          <w:rFonts w:cs="Arial"/>
          <w:color w:val="000000" w:themeColor="text1"/>
          <w:szCs w:val="20"/>
        </w:rPr>
      </w:pPr>
      <w:r>
        <w:rPr>
          <w:rFonts w:cs="Arial"/>
          <w:color w:val="000000" w:themeColor="text1"/>
          <w:szCs w:val="20"/>
        </w:rPr>
        <w:t>Табел</w:t>
      </w:r>
      <w:r w:rsidR="00235E36">
        <w:rPr>
          <w:rFonts w:cs="Arial"/>
          <w:color w:val="000000" w:themeColor="text1"/>
          <w:szCs w:val="20"/>
        </w:rPr>
        <w:t xml:space="preserve"> </w:t>
      </w:r>
      <w:r w:rsidR="00135060">
        <w:rPr>
          <w:rFonts w:cs="Arial"/>
          <w:color w:val="000000" w:themeColor="text1"/>
          <w:szCs w:val="20"/>
        </w:rPr>
        <w:t>16</w:t>
      </w:r>
      <w:r w:rsidR="006D281D" w:rsidRPr="002C1D5A">
        <w:rPr>
          <w:rFonts w:cs="Arial"/>
          <w:color w:val="000000" w:themeColor="text1"/>
          <w:szCs w:val="20"/>
        </w:rPr>
        <w:t xml:space="preserve">: </w:t>
      </w:r>
      <w:r w:rsidRPr="003504F6">
        <w:rPr>
          <w:rFonts w:cs="Arial"/>
          <w:color w:val="000000" w:themeColor="text1"/>
          <w:szCs w:val="20"/>
        </w:rPr>
        <w:t>Слободна радна мјеста 2018 и 2019. године</w:t>
      </w:r>
    </w:p>
    <w:p w:rsidR="006D281D" w:rsidRPr="002C1D5A" w:rsidRDefault="006D281D" w:rsidP="000806C3">
      <w:pPr>
        <w:jc w:val="both"/>
        <w:rPr>
          <w:rFonts w:cs="Arial"/>
          <w:color w:val="000000" w:themeColor="text1"/>
          <w:sz w:val="22"/>
          <w:szCs w:val="22"/>
        </w:rPr>
      </w:pPr>
    </w:p>
    <w:tbl>
      <w:tblPr>
        <w:tblW w:w="7033" w:type="dxa"/>
        <w:tblInd w:w="1205" w:type="dxa"/>
        <w:tblCellMar>
          <w:left w:w="0" w:type="dxa"/>
          <w:right w:w="0" w:type="dxa"/>
        </w:tblCellMar>
        <w:tblLook w:val="0600"/>
      </w:tblPr>
      <w:tblGrid>
        <w:gridCol w:w="1759"/>
        <w:gridCol w:w="1916"/>
        <w:gridCol w:w="1538"/>
        <w:gridCol w:w="1820"/>
      </w:tblGrid>
      <w:tr w:rsidR="006D281D" w:rsidRPr="002C1D5A" w:rsidTr="003E69BE">
        <w:trPr>
          <w:trHeight w:val="255"/>
        </w:trPr>
        <w:tc>
          <w:tcPr>
            <w:tcW w:w="1759" w:type="dxa"/>
            <w:vMerge w:val="restart"/>
            <w:shd w:val="clear" w:color="auto" w:fill="BFBFBF" w:themeFill="background1" w:themeFillShade="BF"/>
            <w:tcMar>
              <w:top w:w="12" w:type="dxa"/>
              <w:left w:w="12" w:type="dxa"/>
              <w:bottom w:w="0" w:type="dxa"/>
              <w:right w:w="12" w:type="dxa"/>
            </w:tcMar>
            <w:vAlign w:val="center"/>
            <w:hideMark/>
          </w:tcPr>
          <w:p w:rsidR="006D281D" w:rsidRPr="002C1D5A" w:rsidRDefault="006D281D" w:rsidP="000806C3">
            <w:pPr>
              <w:jc w:val="both"/>
              <w:rPr>
                <w:rFonts w:cs="Arial"/>
                <w:color w:val="000000" w:themeColor="text1"/>
                <w:szCs w:val="20"/>
                <w:lang w:val="sl-SI"/>
              </w:rPr>
            </w:pPr>
          </w:p>
        </w:tc>
        <w:tc>
          <w:tcPr>
            <w:tcW w:w="3454" w:type="dxa"/>
            <w:gridSpan w:val="2"/>
            <w:shd w:val="clear" w:color="auto" w:fill="BFBFBF" w:themeFill="background1" w:themeFillShade="BF"/>
            <w:tcMar>
              <w:top w:w="12" w:type="dxa"/>
              <w:left w:w="12" w:type="dxa"/>
              <w:bottom w:w="0" w:type="dxa"/>
              <w:right w:w="12" w:type="dxa"/>
            </w:tcMar>
            <w:vAlign w:val="bottom"/>
            <w:hideMark/>
          </w:tcPr>
          <w:p w:rsidR="006D281D" w:rsidRPr="002C1D5A" w:rsidRDefault="006D281D" w:rsidP="000806C3">
            <w:pPr>
              <w:jc w:val="center"/>
              <w:rPr>
                <w:rFonts w:cs="Arial"/>
                <w:color w:val="000000" w:themeColor="text1"/>
                <w:sz w:val="18"/>
                <w:lang w:val="sl-SI"/>
              </w:rPr>
            </w:pPr>
            <w:r w:rsidRPr="002C1D5A">
              <w:rPr>
                <w:rFonts w:cs="Arial"/>
                <w:color w:val="000000" w:themeColor="text1"/>
                <w:sz w:val="18"/>
                <w:lang w:val="sl-SI"/>
              </w:rPr>
              <w:t>SLOBODNA RADNA MJESTA</w:t>
            </w:r>
          </w:p>
        </w:tc>
        <w:tc>
          <w:tcPr>
            <w:tcW w:w="1820" w:type="dxa"/>
            <w:vMerge w:val="restart"/>
            <w:shd w:val="clear" w:color="auto" w:fill="BFBFBF" w:themeFill="background1" w:themeFillShade="BF"/>
            <w:tcMar>
              <w:top w:w="12" w:type="dxa"/>
              <w:left w:w="12" w:type="dxa"/>
              <w:bottom w:w="0" w:type="dxa"/>
              <w:right w:w="12" w:type="dxa"/>
            </w:tcMar>
            <w:vAlign w:val="center"/>
            <w:hideMark/>
          </w:tcPr>
          <w:p w:rsidR="006D281D" w:rsidRPr="002C1D5A" w:rsidRDefault="006D281D" w:rsidP="000806C3">
            <w:pPr>
              <w:jc w:val="center"/>
              <w:rPr>
                <w:rFonts w:cs="Arial"/>
                <w:color w:val="000000" w:themeColor="text1"/>
                <w:sz w:val="18"/>
                <w:lang w:val="sl-SI"/>
              </w:rPr>
            </w:pPr>
            <w:r w:rsidRPr="002C1D5A">
              <w:rPr>
                <w:rFonts w:cs="Arial"/>
                <w:color w:val="000000" w:themeColor="text1"/>
                <w:sz w:val="18"/>
                <w:lang w:val="sl-SI"/>
              </w:rPr>
              <w:t>Indeks</w:t>
            </w:r>
          </w:p>
          <w:p w:rsidR="006D281D" w:rsidRPr="002C1D5A" w:rsidRDefault="006D281D" w:rsidP="000806C3">
            <w:pPr>
              <w:jc w:val="center"/>
              <w:rPr>
                <w:rFonts w:cs="Arial"/>
                <w:color w:val="000000" w:themeColor="text1"/>
                <w:sz w:val="18"/>
                <w:lang w:val="sl-SI"/>
              </w:rPr>
            </w:pPr>
            <w:r w:rsidRPr="002C1D5A">
              <w:rPr>
                <w:rFonts w:cs="Arial"/>
                <w:color w:val="000000" w:themeColor="text1"/>
                <w:sz w:val="18"/>
                <w:lang w:val="sl-SI"/>
              </w:rPr>
              <w:t>2019:2018</w:t>
            </w:r>
          </w:p>
        </w:tc>
      </w:tr>
      <w:tr w:rsidR="006D281D" w:rsidRPr="002C1D5A" w:rsidTr="003E69BE">
        <w:trPr>
          <w:trHeight w:val="258"/>
        </w:trPr>
        <w:tc>
          <w:tcPr>
            <w:tcW w:w="0" w:type="auto"/>
            <w:vMerge/>
            <w:vAlign w:val="center"/>
            <w:hideMark/>
          </w:tcPr>
          <w:p w:rsidR="006D281D" w:rsidRPr="002C1D5A" w:rsidRDefault="006D281D" w:rsidP="000806C3">
            <w:pPr>
              <w:jc w:val="both"/>
              <w:rPr>
                <w:rFonts w:cs="Arial"/>
                <w:color w:val="000000" w:themeColor="text1"/>
                <w:szCs w:val="20"/>
                <w:lang w:val="sl-SI"/>
              </w:rPr>
            </w:pPr>
          </w:p>
        </w:tc>
        <w:tc>
          <w:tcPr>
            <w:tcW w:w="1916" w:type="dxa"/>
            <w:shd w:val="clear" w:color="auto" w:fill="D9D9D9" w:themeFill="background1" w:themeFillShade="D9"/>
            <w:tcMar>
              <w:top w:w="12" w:type="dxa"/>
              <w:left w:w="12" w:type="dxa"/>
              <w:bottom w:w="0" w:type="dxa"/>
              <w:right w:w="12" w:type="dxa"/>
            </w:tcMar>
            <w:vAlign w:val="center"/>
            <w:hideMark/>
          </w:tcPr>
          <w:p w:rsidR="006D281D" w:rsidRPr="002C1D5A" w:rsidRDefault="006D281D" w:rsidP="000806C3">
            <w:pPr>
              <w:jc w:val="center"/>
              <w:rPr>
                <w:rFonts w:cs="Arial"/>
                <w:color w:val="000000" w:themeColor="text1"/>
                <w:sz w:val="18"/>
                <w:lang w:val="sl-SI"/>
              </w:rPr>
            </w:pPr>
            <w:r w:rsidRPr="002C1D5A">
              <w:rPr>
                <w:rFonts w:cs="Arial"/>
                <w:color w:val="000000" w:themeColor="text1"/>
                <w:sz w:val="18"/>
                <w:lang w:val="sl-SI"/>
              </w:rPr>
              <w:t>2018.</w:t>
            </w:r>
          </w:p>
        </w:tc>
        <w:tc>
          <w:tcPr>
            <w:tcW w:w="1537" w:type="dxa"/>
            <w:shd w:val="clear" w:color="auto" w:fill="D9D9D9" w:themeFill="background1" w:themeFillShade="D9"/>
            <w:tcMar>
              <w:top w:w="12" w:type="dxa"/>
              <w:left w:w="12" w:type="dxa"/>
              <w:bottom w:w="0" w:type="dxa"/>
              <w:right w:w="12" w:type="dxa"/>
            </w:tcMar>
            <w:vAlign w:val="center"/>
            <w:hideMark/>
          </w:tcPr>
          <w:p w:rsidR="006D281D" w:rsidRPr="002C1D5A" w:rsidRDefault="006D281D" w:rsidP="000806C3">
            <w:pPr>
              <w:jc w:val="center"/>
              <w:rPr>
                <w:rFonts w:cs="Arial"/>
                <w:color w:val="000000" w:themeColor="text1"/>
                <w:sz w:val="18"/>
                <w:lang w:val="sl-SI"/>
              </w:rPr>
            </w:pPr>
            <w:r w:rsidRPr="002C1D5A">
              <w:rPr>
                <w:rFonts w:cs="Arial"/>
                <w:color w:val="000000" w:themeColor="text1"/>
                <w:sz w:val="18"/>
                <w:lang w:val="sl-SI"/>
              </w:rPr>
              <w:t>2019.</w:t>
            </w:r>
          </w:p>
        </w:tc>
        <w:tc>
          <w:tcPr>
            <w:tcW w:w="0" w:type="auto"/>
            <w:vMerge/>
            <w:vAlign w:val="center"/>
            <w:hideMark/>
          </w:tcPr>
          <w:p w:rsidR="006D281D" w:rsidRPr="002C1D5A" w:rsidRDefault="006D281D" w:rsidP="000806C3">
            <w:pPr>
              <w:jc w:val="center"/>
              <w:rPr>
                <w:rFonts w:cs="Arial"/>
                <w:color w:val="000000" w:themeColor="text1"/>
                <w:sz w:val="18"/>
                <w:lang w:val="sl-SI"/>
              </w:rPr>
            </w:pPr>
          </w:p>
        </w:tc>
      </w:tr>
      <w:tr w:rsidR="006D281D" w:rsidRPr="002C1D5A" w:rsidTr="003E69BE">
        <w:trPr>
          <w:trHeight w:val="258"/>
        </w:trPr>
        <w:tc>
          <w:tcPr>
            <w:tcW w:w="1759" w:type="dxa"/>
            <w:shd w:val="clear" w:color="auto" w:fill="auto"/>
            <w:tcMar>
              <w:top w:w="12" w:type="dxa"/>
              <w:left w:w="12" w:type="dxa"/>
              <w:bottom w:w="0" w:type="dxa"/>
              <w:right w:w="12" w:type="dxa"/>
            </w:tcMar>
            <w:vAlign w:val="bottom"/>
            <w:hideMark/>
          </w:tcPr>
          <w:p w:rsidR="006D281D" w:rsidRPr="002C1D5A" w:rsidRDefault="006D281D" w:rsidP="000806C3">
            <w:pPr>
              <w:jc w:val="both"/>
              <w:rPr>
                <w:rFonts w:cs="Arial"/>
                <w:color w:val="000000" w:themeColor="text1"/>
                <w:sz w:val="18"/>
                <w:lang w:val="sl-SI"/>
              </w:rPr>
            </w:pPr>
            <w:r w:rsidRPr="002C1D5A">
              <w:rPr>
                <w:rFonts w:cs="Arial"/>
                <w:color w:val="000000" w:themeColor="text1"/>
                <w:sz w:val="18"/>
                <w:lang w:val="sl-SI"/>
              </w:rPr>
              <w:t>Berane</w:t>
            </w:r>
          </w:p>
        </w:tc>
        <w:tc>
          <w:tcPr>
            <w:tcW w:w="1916" w:type="dxa"/>
            <w:shd w:val="clear" w:color="auto" w:fill="auto"/>
            <w:tcMar>
              <w:top w:w="12" w:type="dxa"/>
              <w:left w:w="12" w:type="dxa"/>
              <w:bottom w:w="0" w:type="dxa"/>
              <w:right w:w="12" w:type="dxa"/>
            </w:tcMar>
            <w:vAlign w:val="center"/>
          </w:tcPr>
          <w:p w:rsidR="006D281D" w:rsidRPr="002C1D5A" w:rsidRDefault="006D281D" w:rsidP="000806C3">
            <w:pPr>
              <w:jc w:val="center"/>
              <w:rPr>
                <w:rFonts w:cs="Arial"/>
                <w:color w:val="000000" w:themeColor="text1"/>
                <w:sz w:val="18"/>
                <w:lang w:val="sl-SI"/>
              </w:rPr>
            </w:pPr>
            <w:r w:rsidRPr="002C1D5A">
              <w:rPr>
                <w:rFonts w:cs="Arial"/>
                <w:color w:val="000000" w:themeColor="text1"/>
                <w:sz w:val="18"/>
                <w:lang w:val="sl-SI"/>
              </w:rPr>
              <w:t>554</w:t>
            </w:r>
          </w:p>
        </w:tc>
        <w:tc>
          <w:tcPr>
            <w:tcW w:w="1537" w:type="dxa"/>
            <w:shd w:val="clear" w:color="auto" w:fill="auto"/>
            <w:tcMar>
              <w:top w:w="12" w:type="dxa"/>
              <w:left w:w="12" w:type="dxa"/>
              <w:bottom w:w="0" w:type="dxa"/>
              <w:right w:w="12" w:type="dxa"/>
            </w:tcMar>
            <w:vAlign w:val="center"/>
          </w:tcPr>
          <w:p w:rsidR="006D281D" w:rsidRPr="002C1D5A" w:rsidRDefault="006D281D" w:rsidP="000806C3">
            <w:pPr>
              <w:jc w:val="center"/>
              <w:rPr>
                <w:rFonts w:cs="Arial"/>
                <w:color w:val="000000" w:themeColor="text1"/>
                <w:sz w:val="18"/>
                <w:lang w:val="sl-SI"/>
              </w:rPr>
            </w:pPr>
            <w:r w:rsidRPr="002C1D5A">
              <w:rPr>
                <w:rFonts w:cs="Arial"/>
                <w:color w:val="000000" w:themeColor="text1"/>
                <w:sz w:val="18"/>
                <w:lang w:val="sl-SI"/>
              </w:rPr>
              <w:t>539</w:t>
            </w:r>
          </w:p>
        </w:tc>
        <w:tc>
          <w:tcPr>
            <w:tcW w:w="1820" w:type="dxa"/>
            <w:shd w:val="clear" w:color="auto" w:fill="auto"/>
            <w:tcMar>
              <w:top w:w="12" w:type="dxa"/>
              <w:left w:w="12" w:type="dxa"/>
              <w:bottom w:w="0" w:type="dxa"/>
              <w:right w:w="12" w:type="dxa"/>
            </w:tcMar>
            <w:vAlign w:val="center"/>
          </w:tcPr>
          <w:p w:rsidR="006D281D" w:rsidRPr="002C1D5A" w:rsidRDefault="006D281D" w:rsidP="000806C3">
            <w:pPr>
              <w:jc w:val="center"/>
              <w:rPr>
                <w:rFonts w:cs="Arial"/>
                <w:color w:val="000000" w:themeColor="text1"/>
                <w:sz w:val="18"/>
                <w:lang w:val="sl-SI"/>
              </w:rPr>
            </w:pPr>
            <w:r w:rsidRPr="002C1D5A">
              <w:rPr>
                <w:rFonts w:cs="Arial"/>
                <w:color w:val="000000" w:themeColor="text1"/>
                <w:sz w:val="18"/>
                <w:lang w:val="sl-SI"/>
              </w:rPr>
              <w:t>97,29</w:t>
            </w:r>
          </w:p>
        </w:tc>
      </w:tr>
      <w:tr w:rsidR="006D281D" w:rsidRPr="002C1D5A" w:rsidTr="003E69BE">
        <w:trPr>
          <w:trHeight w:val="258"/>
        </w:trPr>
        <w:tc>
          <w:tcPr>
            <w:tcW w:w="1759" w:type="dxa"/>
            <w:shd w:val="clear" w:color="auto" w:fill="auto"/>
            <w:tcMar>
              <w:top w:w="12" w:type="dxa"/>
              <w:left w:w="12" w:type="dxa"/>
              <w:bottom w:w="0" w:type="dxa"/>
              <w:right w:w="12" w:type="dxa"/>
            </w:tcMar>
            <w:vAlign w:val="center"/>
            <w:hideMark/>
          </w:tcPr>
          <w:p w:rsidR="006D281D" w:rsidRPr="002C1D5A" w:rsidRDefault="006D281D" w:rsidP="000806C3">
            <w:pPr>
              <w:jc w:val="both"/>
              <w:rPr>
                <w:rFonts w:cs="Arial"/>
                <w:color w:val="000000" w:themeColor="text1"/>
                <w:sz w:val="18"/>
                <w:lang w:val="sl-SI"/>
              </w:rPr>
            </w:pPr>
            <w:r w:rsidRPr="002C1D5A">
              <w:rPr>
                <w:rFonts w:cs="Arial"/>
                <w:color w:val="000000" w:themeColor="text1"/>
                <w:sz w:val="18"/>
                <w:lang w:val="sl-SI"/>
              </w:rPr>
              <w:t>Crna Gora</w:t>
            </w:r>
          </w:p>
        </w:tc>
        <w:tc>
          <w:tcPr>
            <w:tcW w:w="1916" w:type="dxa"/>
            <w:shd w:val="clear" w:color="auto" w:fill="auto"/>
            <w:tcMar>
              <w:top w:w="12" w:type="dxa"/>
              <w:left w:w="12" w:type="dxa"/>
              <w:bottom w:w="0" w:type="dxa"/>
              <w:right w:w="12" w:type="dxa"/>
            </w:tcMar>
            <w:vAlign w:val="center"/>
            <w:hideMark/>
          </w:tcPr>
          <w:p w:rsidR="006D281D" w:rsidRPr="002C1D5A" w:rsidRDefault="006D281D" w:rsidP="000806C3">
            <w:pPr>
              <w:jc w:val="center"/>
              <w:rPr>
                <w:rFonts w:cs="Arial"/>
                <w:color w:val="000000" w:themeColor="text1"/>
                <w:sz w:val="18"/>
                <w:lang w:val="sl-SI"/>
              </w:rPr>
            </w:pPr>
            <w:r w:rsidRPr="002C1D5A">
              <w:rPr>
                <w:rFonts w:eastAsia="Cambria" w:cs="Arial"/>
                <w:color w:val="000000" w:themeColor="dark1"/>
                <w:kern w:val="24"/>
                <w:sz w:val="18"/>
              </w:rPr>
              <w:t>29</w:t>
            </w:r>
            <w:r w:rsidR="00066CC4">
              <w:rPr>
                <w:rFonts w:eastAsia="Cambria" w:cs="Arial"/>
                <w:color w:val="000000" w:themeColor="dark1"/>
                <w:kern w:val="24"/>
                <w:sz w:val="18"/>
              </w:rPr>
              <w:t>.</w:t>
            </w:r>
            <w:r w:rsidRPr="002C1D5A">
              <w:rPr>
                <w:rFonts w:eastAsia="Cambria" w:cs="Arial"/>
                <w:color w:val="000000" w:themeColor="dark1"/>
                <w:kern w:val="24"/>
                <w:sz w:val="18"/>
              </w:rPr>
              <w:t>366</w:t>
            </w:r>
          </w:p>
        </w:tc>
        <w:tc>
          <w:tcPr>
            <w:tcW w:w="1537" w:type="dxa"/>
            <w:shd w:val="clear" w:color="auto" w:fill="auto"/>
            <w:tcMar>
              <w:top w:w="12" w:type="dxa"/>
              <w:left w:w="12" w:type="dxa"/>
              <w:bottom w:w="0" w:type="dxa"/>
              <w:right w:w="12" w:type="dxa"/>
            </w:tcMar>
            <w:vAlign w:val="center"/>
            <w:hideMark/>
          </w:tcPr>
          <w:p w:rsidR="006D281D" w:rsidRPr="002C1D5A" w:rsidRDefault="006D281D" w:rsidP="000806C3">
            <w:pPr>
              <w:jc w:val="center"/>
              <w:rPr>
                <w:rFonts w:cs="Arial"/>
                <w:color w:val="000000" w:themeColor="text1"/>
                <w:sz w:val="18"/>
                <w:lang w:val="sl-SI"/>
              </w:rPr>
            </w:pPr>
            <w:r w:rsidRPr="002C1D5A">
              <w:rPr>
                <w:rFonts w:eastAsia="Cambria" w:cs="Arial"/>
                <w:color w:val="000000" w:themeColor="dark1"/>
                <w:kern w:val="24"/>
                <w:sz w:val="18"/>
              </w:rPr>
              <w:t>32</w:t>
            </w:r>
            <w:r w:rsidR="00066CC4">
              <w:rPr>
                <w:rFonts w:eastAsia="Cambria" w:cs="Arial"/>
                <w:color w:val="000000" w:themeColor="dark1"/>
                <w:kern w:val="24"/>
                <w:sz w:val="18"/>
              </w:rPr>
              <w:t>.</w:t>
            </w:r>
            <w:r w:rsidRPr="002C1D5A">
              <w:rPr>
                <w:rFonts w:eastAsia="Cambria" w:cs="Arial"/>
                <w:color w:val="000000" w:themeColor="dark1"/>
                <w:kern w:val="24"/>
                <w:sz w:val="18"/>
              </w:rPr>
              <w:t>344</w:t>
            </w:r>
          </w:p>
        </w:tc>
        <w:tc>
          <w:tcPr>
            <w:tcW w:w="1820" w:type="dxa"/>
            <w:shd w:val="clear" w:color="auto" w:fill="auto"/>
            <w:tcMar>
              <w:top w:w="12" w:type="dxa"/>
              <w:left w:w="12" w:type="dxa"/>
              <w:bottom w:w="0" w:type="dxa"/>
              <w:right w:w="12" w:type="dxa"/>
            </w:tcMar>
            <w:vAlign w:val="center"/>
            <w:hideMark/>
          </w:tcPr>
          <w:p w:rsidR="006D281D" w:rsidRPr="002C1D5A" w:rsidRDefault="006D281D" w:rsidP="000806C3">
            <w:pPr>
              <w:jc w:val="center"/>
              <w:rPr>
                <w:rFonts w:cs="Arial"/>
                <w:color w:val="000000" w:themeColor="text1"/>
                <w:sz w:val="18"/>
                <w:lang w:val="sl-SI"/>
              </w:rPr>
            </w:pPr>
            <w:r w:rsidRPr="002C1D5A">
              <w:rPr>
                <w:rFonts w:eastAsia="Cambria" w:cs="Arial"/>
                <w:color w:val="000000" w:themeColor="dark1"/>
                <w:kern w:val="24"/>
                <w:sz w:val="18"/>
              </w:rPr>
              <w:t>110,14</w:t>
            </w:r>
          </w:p>
        </w:tc>
      </w:tr>
    </w:tbl>
    <w:p w:rsidR="00F7360E" w:rsidRDefault="00F7360E" w:rsidP="000806C3">
      <w:pPr>
        <w:jc w:val="right"/>
        <w:rPr>
          <w:i/>
          <w:color w:val="000000" w:themeColor="text1"/>
          <w:sz w:val="18"/>
        </w:rPr>
      </w:pPr>
    </w:p>
    <w:p w:rsidR="00F960A0" w:rsidRDefault="003504F6" w:rsidP="003504F6">
      <w:pPr>
        <w:jc w:val="center"/>
        <w:rPr>
          <w:i/>
          <w:color w:val="000000" w:themeColor="text1"/>
          <w:sz w:val="18"/>
        </w:rPr>
      </w:pPr>
      <w:r>
        <w:rPr>
          <w:i/>
          <w:color w:val="000000" w:themeColor="text1"/>
          <w:sz w:val="18"/>
        </w:rPr>
        <w:t xml:space="preserve">                                                        Извор</w:t>
      </w:r>
      <w:r w:rsidR="006D281D" w:rsidRPr="007E3FFE">
        <w:rPr>
          <w:i/>
          <w:color w:val="000000" w:themeColor="text1"/>
          <w:sz w:val="18"/>
        </w:rPr>
        <w:t xml:space="preserve">: </w:t>
      </w:r>
      <w:r w:rsidRPr="003504F6">
        <w:rPr>
          <w:i/>
          <w:color w:val="000000" w:themeColor="text1"/>
          <w:sz w:val="18"/>
        </w:rPr>
        <w:t>Завод за запошљавање Црне Горе, Извјештаји о раду</w:t>
      </w:r>
    </w:p>
    <w:p w:rsidR="00181EF2" w:rsidRPr="00181EF2" w:rsidRDefault="00181EF2" w:rsidP="00181EF2">
      <w:pPr>
        <w:jc w:val="right"/>
        <w:rPr>
          <w:i/>
          <w:color w:val="000000" w:themeColor="text1"/>
          <w:sz w:val="18"/>
        </w:rPr>
      </w:pPr>
    </w:p>
    <w:p w:rsidR="00181EF2" w:rsidRDefault="00181EF2" w:rsidP="000806C3">
      <w:pPr>
        <w:jc w:val="both"/>
        <w:rPr>
          <w:rFonts w:cs="Arial"/>
          <w:color w:val="000000" w:themeColor="text1"/>
          <w:sz w:val="22"/>
          <w:szCs w:val="22"/>
        </w:rPr>
      </w:pPr>
      <w:r w:rsidRPr="00181EF2">
        <w:rPr>
          <w:rFonts w:cs="Arial"/>
          <w:color w:val="000000" w:themeColor="text1"/>
          <w:sz w:val="22"/>
          <w:szCs w:val="22"/>
        </w:rPr>
        <w:t>Пад слободних радних мјеста није узрокован падом тражње за</w:t>
      </w:r>
      <w:r w:rsidR="006D281D" w:rsidRPr="002C1D5A">
        <w:rPr>
          <w:rFonts w:cs="Arial"/>
          <w:color w:val="000000" w:themeColor="text1"/>
          <w:sz w:val="22"/>
          <w:szCs w:val="22"/>
        </w:rPr>
        <w:t xml:space="preserve"> I </w:t>
      </w:r>
      <w:r w:rsidRPr="00181EF2">
        <w:rPr>
          <w:rFonts w:cs="Arial"/>
          <w:color w:val="000000" w:themeColor="text1"/>
          <w:sz w:val="22"/>
          <w:szCs w:val="22"/>
        </w:rPr>
        <w:t>степеном стручне спреме, с обзиром на то да је број оглашених слободних радних мјеста за овим нивоом стручне спреме порастао за чак 21,6%. Пад броја слободних радних мјеста је узрокован падом тражње за особама са завршеним</w:t>
      </w:r>
      <w:r>
        <w:rPr>
          <w:rFonts w:cs="Arial"/>
          <w:color w:val="000000" w:themeColor="text1"/>
          <w:sz w:val="22"/>
          <w:szCs w:val="22"/>
        </w:rPr>
        <w:t xml:space="preserve"> III степеном (- 11,2%), IV степеном (-20,5%) i VII-1 степеном</w:t>
      </w:r>
      <w:r w:rsidR="006D281D" w:rsidRPr="002C1D5A">
        <w:rPr>
          <w:rFonts w:cs="Arial"/>
          <w:color w:val="000000" w:themeColor="text1"/>
          <w:sz w:val="22"/>
          <w:szCs w:val="22"/>
        </w:rPr>
        <w:t xml:space="preserve"> (-5,5%).</w:t>
      </w:r>
    </w:p>
    <w:p w:rsidR="00181EF2" w:rsidRDefault="00181EF2" w:rsidP="000806C3">
      <w:pPr>
        <w:jc w:val="both"/>
        <w:rPr>
          <w:rFonts w:cs="Arial"/>
          <w:color w:val="000000" w:themeColor="text1"/>
          <w:sz w:val="22"/>
          <w:szCs w:val="22"/>
        </w:rPr>
      </w:pPr>
    </w:p>
    <w:p w:rsidR="00181EF2" w:rsidRDefault="00181EF2" w:rsidP="000806C3">
      <w:pPr>
        <w:jc w:val="both"/>
        <w:rPr>
          <w:rFonts w:cs="Arial"/>
          <w:color w:val="000000" w:themeColor="text1"/>
          <w:sz w:val="22"/>
          <w:szCs w:val="22"/>
        </w:rPr>
      </w:pPr>
    </w:p>
    <w:p w:rsidR="00181EF2" w:rsidRDefault="00181EF2" w:rsidP="000806C3">
      <w:pPr>
        <w:jc w:val="both"/>
        <w:rPr>
          <w:rFonts w:cs="Arial"/>
          <w:color w:val="000000" w:themeColor="text1"/>
          <w:sz w:val="22"/>
          <w:szCs w:val="22"/>
        </w:rPr>
      </w:pPr>
    </w:p>
    <w:p w:rsidR="00181EF2" w:rsidRDefault="00181EF2" w:rsidP="000806C3">
      <w:pPr>
        <w:jc w:val="both"/>
        <w:rPr>
          <w:rFonts w:cs="Arial"/>
          <w:color w:val="000000" w:themeColor="text1"/>
          <w:sz w:val="22"/>
          <w:szCs w:val="22"/>
        </w:rPr>
      </w:pPr>
    </w:p>
    <w:p w:rsidR="00181EF2" w:rsidRDefault="00181EF2" w:rsidP="000806C3">
      <w:pPr>
        <w:jc w:val="both"/>
        <w:rPr>
          <w:rFonts w:cs="Arial"/>
          <w:color w:val="000000" w:themeColor="text1"/>
          <w:sz w:val="22"/>
          <w:szCs w:val="22"/>
        </w:rPr>
      </w:pPr>
    </w:p>
    <w:p w:rsidR="00181EF2" w:rsidRDefault="00181EF2" w:rsidP="000806C3">
      <w:pPr>
        <w:jc w:val="both"/>
        <w:rPr>
          <w:rFonts w:cs="Arial"/>
          <w:color w:val="000000" w:themeColor="text1"/>
          <w:sz w:val="22"/>
          <w:szCs w:val="22"/>
        </w:rPr>
      </w:pPr>
    </w:p>
    <w:p w:rsidR="00181EF2" w:rsidRDefault="00181EF2" w:rsidP="000806C3">
      <w:pPr>
        <w:jc w:val="both"/>
        <w:rPr>
          <w:rFonts w:cs="Arial"/>
          <w:color w:val="000000" w:themeColor="text1"/>
          <w:sz w:val="22"/>
          <w:szCs w:val="22"/>
        </w:rPr>
      </w:pPr>
    </w:p>
    <w:p w:rsidR="00181EF2" w:rsidRDefault="00181EF2" w:rsidP="000806C3">
      <w:pPr>
        <w:jc w:val="both"/>
        <w:rPr>
          <w:rFonts w:cs="Arial"/>
          <w:color w:val="000000" w:themeColor="text1"/>
          <w:sz w:val="22"/>
          <w:szCs w:val="22"/>
        </w:rPr>
      </w:pPr>
    </w:p>
    <w:p w:rsidR="00181EF2" w:rsidRDefault="00181EF2" w:rsidP="000806C3">
      <w:pPr>
        <w:jc w:val="both"/>
        <w:rPr>
          <w:rFonts w:cs="Arial"/>
          <w:color w:val="000000" w:themeColor="text1"/>
          <w:sz w:val="22"/>
          <w:szCs w:val="22"/>
        </w:rPr>
      </w:pPr>
    </w:p>
    <w:p w:rsidR="00181EF2" w:rsidRPr="00181EF2" w:rsidRDefault="00181EF2" w:rsidP="000806C3">
      <w:pPr>
        <w:jc w:val="both"/>
        <w:rPr>
          <w:rFonts w:cs="Arial"/>
          <w:color w:val="000000" w:themeColor="text1"/>
          <w:sz w:val="22"/>
          <w:szCs w:val="22"/>
        </w:rPr>
      </w:pPr>
    </w:p>
    <w:p w:rsidR="006D281D" w:rsidRPr="007B02D2" w:rsidRDefault="007B02D2" w:rsidP="000806C3">
      <w:pPr>
        <w:jc w:val="both"/>
        <w:rPr>
          <w:rFonts w:cs="Arial"/>
          <w:bCs/>
          <w:szCs w:val="20"/>
        </w:rPr>
      </w:pPr>
      <w:r>
        <w:rPr>
          <w:rFonts w:cs="Arial"/>
          <w:color w:val="000000" w:themeColor="text1"/>
          <w:szCs w:val="20"/>
        </w:rPr>
        <w:lastRenderedPageBreak/>
        <w:t>График</w:t>
      </w:r>
      <w:r w:rsidR="006D281D" w:rsidRPr="002C1D5A">
        <w:rPr>
          <w:rFonts w:cs="Arial"/>
          <w:color w:val="000000" w:themeColor="text1"/>
          <w:szCs w:val="20"/>
        </w:rPr>
        <w:t xml:space="preserve">11: </w:t>
      </w:r>
      <w:r w:rsidRPr="007B02D2">
        <w:rPr>
          <w:rFonts w:cs="Arial"/>
          <w:bCs/>
          <w:szCs w:val="20"/>
          <w:lang w:val="pl-PL"/>
        </w:rPr>
        <w:t>Незапослена лица и оглашена слободна радна мјеста према степену стручне спреме, 2019.</w:t>
      </w:r>
    </w:p>
    <w:p w:rsidR="006D281D" w:rsidRPr="002C1D5A" w:rsidRDefault="006D281D" w:rsidP="000806C3">
      <w:pPr>
        <w:rPr>
          <w:rFonts w:cs="Arial"/>
          <w:color w:val="000000" w:themeColor="text1"/>
          <w:sz w:val="22"/>
          <w:szCs w:val="22"/>
        </w:rPr>
      </w:pPr>
    </w:p>
    <w:p w:rsidR="006D281D" w:rsidRPr="002C1D5A" w:rsidRDefault="006D281D" w:rsidP="000806C3">
      <w:pPr>
        <w:jc w:val="center"/>
        <w:rPr>
          <w:rFonts w:cs="Arial"/>
          <w:color w:val="000000" w:themeColor="text1"/>
          <w:sz w:val="22"/>
          <w:szCs w:val="22"/>
        </w:rPr>
      </w:pPr>
      <w:r w:rsidRPr="009C25C1">
        <w:rPr>
          <w:noProof/>
          <w:shd w:val="clear" w:color="auto" w:fill="D9D9D9" w:themeFill="background1" w:themeFillShade="D9"/>
          <w:lang w:val="en-US"/>
        </w:rPr>
        <w:drawing>
          <wp:inline distT="0" distB="0" distL="0" distR="0">
            <wp:extent cx="5356860" cy="172073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6D281D" w:rsidRPr="007E3FFE" w:rsidRDefault="007B02D2" w:rsidP="000806C3">
      <w:pPr>
        <w:jc w:val="right"/>
        <w:rPr>
          <w:i/>
          <w:color w:val="000000" w:themeColor="text1"/>
          <w:sz w:val="18"/>
        </w:rPr>
      </w:pPr>
      <w:r>
        <w:rPr>
          <w:i/>
          <w:color w:val="000000" w:themeColor="text1"/>
          <w:sz w:val="18"/>
        </w:rPr>
        <w:t>Извор</w:t>
      </w:r>
      <w:r w:rsidR="006D281D" w:rsidRPr="007E3FFE">
        <w:rPr>
          <w:i/>
          <w:color w:val="000000" w:themeColor="text1"/>
          <w:sz w:val="18"/>
        </w:rPr>
        <w:t xml:space="preserve">: </w:t>
      </w:r>
      <w:r w:rsidRPr="007B02D2">
        <w:rPr>
          <w:i/>
          <w:color w:val="000000" w:themeColor="text1"/>
          <w:sz w:val="18"/>
        </w:rPr>
        <w:t>Завод за запошљавање Црне Горе, Извјештај о раду за 2019.</w:t>
      </w:r>
    </w:p>
    <w:p w:rsidR="006D281D" w:rsidRPr="002C1D5A" w:rsidRDefault="006D281D" w:rsidP="000806C3">
      <w:pPr>
        <w:jc w:val="center"/>
        <w:rPr>
          <w:rFonts w:cs="Arial"/>
          <w:color w:val="000000" w:themeColor="text1"/>
          <w:sz w:val="22"/>
          <w:szCs w:val="22"/>
        </w:rPr>
      </w:pPr>
    </w:p>
    <w:p w:rsidR="006D281D" w:rsidRPr="002C1D5A" w:rsidRDefault="00181EF2" w:rsidP="00181EF2">
      <w:pPr>
        <w:jc w:val="both"/>
        <w:rPr>
          <w:rFonts w:cs="Arial"/>
          <w:color w:val="000000" w:themeColor="text1"/>
          <w:sz w:val="22"/>
          <w:szCs w:val="22"/>
        </w:rPr>
      </w:pPr>
      <w:r w:rsidRPr="00181EF2">
        <w:rPr>
          <w:rFonts w:cs="Arial"/>
          <w:color w:val="000000" w:themeColor="text1"/>
          <w:sz w:val="22"/>
          <w:szCs w:val="22"/>
        </w:rPr>
        <w:t xml:space="preserve">У укупном броју оглашених слободних радних мјеста у 2019. години са 37,4% преовлађује тражња за лицима са високим </w:t>
      </w:r>
      <w:r w:rsidR="006D281D" w:rsidRPr="002C1D5A">
        <w:rPr>
          <w:rFonts w:cs="Arial"/>
          <w:color w:val="000000" w:themeColor="text1"/>
          <w:sz w:val="22"/>
          <w:szCs w:val="22"/>
        </w:rPr>
        <w:t xml:space="preserve">VII-1 </w:t>
      </w:r>
      <w:r w:rsidRPr="00181EF2">
        <w:rPr>
          <w:rFonts w:cs="Arial"/>
          <w:color w:val="000000" w:themeColor="text1"/>
          <w:sz w:val="22"/>
          <w:szCs w:val="22"/>
        </w:rPr>
        <w:t>степеном образовања. Међутим, број незапослених лица са овим степеном стручне спреме је већи од укупног броја слободних радних мјеста за овим степеном стручне спреме. Слична ситуација је и са тражњом и незапосленошћу лица са осталим степенима стручне спреме</w:t>
      </w:r>
      <w:r>
        <w:rPr>
          <w:rFonts w:cs="Arial"/>
          <w:color w:val="000000" w:themeColor="text1"/>
          <w:sz w:val="22"/>
          <w:szCs w:val="22"/>
        </w:rPr>
        <w:t xml:space="preserve"> (изузев</w:t>
      </w:r>
      <w:r w:rsidR="006D281D" w:rsidRPr="002C1D5A">
        <w:rPr>
          <w:rFonts w:cs="Arial"/>
          <w:color w:val="000000" w:themeColor="text1"/>
          <w:sz w:val="22"/>
          <w:szCs w:val="22"/>
        </w:rPr>
        <w:t xml:space="preserve"> V, VI2 i VII2 </w:t>
      </w:r>
      <w:r w:rsidRPr="00181EF2">
        <w:rPr>
          <w:rFonts w:cs="Arial"/>
          <w:color w:val="000000" w:themeColor="text1"/>
          <w:sz w:val="22"/>
          <w:szCs w:val="22"/>
        </w:rPr>
        <w:t>код којих је број лица занемарљив или нула). Ово указује на веома неповољну укупну ситуацију на тржишту рада у општини Беране.</w:t>
      </w:r>
      <w:r w:rsidR="006D281D" w:rsidRPr="002C1D5A">
        <w:rPr>
          <w:rFonts w:cs="Arial"/>
          <w:color w:val="000000" w:themeColor="text1"/>
          <w:sz w:val="22"/>
          <w:szCs w:val="22"/>
        </w:rPr>
        <w:t xml:space="preserve"> </w:t>
      </w:r>
    </w:p>
    <w:p w:rsidR="006D281D" w:rsidRPr="002C1D5A" w:rsidRDefault="006D281D" w:rsidP="000806C3">
      <w:pPr>
        <w:jc w:val="both"/>
        <w:rPr>
          <w:rFonts w:cs="Arial"/>
          <w:color w:val="000000" w:themeColor="text1"/>
          <w:sz w:val="22"/>
          <w:szCs w:val="22"/>
        </w:rPr>
      </w:pPr>
    </w:p>
    <w:p w:rsidR="009C25C1" w:rsidRDefault="008B78CB" w:rsidP="00CD3E0B">
      <w:pPr>
        <w:rPr>
          <w:rFonts w:cs="Arial"/>
          <w:color w:val="000000" w:themeColor="text1"/>
          <w:szCs w:val="20"/>
        </w:rPr>
      </w:pPr>
      <w:r>
        <w:rPr>
          <w:rFonts w:cs="Arial"/>
          <w:color w:val="000000" w:themeColor="text1"/>
          <w:szCs w:val="20"/>
        </w:rPr>
        <w:t>График</w:t>
      </w:r>
      <w:r w:rsidR="006D281D" w:rsidRPr="002C1D5A">
        <w:rPr>
          <w:rFonts w:cs="Arial"/>
          <w:color w:val="000000" w:themeColor="text1"/>
          <w:szCs w:val="20"/>
        </w:rPr>
        <w:t xml:space="preserve"> 12: </w:t>
      </w:r>
      <w:r w:rsidR="00CD3E0B" w:rsidRPr="00CD3E0B">
        <w:rPr>
          <w:rFonts w:cs="Arial"/>
          <w:color w:val="000000" w:themeColor="text1"/>
          <w:szCs w:val="20"/>
        </w:rPr>
        <w:t>Оглашена радна мјеста према дјелатностима, 2011 и 2018. године</w:t>
      </w:r>
    </w:p>
    <w:p w:rsidR="00CD3E0B" w:rsidRPr="00CD3E0B" w:rsidRDefault="00CD3E0B" w:rsidP="00CD3E0B">
      <w:pPr>
        <w:rPr>
          <w:rFonts w:cs="Arial"/>
          <w:color w:val="000000" w:themeColor="text1"/>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7"/>
        <w:gridCol w:w="4746"/>
      </w:tblGrid>
      <w:tr w:rsidR="006D281D" w:rsidRPr="002C1D5A" w:rsidTr="00F7360E">
        <w:tc>
          <w:tcPr>
            <w:tcW w:w="4607" w:type="dxa"/>
          </w:tcPr>
          <w:p w:rsidR="006D281D" w:rsidRPr="002C1D5A" w:rsidRDefault="006D281D" w:rsidP="000806C3">
            <w:pPr>
              <w:jc w:val="both"/>
              <w:rPr>
                <w:rFonts w:cs="Arial"/>
                <w:color w:val="000000" w:themeColor="text1"/>
                <w:sz w:val="22"/>
                <w:szCs w:val="22"/>
              </w:rPr>
            </w:pPr>
            <w:r w:rsidRPr="002C1D5A">
              <w:rPr>
                <w:noProof/>
                <w:lang w:val="en-US"/>
              </w:rPr>
              <w:drawing>
                <wp:inline distT="0" distB="0" distL="0" distR="0">
                  <wp:extent cx="2750820" cy="1859280"/>
                  <wp:effectExtent l="0" t="0" r="1143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c>
        <w:tc>
          <w:tcPr>
            <w:tcW w:w="4634" w:type="dxa"/>
          </w:tcPr>
          <w:p w:rsidR="006D281D" w:rsidRPr="002C1D5A" w:rsidRDefault="006D281D" w:rsidP="000806C3">
            <w:pPr>
              <w:jc w:val="both"/>
              <w:rPr>
                <w:rFonts w:cs="Arial"/>
                <w:color w:val="000000" w:themeColor="text1"/>
                <w:sz w:val="22"/>
                <w:szCs w:val="22"/>
              </w:rPr>
            </w:pPr>
            <w:r w:rsidRPr="002C1D5A">
              <w:rPr>
                <w:noProof/>
                <w:lang w:val="en-US"/>
              </w:rPr>
              <w:drawing>
                <wp:inline distT="0" distB="0" distL="0" distR="0">
                  <wp:extent cx="2865755" cy="1859280"/>
                  <wp:effectExtent l="0" t="0" r="10795"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tc>
      </w:tr>
    </w:tbl>
    <w:p w:rsidR="009C25C1" w:rsidRDefault="009C25C1" w:rsidP="000806C3">
      <w:pPr>
        <w:jc w:val="right"/>
        <w:rPr>
          <w:i/>
          <w:color w:val="000000" w:themeColor="text1"/>
          <w:sz w:val="18"/>
        </w:rPr>
      </w:pPr>
    </w:p>
    <w:p w:rsidR="006D281D" w:rsidRPr="007E3FFE" w:rsidRDefault="00CD3E0B" w:rsidP="000806C3">
      <w:pPr>
        <w:jc w:val="right"/>
        <w:rPr>
          <w:i/>
          <w:color w:val="000000" w:themeColor="text1"/>
          <w:sz w:val="18"/>
        </w:rPr>
      </w:pPr>
      <w:r>
        <w:rPr>
          <w:i/>
          <w:color w:val="000000" w:themeColor="text1"/>
          <w:sz w:val="18"/>
        </w:rPr>
        <w:t>Извор</w:t>
      </w:r>
      <w:r w:rsidR="006D281D" w:rsidRPr="007E3FFE">
        <w:rPr>
          <w:i/>
          <w:color w:val="000000" w:themeColor="text1"/>
          <w:sz w:val="18"/>
        </w:rPr>
        <w:t xml:space="preserve">: </w:t>
      </w:r>
      <w:r w:rsidRPr="00CD3E0B">
        <w:rPr>
          <w:i/>
          <w:color w:val="000000" w:themeColor="text1"/>
          <w:sz w:val="18"/>
        </w:rPr>
        <w:t>Завод за запошљавање Црне Горе.</w:t>
      </w:r>
    </w:p>
    <w:p w:rsidR="003E69BE" w:rsidRDefault="003E69BE" w:rsidP="000806C3">
      <w:pPr>
        <w:jc w:val="both"/>
        <w:rPr>
          <w:rFonts w:cs="Arial"/>
          <w:color w:val="000000" w:themeColor="text1"/>
          <w:sz w:val="22"/>
          <w:szCs w:val="22"/>
        </w:rPr>
      </w:pPr>
    </w:p>
    <w:p w:rsidR="00AB3D8C" w:rsidRPr="00373246" w:rsidRDefault="00373246" w:rsidP="000806C3">
      <w:pPr>
        <w:jc w:val="both"/>
        <w:rPr>
          <w:rFonts w:cs="Arial"/>
          <w:color w:val="000000" w:themeColor="text1"/>
          <w:sz w:val="22"/>
          <w:szCs w:val="22"/>
        </w:rPr>
      </w:pPr>
      <w:r>
        <w:rPr>
          <w:rFonts w:cs="Arial"/>
          <w:color w:val="000000" w:themeColor="text1"/>
          <w:sz w:val="22"/>
          <w:szCs w:val="22"/>
        </w:rPr>
        <w:t>Посматрано по дј</w:t>
      </w:r>
      <w:r w:rsidRPr="00373246">
        <w:rPr>
          <w:rFonts w:cs="Arial"/>
          <w:color w:val="000000" w:themeColor="text1"/>
          <w:sz w:val="22"/>
          <w:szCs w:val="22"/>
        </w:rPr>
        <w:t>елатностима, у структури оглашених радних мјеста у 2018. години највеће учешће има сектор образовања (39,2%)</w:t>
      </w:r>
      <w:r>
        <w:rPr>
          <w:rFonts w:cs="Arial"/>
          <w:color w:val="000000" w:themeColor="text1"/>
          <w:sz w:val="22"/>
          <w:szCs w:val="22"/>
        </w:rPr>
        <w:t>, док је сектор остале услужне дј</w:t>
      </w:r>
      <w:r w:rsidRPr="00373246">
        <w:rPr>
          <w:rFonts w:cs="Arial"/>
          <w:color w:val="000000" w:themeColor="text1"/>
          <w:sz w:val="22"/>
          <w:szCs w:val="22"/>
        </w:rPr>
        <w:t>елатности на другом мјесту са 21,3%. Трговина на велико и трговина на мало; поправка моторних возила и мотоцикала је на трећем мјесту. За разлику од 2018. године, у 2011. години је знатно више учешће у укупном броју оглашених радних мјеста било у управо у том сектору, али и у прерађивачкој индустрији и грађевинарству</w:t>
      </w:r>
      <w:r>
        <w:rPr>
          <w:rFonts w:cs="Arial"/>
          <w:color w:val="000000" w:themeColor="text1"/>
          <w:sz w:val="22"/>
          <w:szCs w:val="22"/>
        </w:rPr>
        <w:t>.</w:t>
      </w:r>
    </w:p>
    <w:p w:rsidR="00373246" w:rsidRPr="00373246" w:rsidRDefault="00373246" w:rsidP="000806C3">
      <w:pPr>
        <w:jc w:val="both"/>
        <w:rPr>
          <w:rFonts w:cs="Arial"/>
          <w:i/>
          <w:sz w:val="22"/>
          <w:szCs w:val="22"/>
        </w:rPr>
      </w:pPr>
    </w:p>
    <w:p w:rsidR="006D281D" w:rsidRDefault="00373246" w:rsidP="000806C3">
      <w:pPr>
        <w:rPr>
          <w:rFonts w:cs="Arial"/>
          <w:i/>
          <w:sz w:val="22"/>
          <w:szCs w:val="22"/>
        </w:rPr>
      </w:pPr>
      <w:r w:rsidRPr="00373246">
        <w:rPr>
          <w:rFonts w:cs="Arial"/>
          <w:i/>
          <w:sz w:val="22"/>
          <w:szCs w:val="22"/>
          <w:lang w:val="pl-PL"/>
        </w:rPr>
        <w:t>Запошљавање незапослених лица из евиденције</w:t>
      </w:r>
    </w:p>
    <w:p w:rsidR="00373246" w:rsidRPr="00373246" w:rsidRDefault="00373246" w:rsidP="000806C3">
      <w:pPr>
        <w:rPr>
          <w:rFonts w:cs="Arial"/>
          <w:b/>
          <w:bCs/>
          <w:iCs/>
          <w:sz w:val="22"/>
          <w:szCs w:val="22"/>
        </w:rPr>
      </w:pPr>
    </w:p>
    <w:p w:rsidR="006D281D" w:rsidRPr="002C1D5A" w:rsidRDefault="00373246" w:rsidP="000806C3">
      <w:pPr>
        <w:jc w:val="both"/>
        <w:rPr>
          <w:rFonts w:cs="Arial"/>
          <w:bCs/>
          <w:iCs/>
          <w:sz w:val="22"/>
          <w:szCs w:val="22"/>
          <w:lang w:val="pl-PL"/>
        </w:rPr>
      </w:pPr>
      <w:r w:rsidRPr="00373246">
        <w:rPr>
          <w:rFonts w:cs="Arial"/>
          <w:bCs/>
          <w:iCs/>
          <w:sz w:val="22"/>
          <w:szCs w:val="22"/>
          <w:lang w:val="pl-PL"/>
        </w:rPr>
        <w:t xml:space="preserve">У 2019. години запослило се 596 лица са евиденције, међу којима је 330 или 55,6% жена. Док се у  Црној Гори укупно из евиденције Завода за запошљавање у 2019. години запослило 36,3% просјечног броја незапослених лица, у Беранама се запослило само 13,8% просјечног броја незапослених пријављених у тој </w:t>
      </w:r>
      <w:r>
        <w:rPr>
          <w:rFonts w:cs="Arial"/>
          <w:bCs/>
          <w:iCs/>
          <w:sz w:val="22"/>
          <w:szCs w:val="22"/>
          <w:lang w:val="pl-PL"/>
        </w:rPr>
        <w:t>години на евиденцији Бироа рада</w:t>
      </w:r>
      <w:r w:rsidR="006D281D" w:rsidRPr="002C1D5A">
        <w:rPr>
          <w:rFonts w:cs="Arial"/>
          <w:bCs/>
          <w:iCs/>
          <w:sz w:val="22"/>
          <w:szCs w:val="22"/>
          <w:lang w:val="pl-PL"/>
        </w:rPr>
        <w:t xml:space="preserve">. </w:t>
      </w:r>
    </w:p>
    <w:p w:rsidR="006D281D" w:rsidRDefault="006D281D" w:rsidP="000806C3">
      <w:pPr>
        <w:jc w:val="both"/>
        <w:rPr>
          <w:rFonts w:cs="Arial"/>
          <w:iCs/>
          <w:szCs w:val="20"/>
        </w:rPr>
      </w:pPr>
      <w:r w:rsidRPr="002C1D5A">
        <w:rPr>
          <w:rFonts w:cs="Arial"/>
          <w:iCs/>
          <w:szCs w:val="20"/>
          <w:lang w:val="pl-PL"/>
        </w:rPr>
        <w:t xml:space="preserve">                             </w:t>
      </w:r>
    </w:p>
    <w:p w:rsidR="00373246" w:rsidRDefault="00373246" w:rsidP="000806C3">
      <w:pPr>
        <w:jc w:val="both"/>
        <w:rPr>
          <w:rFonts w:cs="Arial"/>
          <w:iCs/>
          <w:szCs w:val="20"/>
        </w:rPr>
      </w:pPr>
    </w:p>
    <w:p w:rsidR="00373246" w:rsidRDefault="00373246" w:rsidP="000806C3">
      <w:pPr>
        <w:jc w:val="both"/>
        <w:rPr>
          <w:rFonts w:cs="Arial"/>
          <w:iCs/>
          <w:szCs w:val="20"/>
        </w:rPr>
      </w:pPr>
    </w:p>
    <w:p w:rsidR="00373246" w:rsidRPr="00373246" w:rsidRDefault="00373246" w:rsidP="000806C3">
      <w:pPr>
        <w:jc w:val="both"/>
        <w:rPr>
          <w:rFonts w:cs="Arial"/>
          <w:iCs/>
          <w:szCs w:val="20"/>
        </w:rPr>
      </w:pPr>
    </w:p>
    <w:p w:rsidR="007E3FFE" w:rsidRDefault="00CD3E0B" w:rsidP="000806C3">
      <w:pPr>
        <w:jc w:val="both"/>
        <w:rPr>
          <w:rFonts w:cs="Arial"/>
          <w:iCs/>
          <w:szCs w:val="20"/>
        </w:rPr>
      </w:pPr>
      <w:r>
        <w:rPr>
          <w:rFonts w:cs="Arial"/>
          <w:iCs/>
          <w:szCs w:val="20"/>
        </w:rPr>
        <w:lastRenderedPageBreak/>
        <w:t>Табела</w:t>
      </w:r>
      <w:r w:rsidR="00235E36">
        <w:rPr>
          <w:rFonts w:cs="Arial"/>
          <w:iCs/>
          <w:szCs w:val="20"/>
          <w:lang w:val="pl-PL"/>
        </w:rPr>
        <w:t xml:space="preserve"> 1</w:t>
      </w:r>
      <w:r w:rsidR="00135060">
        <w:rPr>
          <w:rFonts w:cs="Arial"/>
          <w:iCs/>
          <w:szCs w:val="20"/>
          <w:lang w:val="pl-PL"/>
        </w:rPr>
        <w:t>7</w:t>
      </w:r>
      <w:r w:rsidR="006D281D" w:rsidRPr="002C1D5A">
        <w:rPr>
          <w:rFonts w:cs="Arial"/>
          <w:iCs/>
          <w:szCs w:val="20"/>
          <w:lang w:val="pl-PL"/>
        </w:rPr>
        <w:t xml:space="preserve">: </w:t>
      </w:r>
      <w:r w:rsidRPr="00CD3E0B">
        <w:rPr>
          <w:rFonts w:cs="Arial"/>
          <w:iCs/>
          <w:szCs w:val="20"/>
          <w:lang w:val="pl-PL"/>
        </w:rPr>
        <w:t>Запошљавање, 2018 и 2019. године</w:t>
      </w:r>
    </w:p>
    <w:p w:rsidR="00CD3E0B" w:rsidRPr="00CD3E0B" w:rsidRDefault="00CD3E0B" w:rsidP="000806C3">
      <w:pPr>
        <w:jc w:val="both"/>
        <w:rPr>
          <w:rFonts w:cs="Arial"/>
          <w:iCs/>
          <w:szCs w:val="20"/>
        </w:rPr>
      </w:pPr>
    </w:p>
    <w:tbl>
      <w:tblPr>
        <w:tblpPr w:leftFromText="141" w:rightFromText="141" w:vertAnchor="text" w:horzAnchor="margin" w:tblpXSpec="center" w:tblpY="80"/>
        <w:tblW w:w="7734"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600"/>
      </w:tblPr>
      <w:tblGrid>
        <w:gridCol w:w="1761"/>
        <w:gridCol w:w="2218"/>
        <w:gridCol w:w="1449"/>
        <w:gridCol w:w="2306"/>
      </w:tblGrid>
      <w:tr w:rsidR="006D281D" w:rsidRPr="002C1D5A" w:rsidTr="003E69BE">
        <w:trPr>
          <w:trHeight w:val="305"/>
        </w:trPr>
        <w:tc>
          <w:tcPr>
            <w:tcW w:w="1761" w:type="dxa"/>
            <w:vMerge w:val="restart"/>
            <w:shd w:val="clear" w:color="auto" w:fill="BFBFBF" w:themeFill="background1" w:themeFillShade="BF"/>
            <w:tcMar>
              <w:top w:w="12" w:type="dxa"/>
              <w:left w:w="12" w:type="dxa"/>
              <w:bottom w:w="0" w:type="dxa"/>
              <w:right w:w="12" w:type="dxa"/>
            </w:tcMar>
            <w:vAlign w:val="center"/>
            <w:hideMark/>
          </w:tcPr>
          <w:p w:rsidR="006D281D" w:rsidRPr="002C1D5A" w:rsidRDefault="006D281D" w:rsidP="000806C3">
            <w:pPr>
              <w:jc w:val="both"/>
              <w:rPr>
                <w:rFonts w:cs="Arial"/>
                <w:iCs/>
                <w:szCs w:val="20"/>
              </w:rPr>
            </w:pPr>
          </w:p>
        </w:tc>
        <w:tc>
          <w:tcPr>
            <w:tcW w:w="3667" w:type="dxa"/>
            <w:gridSpan w:val="2"/>
            <w:shd w:val="clear" w:color="auto" w:fill="BFBFBF" w:themeFill="background1" w:themeFillShade="BF"/>
            <w:tcMar>
              <w:top w:w="12" w:type="dxa"/>
              <w:left w:w="12" w:type="dxa"/>
              <w:bottom w:w="0" w:type="dxa"/>
              <w:right w:w="12" w:type="dxa"/>
            </w:tcMar>
            <w:vAlign w:val="bottom"/>
            <w:hideMark/>
          </w:tcPr>
          <w:p w:rsidR="006D281D" w:rsidRPr="002C1D5A" w:rsidRDefault="006D281D" w:rsidP="000806C3">
            <w:pPr>
              <w:jc w:val="center"/>
              <w:rPr>
                <w:rFonts w:cs="Arial"/>
                <w:iCs/>
                <w:sz w:val="18"/>
                <w:lang w:val="sl-SI"/>
              </w:rPr>
            </w:pPr>
            <w:r w:rsidRPr="002C1D5A">
              <w:rPr>
                <w:rFonts w:cs="Arial"/>
                <w:iCs/>
                <w:sz w:val="18"/>
                <w:lang w:val="sl-SI"/>
              </w:rPr>
              <w:t>UKUPNO</w:t>
            </w:r>
          </w:p>
        </w:tc>
        <w:tc>
          <w:tcPr>
            <w:tcW w:w="2306" w:type="dxa"/>
            <w:vMerge w:val="restart"/>
            <w:shd w:val="clear" w:color="auto" w:fill="BFBFBF" w:themeFill="background1" w:themeFillShade="BF"/>
            <w:tcMar>
              <w:top w:w="12" w:type="dxa"/>
              <w:left w:w="12" w:type="dxa"/>
              <w:bottom w:w="0" w:type="dxa"/>
              <w:right w:w="12" w:type="dxa"/>
            </w:tcMar>
            <w:vAlign w:val="center"/>
            <w:hideMark/>
          </w:tcPr>
          <w:p w:rsidR="006D281D" w:rsidRPr="002C1D5A" w:rsidRDefault="006D281D" w:rsidP="000806C3">
            <w:pPr>
              <w:jc w:val="center"/>
              <w:rPr>
                <w:rFonts w:cs="Arial"/>
                <w:iCs/>
                <w:sz w:val="18"/>
                <w:lang w:val="sl-SI"/>
              </w:rPr>
            </w:pPr>
            <w:r w:rsidRPr="002C1D5A">
              <w:rPr>
                <w:rFonts w:cs="Arial"/>
                <w:iCs/>
                <w:sz w:val="18"/>
                <w:lang w:val="sl-SI"/>
              </w:rPr>
              <w:t>Indeks</w:t>
            </w:r>
          </w:p>
          <w:p w:rsidR="006D281D" w:rsidRPr="002C1D5A" w:rsidRDefault="006D281D" w:rsidP="000806C3">
            <w:pPr>
              <w:jc w:val="center"/>
              <w:rPr>
                <w:rFonts w:cs="Arial"/>
                <w:iCs/>
                <w:sz w:val="18"/>
                <w:lang w:val="sl-SI"/>
              </w:rPr>
            </w:pPr>
            <w:r w:rsidRPr="002C1D5A">
              <w:rPr>
                <w:rFonts w:cs="Arial"/>
                <w:iCs/>
                <w:sz w:val="18"/>
                <w:lang w:val="sl-SI"/>
              </w:rPr>
              <w:t>2019:2018</w:t>
            </w:r>
          </w:p>
        </w:tc>
      </w:tr>
      <w:tr w:rsidR="006D281D" w:rsidRPr="002C1D5A" w:rsidTr="003E69BE">
        <w:trPr>
          <w:trHeight w:val="93"/>
        </w:trPr>
        <w:tc>
          <w:tcPr>
            <w:tcW w:w="1761" w:type="dxa"/>
            <w:vMerge/>
            <w:vAlign w:val="center"/>
            <w:hideMark/>
          </w:tcPr>
          <w:p w:rsidR="006D281D" w:rsidRPr="002C1D5A" w:rsidRDefault="006D281D" w:rsidP="000806C3">
            <w:pPr>
              <w:jc w:val="both"/>
              <w:rPr>
                <w:rFonts w:cs="Arial"/>
                <w:b/>
                <w:iCs/>
                <w:szCs w:val="20"/>
                <w:lang w:val="sl-SI"/>
              </w:rPr>
            </w:pPr>
          </w:p>
        </w:tc>
        <w:tc>
          <w:tcPr>
            <w:tcW w:w="2218" w:type="dxa"/>
            <w:shd w:val="clear" w:color="auto" w:fill="D9D9D9" w:themeFill="background1" w:themeFillShade="D9"/>
            <w:tcMar>
              <w:top w:w="12" w:type="dxa"/>
              <w:left w:w="12" w:type="dxa"/>
              <w:bottom w:w="0" w:type="dxa"/>
              <w:right w:w="12" w:type="dxa"/>
            </w:tcMar>
            <w:vAlign w:val="center"/>
            <w:hideMark/>
          </w:tcPr>
          <w:p w:rsidR="006D281D" w:rsidRPr="002C1D5A" w:rsidRDefault="006D281D" w:rsidP="000806C3">
            <w:pPr>
              <w:jc w:val="center"/>
              <w:rPr>
                <w:rFonts w:cs="Arial"/>
                <w:bCs/>
                <w:iCs/>
                <w:sz w:val="18"/>
                <w:lang w:val="sl-SI"/>
              </w:rPr>
            </w:pPr>
            <w:r w:rsidRPr="002C1D5A">
              <w:rPr>
                <w:rFonts w:cs="Arial"/>
                <w:bCs/>
                <w:iCs/>
                <w:sz w:val="18"/>
                <w:lang w:val="sl-SI"/>
              </w:rPr>
              <w:t>2018.</w:t>
            </w:r>
          </w:p>
        </w:tc>
        <w:tc>
          <w:tcPr>
            <w:tcW w:w="1448" w:type="dxa"/>
            <w:shd w:val="clear" w:color="auto" w:fill="D9D9D9" w:themeFill="background1" w:themeFillShade="D9"/>
            <w:tcMar>
              <w:top w:w="12" w:type="dxa"/>
              <w:left w:w="12" w:type="dxa"/>
              <w:bottom w:w="0" w:type="dxa"/>
              <w:right w:w="12" w:type="dxa"/>
            </w:tcMar>
            <w:vAlign w:val="center"/>
            <w:hideMark/>
          </w:tcPr>
          <w:p w:rsidR="006D281D" w:rsidRPr="002C1D5A" w:rsidRDefault="006D281D" w:rsidP="000806C3">
            <w:pPr>
              <w:jc w:val="center"/>
              <w:rPr>
                <w:rFonts w:cs="Arial"/>
                <w:bCs/>
                <w:iCs/>
                <w:sz w:val="18"/>
                <w:lang w:val="sl-SI"/>
              </w:rPr>
            </w:pPr>
            <w:r w:rsidRPr="002C1D5A">
              <w:rPr>
                <w:rFonts w:cs="Arial"/>
                <w:bCs/>
                <w:iCs/>
                <w:sz w:val="18"/>
                <w:lang w:val="sl-SI"/>
              </w:rPr>
              <w:t>2019.</w:t>
            </w:r>
          </w:p>
        </w:tc>
        <w:tc>
          <w:tcPr>
            <w:tcW w:w="2306" w:type="dxa"/>
            <w:vMerge/>
            <w:vAlign w:val="center"/>
            <w:hideMark/>
          </w:tcPr>
          <w:p w:rsidR="006D281D" w:rsidRPr="002C1D5A" w:rsidRDefault="006D281D" w:rsidP="000806C3">
            <w:pPr>
              <w:jc w:val="both"/>
              <w:rPr>
                <w:rFonts w:cs="Arial"/>
                <w:b/>
                <w:iCs/>
                <w:sz w:val="18"/>
                <w:lang w:val="sl-SI"/>
              </w:rPr>
            </w:pPr>
          </w:p>
        </w:tc>
      </w:tr>
      <w:tr w:rsidR="006D281D" w:rsidRPr="002C1D5A" w:rsidTr="003E69BE">
        <w:trPr>
          <w:trHeight w:val="199"/>
        </w:trPr>
        <w:tc>
          <w:tcPr>
            <w:tcW w:w="1761" w:type="dxa"/>
            <w:shd w:val="clear" w:color="auto" w:fill="auto"/>
            <w:tcMar>
              <w:top w:w="12" w:type="dxa"/>
              <w:left w:w="12" w:type="dxa"/>
              <w:bottom w:w="0" w:type="dxa"/>
              <w:right w:w="12" w:type="dxa"/>
            </w:tcMar>
            <w:vAlign w:val="bottom"/>
          </w:tcPr>
          <w:p w:rsidR="006D281D" w:rsidRPr="002C1D5A" w:rsidRDefault="006D281D" w:rsidP="000806C3">
            <w:pPr>
              <w:rPr>
                <w:rFonts w:cs="Arial"/>
                <w:bCs/>
                <w:iCs/>
                <w:sz w:val="18"/>
                <w:lang w:val="sl-SI"/>
              </w:rPr>
            </w:pPr>
            <w:r w:rsidRPr="002C1D5A">
              <w:rPr>
                <w:rFonts w:cs="Arial"/>
                <w:bCs/>
                <w:iCs/>
                <w:sz w:val="18"/>
                <w:lang w:val="sl-SI"/>
              </w:rPr>
              <w:t>Berane</w:t>
            </w:r>
          </w:p>
        </w:tc>
        <w:tc>
          <w:tcPr>
            <w:tcW w:w="2218" w:type="dxa"/>
            <w:shd w:val="clear" w:color="auto" w:fill="auto"/>
            <w:tcMar>
              <w:top w:w="12" w:type="dxa"/>
              <w:left w:w="12" w:type="dxa"/>
              <w:bottom w:w="0" w:type="dxa"/>
              <w:right w:w="12" w:type="dxa"/>
            </w:tcMar>
            <w:vAlign w:val="bottom"/>
          </w:tcPr>
          <w:p w:rsidR="006D281D" w:rsidRPr="002C1D5A" w:rsidRDefault="006D281D" w:rsidP="000806C3">
            <w:pPr>
              <w:jc w:val="center"/>
              <w:rPr>
                <w:rFonts w:cs="Arial"/>
                <w:bCs/>
                <w:iCs/>
                <w:sz w:val="18"/>
                <w:lang w:val="sl-SI"/>
              </w:rPr>
            </w:pPr>
            <w:r w:rsidRPr="002C1D5A">
              <w:rPr>
                <w:rFonts w:cs="Arial"/>
                <w:bCs/>
                <w:iCs/>
                <w:sz w:val="18"/>
                <w:lang w:val="sl-SI"/>
              </w:rPr>
              <w:t>739</w:t>
            </w:r>
          </w:p>
        </w:tc>
        <w:tc>
          <w:tcPr>
            <w:tcW w:w="1448" w:type="dxa"/>
            <w:shd w:val="clear" w:color="auto" w:fill="auto"/>
            <w:tcMar>
              <w:top w:w="12" w:type="dxa"/>
              <w:left w:w="12" w:type="dxa"/>
              <w:bottom w:w="0" w:type="dxa"/>
              <w:right w:w="12" w:type="dxa"/>
            </w:tcMar>
            <w:vAlign w:val="bottom"/>
          </w:tcPr>
          <w:p w:rsidR="006D281D" w:rsidRPr="002C1D5A" w:rsidRDefault="006D281D" w:rsidP="000806C3">
            <w:pPr>
              <w:jc w:val="center"/>
              <w:rPr>
                <w:rFonts w:cs="Arial"/>
                <w:bCs/>
                <w:iCs/>
                <w:sz w:val="18"/>
                <w:lang w:val="sl-SI"/>
              </w:rPr>
            </w:pPr>
            <w:r w:rsidRPr="002C1D5A">
              <w:rPr>
                <w:rFonts w:cs="Arial"/>
                <w:bCs/>
                <w:iCs/>
                <w:sz w:val="18"/>
                <w:lang w:val="sl-SI"/>
              </w:rPr>
              <w:t>596</w:t>
            </w:r>
          </w:p>
        </w:tc>
        <w:tc>
          <w:tcPr>
            <w:tcW w:w="2306" w:type="dxa"/>
            <w:shd w:val="clear" w:color="auto" w:fill="auto"/>
            <w:tcMar>
              <w:top w:w="12" w:type="dxa"/>
              <w:left w:w="12" w:type="dxa"/>
              <w:bottom w:w="0" w:type="dxa"/>
              <w:right w:w="12" w:type="dxa"/>
            </w:tcMar>
            <w:vAlign w:val="bottom"/>
          </w:tcPr>
          <w:p w:rsidR="006D281D" w:rsidRPr="002C1D5A" w:rsidRDefault="006D281D" w:rsidP="000806C3">
            <w:pPr>
              <w:jc w:val="center"/>
              <w:rPr>
                <w:rFonts w:cs="Arial"/>
                <w:bCs/>
                <w:iCs/>
                <w:sz w:val="18"/>
                <w:lang w:val="sl-SI"/>
              </w:rPr>
            </w:pPr>
            <w:r w:rsidRPr="002C1D5A">
              <w:rPr>
                <w:rFonts w:cs="Arial"/>
                <w:bCs/>
                <w:iCs/>
                <w:sz w:val="18"/>
                <w:lang w:val="sl-SI"/>
              </w:rPr>
              <w:t>80,6</w:t>
            </w:r>
          </w:p>
        </w:tc>
      </w:tr>
      <w:tr w:rsidR="006D281D" w:rsidRPr="002C1D5A" w:rsidTr="003E69BE">
        <w:trPr>
          <w:trHeight w:val="308"/>
        </w:trPr>
        <w:tc>
          <w:tcPr>
            <w:tcW w:w="1761" w:type="dxa"/>
            <w:shd w:val="clear" w:color="auto" w:fill="auto"/>
            <w:tcMar>
              <w:top w:w="12" w:type="dxa"/>
              <w:left w:w="12" w:type="dxa"/>
              <w:bottom w:w="0" w:type="dxa"/>
              <w:right w:w="12" w:type="dxa"/>
            </w:tcMar>
            <w:vAlign w:val="center"/>
            <w:hideMark/>
          </w:tcPr>
          <w:p w:rsidR="006D281D" w:rsidRPr="002C1D5A" w:rsidRDefault="006D281D" w:rsidP="000806C3">
            <w:pPr>
              <w:rPr>
                <w:rFonts w:cs="Arial"/>
                <w:bCs/>
                <w:iCs/>
                <w:sz w:val="18"/>
                <w:lang w:val="sl-SI"/>
              </w:rPr>
            </w:pPr>
            <w:r w:rsidRPr="002C1D5A">
              <w:rPr>
                <w:rFonts w:cs="Arial"/>
                <w:bCs/>
                <w:iCs/>
                <w:sz w:val="18"/>
                <w:lang w:val="sl-SI"/>
              </w:rPr>
              <w:t>Crna Gora</w:t>
            </w:r>
          </w:p>
        </w:tc>
        <w:tc>
          <w:tcPr>
            <w:tcW w:w="2218" w:type="dxa"/>
            <w:shd w:val="clear" w:color="auto" w:fill="auto"/>
            <w:tcMar>
              <w:top w:w="12" w:type="dxa"/>
              <w:left w:w="12" w:type="dxa"/>
              <w:bottom w:w="0" w:type="dxa"/>
              <w:right w:w="12" w:type="dxa"/>
            </w:tcMar>
            <w:vAlign w:val="bottom"/>
            <w:hideMark/>
          </w:tcPr>
          <w:p w:rsidR="006D281D" w:rsidRPr="002C1D5A" w:rsidRDefault="006D281D" w:rsidP="000806C3">
            <w:pPr>
              <w:jc w:val="center"/>
              <w:rPr>
                <w:rFonts w:cs="Arial"/>
                <w:bCs/>
                <w:iCs/>
                <w:sz w:val="18"/>
                <w:lang w:val="sl-SI"/>
              </w:rPr>
            </w:pPr>
            <w:r w:rsidRPr="002C1D5A">
              <w:rPr>
                <w:rFonts w:cs="Arial"/>
                <w:bCs/>
                <w:iCs/>
                <w:sz w:val="18"/>
                <w:lang w:val="sl-SI"/>
              </w:rPr>
              <w:t>15</w:t>
            </w:r>
            <w:r w:rsidR="00066CC4">
              <w:rPr>
                <w:rFonts w:cs="Arial"/>
                <w:bCs/>
                <w:iCs/>
                <w:sz w:val="18"/>
                <w:lang w:val="sl-SI"/>
              </w:rPr>
              <w:t>.</w:t>
            </w:r>
            <w:r w:rsidRPr="002C1D5A">
              <w:rPr>
                <w:rFonts w:cs="Arial"/>
                <w:bCs/>
                <w:iCs/>
                <w:sz w:val="18"/>
                <w:lang w:val="sl-SI"/>
              </w:rPr>
              <w:t>360</w:t>
            </w:r>
          </w:p>
        </w:tc>
        <w:tc>
          <w:tcPr>
            <w:tcW w:w="1448" w:type="dxa"/>
            <w:shd w:val="clear" w:color="auto" w:fill="auto"/>
            <w:tcMar>
              <w:top w:w="12" w:type="dxa"/>
              <w:left w:w="12" w:type="dxa"/>
              <w:bottom w:w="0" w:type="dxa"/>
              <w:right w:w="12" w:type="dxa"/>
            </w:tcMar>
            <w:vAlign w:val="bottom"/>
            <w:hideMark/>
          </w:tcPr>
          <w:p w:rsidR="006D281D" w:rsidRPr="002C1D5A" w:rsidRDefault="006D281D" w:rsidP="000806C3">
            <w:pPr>
              <w:jc w:val="center"/>
              <w:rPr>
                <w:rFonts w:cs="Arial"/>
                <w:bCs/>
                <w:iCs/>
                <w:sz w:val="18"/>
                <w:lang w:val="sl-SI"/>
              </w:rPr>
            </w:pPr>
            <w:r w:rsidRPr="002C1D5A">
              <w:rPr>
                <w:rFonts w:cs="Arial"/>
                <w:bCs/>
                <w:iCs/>
                <w:sz w:val="18"/>
                <w:lang w:val="sl-SI"/>
              </w:rPr>
              <w:t>13</w:t>
            </w:r>
            <w:r w:rsidR="00066CC4">
              <w:rPr>
                <w:rFonts w:cs="Arial"/>
                <w:bCs/>
                <w:iCs/>
                <w:sz w:val="18"/>
                <w:lang w:val="sl-SI"/>
              </w:rPr>
              <w:t>.</w:t>
            </w:r>
            <w:r w:rsidRPr="002C1D5A">
              <w:rPr>
                <w:rFonts w:cs="Arial"/>
                <w:bCs/>
                <w:iCs/>
                <w:sz w:val="18"/>
                <w:lang w:val="sl-SI"/>
              </w:rPr>
              <w:t>314</w:t>
            </w:r>
          </w:p>
        </w:tc>
        <w:tc>
          <w:tcPr>
            <w:tcW w:w="2306" w:type="dxa"/>
            <w:shd w:val="clear" w:color="auto" w:fill="auto"/>
            <w:tcMar>
              <w:top w:w="12" w:type="dxa"/>
              <w:left w:w="12" w:type="dxa"/>
              <w:bottom w:w="0" w:type="dxa"/>
              <w:right w:w="12" w:type="dxa"/>
            </w:tcMar>
            <w:vAlign w:val="bottom"/>
            <w:hideMark/>
          </w:tcPr>
          <w:p w:rsidR="006D281D" w:rsidRPr="002C1D5A" w:rsidRDefault="006D281D" w:rsidP="000806C3">
            <w:pPr>
              <w:jc w:val="center"/>
              <w:rPr>
                <w:rFonts w:cs="Arial"/>
                <w:bCs/>
                <w:iCs/>
                <w:sz w:val="18"/>
                <w:lang w:val="sl-SI"/>
              </w:rPr>
            </w:pPr>
            <w:r w:rsidRPr="002C1D5A">
              <w:rPr>
                <w:rFonts w:cs="Arial"/>
                <w:bCs/>
                <w:iCs/>
                <w:sz w:val="18"/>
                <w:lang w:val="sl-SI"/>
              </w:rPr>
              <w:t>86,7</w:t>
            </w:r>
          </w:p>
        </w:tc>
      </w:tr>
    </w:tbl>
    <w:p w:rsidR="006D281D" w:rsidRPr="002C1D5A" w:rsidRDefault="006D281D" w:rsidP="000806C3">
      <w:pPr>
        <w:jc w:val="both"/>
        <w:rPr>
          <w:rFonts w:cs="Arial"/>
          <w:iCs/>
          <w:sz w:val="18"/>
          <w:lang w:val="sl-SI"/>
        </w:rPr>
      </w:pPr>
    </w:p>
    <w:p w:rsidR="006D281D" w:rsidRPr="002C1D5A" w:rsidRDefault="006D281D" w:rsidP="000806C3">
      <w:pPr>
        <w:jc w:val="both"/>
        <w:rPr>
          <w:rFonts w:cs="Arial"/>
          <w:b/>
          <w:iCs/>
          <w:sz w:val="18"/>
        </w:rPr>
      </w:pPr>
    </w:p>
    <w:p w:rsidR="006D281D" w:rsidRPr="002C1D5A" w:rsidRDefault="006D281D" w:rsidP="000806C3">
      <w:pPr>
        <w:jc w:val="both"/>
        <w:rPr>
          <w:rFonts w:cs="Arial"/>
          <w:b/>
          <w:iCs/>
          <w:szCs w:val="20"/>
        </w:rPr>
      </w:pPr>
    </w:p>
    <w:p w:rsidR="006D281D" w:rsidRPr="002C1D5A" w:rsidRDefault="006D281D" w:rsidP="000806C3">
      <w:pPr>
        <w:jc w:val="both"/>
        <w:rPr>
          <w:rFonts w:cs="Arial"/>
          <w:b/>
          <w:iCs/>
          <w:szCs w:val="20"/>
        </w:rPr>
      </w:pPr>
    </w:p>
    <w:p w:rsidR="006D281D" w:rsidRPr="002C1D5A" w:rsidRDefault="006D281D" w:rsidP="000806C3">
      <w:pPr>
        <w:jc w:val="both"/>
        <w:rPr>
          <w:rFonts w:cs="Arial"/>
          <w:b/>
          <w:iCs/>
          <w:szCs w:val="20"/>
        </w:rPr>
      </w:pPr>
    </w:p>
    <w:p w:rsidR="00F960A0" w:rsidRDefault="00F960A0" w:rsidP="00F960A0">
      <w:pPr>
        <w:jc w:val="right"/>
        <w:rPr>
          <w:i/>
          <w:color w:val="000000" w:themeColor="text1"/>
          <w:sz w:val="18"/>
        </w:rPr>
      </w:pPr>
    </w:p>
    <w:p w:rsidR="006D281D" w:rsidRPr="002C1D5A" w:rsidRDefault="00CD3E0B" w:rsidP="00F960A0">
      <w:pPr>
        <w:jc w:val="right"/>
        <w:rPr>
          <w:rFonts w:cs="Arial"/>
          <w:i/>
          <w:iCs/>
          <w:color w:val="000000" w:themeColor="text1"/>
          <w:sz w:val="22"/>
          <w:szCs w:val="22"/>
        </w:rPr>
      </w:pPr>
      <w:r>
        <w:rPr>
          <w:i/>
          <w:color w:val="000000" w:themeColor="text1"/>
          <w:sz w:val="18"/>
        </w:rPr>
        <w:t>Извор</w:t>
      </w:r>
      <w:r w:rsidR="00F960A0" w:rsidRPr="007E3FFE">
        <w:rPr>
          <w:i/>
          <w:color w:val="000000" w:themeColor="text1"/>
          <w:sz w:val="18"/>
        </w:rPr>
        <w:t xml:space="preserve">: </w:t>
      </w:r>
      <w:r w:rsidRPr="00CD3E0B">
        <w:rPr>
          <w:i/>
          <w:color w:val="000000" w:themeColor="text1"/>
          <w:sz w:val="18"/>
        </w:rPr>
        <w:t>Завод за запошљавање Црне Горе, Извјештај о раду</w:t>
      </w:r>
    </w:p>
    <w:p w:rsidR="006D281D" w:rsidRPr="002C1D5A" w:rsidRDefault="006D281D" w:rsidP="000806C3">
      <w:pPr>
        <w:jc w:val="both"/>
        <w:rPr>
          <w:rFonts w:cs="Arial"/>
          <w:i/>
          <w:iCs/>
          <w:color w:val="000000" w:themeColor="text1"/>
          <w:sz w:val="22"/>
          <w:szCs w:val="22"/>
        </w:rPr>
      </w:pPr>
    </w:p>
    <w:p w:rsidR="00DB7C5A" w:rsidRDefault="00373246" w:rsidP="000806C3">
      <w:pPr>
        <w:jc w:val="both"/>
        <w:rPr>
          <w:rFonts w:cs="Arial"/>
          <w:iCs/>
          <w:sz w:val="22"/>
          <w:szCs w:val="22"/>
        </w:rPr>
      </w:pPr>
      <w:r w:rsidRPr="00373246">
        <w:rPr>
          <w:rFonts w:cs="Arial"/>
          <w:iCs/>
          <w:sz w:val="22"/>
          <w:szCs w:val="22"/>
        </w:rPr>
        <w:t xml:space="preserve">Међу лицима која су се запослила у 2019. години преовлађују лица са </w:t>
      </w:r>
      <w:r w:rsidR="006D281D" w:rsidRPr="002C1D5A">
        <w:rPr>
          <w:rFonts w:cs="Arial"/>
          <w:iCs/>
          <w:sz w:val="22"/>
          <w:szCs w:val="22"/>
        </w:rPr>
        <w:t xml:space="preserve">IV </w:t>
      </w:r>
      <w:r w:rsidRPr="00373246">
        <w:rPr>
          <w:rFonts w:cs="Arial"/>
          <w:iCs/>
          <w:sz w:val="22"/>
          <w:szCs w:val="22"/>
        </w:rPr>
        <w:t>степеном стручне спреме (44,5% укупно запослених) а затим слиједе лица са</w:t>
      </w:r>
      <w:r w:rsidR="006D281D" w:rsidRPr="002C1D5A">
        <w:rPr>
          <w:rFonts w:cs="Arial"/>
          <w:iCs/>
          <w:sz w:val="22"/>
          <w:szCs w:val="22"/>
        </w:rPr>
        <w:t xml:space="preserve"> VII-1 </w:t>
      </w:r>
      <w:r w:rsidRPr="00373246">
        <w:rPr>
          <w:rFonts w:cs="Arial"/>
          <w:iCs/>
          <w:sz w:val="22"/>
          <w:szCs w:val="22"/>
        </w:rPr>
        <w:t>степеном стручне спреме (24,5% укупно запослених из општине Беране)</w:t>
      </w:r>
      <w:r>
        <w:rPr>
          <w:rFonts w:cs="Arial"/>
          <w:iCs/>
          <w:sz w:val="22"/>
          <w:szCs w:val="22"/>
        </w:rPr>
        <w:t>.</w:t>
      </w:r>
    </w:p>
    <w:p w:rsidR="00373246" w:rsidRPr="00373246" w:rsidRDefault="00373246" w:rsidP="000806C3">
      <w:pPr>
        <w:jc w:val="both"/>
        <w:rPr>
          <w:rFonts w:cs="Arial"/>
          <w:i/>
          <w:iCs/>
          <w:sz w:val="22"/>
          <w:szCs w:val="22"/>
        </w:rPr>
      </w:pPr>
    </w:p>
    <w:p w:rsidR="008D6738" w:rsidRDefault="00373246" w:rsidP="000806C3">
      <w:pPr>
        <w:jc w:val="both"/>
        <w:rPr>
          <w:rFonts w:cs="Arial"/>
          <w:i/>
          <w:iCs/>
          <w:sz w:val="22"/>
          <w:szCs w:val="22"/>
        </w:rPr>
      </w:pPr>
      <w:r w:rsidRPr="00373246">
        <w:rPr>
          <w:rFonts w:cs="Arial"/>
          <w:i/>
          <w:iCs/>
          <w:sz w:val="22"/>
          <w:szCs w:val="22"/>
        </w:rPr>
        <w:t>Сезонско запошљавање</w:t>
      </w:r>
    </w:p>
    <w:p w:rsidR="00373246" w:rsidRPr="00373246" w:rsidRDefault="00373246" w:rsidP="000806C3">
      <w:pPr>
        <w:jc w:val="both"/>
        <w:rPr>
          <w:rFonts w:cs="Arial"/>
          <w:sz w:val="22"/>
          <w:szCs w:val="22"/>
        </w:rPr>
      </w:pPr>
    </w:p>
    <w:p w:rsidR="00B27481" w:rsidRDefault="00276B63" w:rsidP="000806C3">
      <w:pPr>
        <w:jc w:val="both"/>
        <w:rPr>
          <w:rFonts w:cs="Arial"/>
          <w:sz w:val="22"/>
          <w:szCs w:val="22"/>
        </w:rPr>
      </w:pPr>
      <w:r w:rsidRPr="00276B63">
        <w:rPr>
          <w:rFonts w:cs="Arial"/>
          <w:sz w:val="22"/>
          <w:szCs w:val="22"/>
        </w:rPr>
        <w:t>У Беранама су током 2019. године биле запослене укупно 822 особе на сезонским пословима. Сезонско запошљавање је у посматраном периоду од 2016. године биљежило раст. У односу на 2016. годину сезонско запошљавање је порасло за скоро 3 пута у 2019. години.</w:t>
      </w:r>
    </w:p>
    <w:p w:rsidR="00276B63" w:rsidRPr="00276B63" w:rsidRDefault="00276B63" w:rsidP="000806C3">
      <w:pPr>
        <w:jc w:val="both"/>
        <w:rPr>
          <w:rFonts w:cs="Arial"/>
          <w:sz w:val="22"/>
          <w:szCs w:val="22"/>
        </w:rPr>
      </w:pPr>
    </w:p>
    <w:p w:rsidR="00B27481" w:rsidRDefault="00255BC1" w:rsidP="000806C3">
      <w:pPr>
        <w:jc w:val="both"/>
        <w:rPr>
          <w:rFonts w:eastAsia="Times New Roman" w:cs="Calibri"/>
          <w:color w:val="000000"/>
          <w:szCs w:val="20"/>
          <w:lang w:val="sl-SI" w:eastAsia="sl-SI"/>
        </w:rPr>
      </w:pPr>
      <w:r>
        <w:rPr>
          <w:rFonts w:eastAsia="Times New Roman" w:cs="Calibri"/>
          <w:color w:val="000000"/>
          <w:szCs w:val="20"/>
          <w:lang w:eastAsia="sl-SI"/>
        </w:rPr>
        <w:t>Табела</w:t>
      </w:r>
      <w:r w:rsidR="00235E36">
        <w:rPr>
          <w:rFonts w:eastAsia="Times New Roman" w:cs="Calibri"/>
          <w:color w:val="000000"/>
          <w:szCs w:val="20"/>
          <w:lang w:val="sl-SI" w:eastAsia="sl-SI"/>
        </w:rPr>
        <w:t xml:space="preserve"> 1</w:t>
      </w:r>
      <w:r w:rsidR="00135060">
        <w:rPr>
          <w:rFonts w:eastAsia="Times New Roman" w:cs="Calibri"/>
          <w:color w:val="000000"/>
          <w:szCs w:val="20"/>
          <w:lang w:val="sl-SI" w:eastAsia="sl-SI"/>
        </w:rPr>
        <w:t>8</w:t>
      </w:r>
      <w:r w:rsidR="00B27481" w:rsidRPr="006A529A">
        <w:rPr>
          <w:rFonts w:eastAsia="Times New Roman" w:cs="Calibri"/>
          <w:color w:val="000000"/>
          <w:szCs w:val="20"/>
          <w:lang w:val="sl-SI" w:eastAsia="sl-SI"/>
        </w:rPr>
        <w:t xml:space="preserve">: </w:t>
      </w:r>
      <w:r w:rsidRPr="00255BC1">
        <w:rPr>
          <w:rFonts w:eastAsia="Times New Roman" w:cs="Calibri"/>
          <w:color w:val="000000"/>
          <w:szCs w:val="20"/>
          <w:lang w:val="sl-SI" w:eastAsia="sl-SI"/>
        </w:rPr>
        <w:t>Сезонско запошљавање</w:t>
      </w:r>
    </w:p>
    <w:p w:rsidR="007E3FFE" w:rsidRPr="006A529A" w:rsidRDefault="007E3FFE" w:rsidP="000806C3">
      <w:pPr>
        <w:jc w:val="both"/>
        <w:rPr>
          <w:rFonts w:cs="Arial"/>
          <w:szCs w:val="20"/>
        </w:rPr>
      </w:pPr>
    </w:p>
    <w:tbl>
      <w:tblPr>
        <w:tblW w:w="4464" w:type="pct"/>
        <w:tblInd w:w="532" w:type="dxa"/>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16"/>
        <w:gridCol w:w="1659"/>
        <w:gridCol w:w="1658"/>
        <w:gridCol w:w="1655"/>
        <w:gridCol w:w="1655"/>
      </w:tblGrid>
      <w:tr w:rsidR="00135060" w:rsidRPr="006A529A" w:rsidTr="00135060">
        <w:trPr>
          <w:trHeight w:val="263"/>
        </w:trPr>
        <w:tc>
          <w:tcPr>
            <w:tcW w:w="1075" w:type="pct"/>
            <w:shd w:val="clear" w:color="auto" w:fill="BFBFBF" w:themeFill="background1" w:themeFillShade="BF"/>
            <w:noWrap/>
            <w:vAlign w:val="center"/>
            <w:hideMark/>
          </w:tcPr>
          <w:p w:rsidR="00135060" w:rsidRPr="007E3FFE" w:rsidRDefault="00135060" w:rsidP="000806C3">
            <w:pPr>
              <w:jc w:val="center"/>
              <w:rPr>
                <w:rFonts w:eastAsia="Times New Roman" w:cs="Calibri"/>
                <w:b/>
                <w:bCs/>
                <w:color w:val="000000"/>
                <w:sz w:val="18"/>
                <w:lang w:val="en-US"/>
              </w:rPr>
            </w:pPr>
            <w:r w:rsidRPr="007E3FFE">
              <w:rPr>
                <w:rFonts w:eastAsia="Times New Roman" w:cs="Calibri"/>
                <w:b/>
                <w:bCs/>
                <w:color w:val="000000"/>
                <w:sz w:val="18"/>
                <w:lang w:val="en-US"/>
              </w:rPr>
              <w:t> </w:t>
            </w:r>
          </w:p>
        </w:tc>
        <w:tc>
          <w:tcPr>
            <w:tcW w:w="982" w:type="pct"/>
            <w:shd w:val="clear" w:color="auto" w:fill="BFBFBF" w:themeFill="background1" w:themeFillShade="BF"/>
            <w:noWrap/>
            <w:vAlign w:val="center"/>
            <w:hideMark/>
          </w:tcPr>
          <w:p w:rsidR="00135060" w:rsidRPr="003E69BE" w:rsidRDefault="00135060" w:rsidP="000806C3">
            <w:pPr>
              <w:jc w:val="right"/>
              <w:rPr>
                <w:rFonts w:eastAsia="Times New Roman" w:cs="Calibri"/>
                <w:color w:val="000000"/>
                <w:sz w:val="18"/>
                <w:lang w:val="en-US"/>
              </w:rPr>
            </w:pPr>
            <w:r w:rsidRPr="003E69BE">
              <w:rPr>
                <w:rFonts w:eastAsia="Times New Roman" w:cs="Calibri"/>
                <w:color w:val="000000"/>
                <w:sz w:val="18"/>
                <w:lang w:val="en-US"/>
              </w:rPr>
              <w:t>2016</w:t>
            </w:r>
            <w:r w:rsidR="00066CC4" w:rsidRPr="003E69BE">
              <w:rPr>
                <w:rFonts w:eastAsia="Times New Roman" w:cs="Calibri"/>
                <w:color w:val="000000"/>
                <w:sz w:val="18"/>
                <w:lang w:val="en-US"/>
              </w:rPr>
              <w:t>.</w:t>
            </w:r>
          </w:p>
        </w:tc>
        <w:tc>
          <w:tcPr>
            <w:tcW w:w="982" w:type="pct"/>
            <w:shd w:val="clear" w:color="auto" w:fill="BFBFBF" w:themeFill="background1" w:themeFillShade="BF"/>
            <w:noWrap/>
            <w:vAlign w:val="center"/>
            <w:hideMark/>
          </w:tcPr>
          <w:p w:rsidR="00135060" w:rsidRPr="003E69BE" w:rsidRDefault="00135060" w:rsidP="000806C3">
            <w:pPr>
              <w:jc w:val="right"/>
              <w:rPr>
                <w:rFonts w:eastAsia="Times New Roman" w:cs="Calibri"/>
                <w:color w:val="000000"/>
                <w:sz w:val="18"/>
                <w:lang w:val="en-US"/>
              </w:rPr>
            </w:pPr>
            <w:r w:rsidRPr="003E69BE">
              <w:rPr>
                <w:rFonts w:eastAsia="Times New Roman" w:cs="Calibri"/>
                <w:color w:val="000000"/>
                <w:sz w:val="18"/>
                <w:lang w:val="en-US"/>
              </w:rPr>
              <w:t>2018</w:t>
            </w:r>
            <w:r w:rsidR="00066CC4" w:rsidRPr="003E69BE">
              <w:rPr>
                <w:rFonts w:eastAsia="Times New Roman" w:cs="Calibri"/>
                <w:color w:val="000000"/>
                <w:sz w:val="18"/>
                <w:lang w:val="en-US"/>
              </w:rPr>
              <w:t>.</w:t>
            </w:r>
          </w:p>
        </w:tc>
        <w:tc>
          <w:tcPr>
            <w:tcW w:w="980" w:type="pct"/>
            <w:shd w:val="clear" w:color="auto" w:fill="BFBFBF" w:themeFill="background1" w:themeFillShade="BF"/>
            <w:noWrap/>
            <w:vAlign w:val="center"/>
            <w:hideMark/>
          </w:tcPr>
          <w:p w:rsidR="00135060" w:rsidRPr="003E69BE" w:rsidRDefault="00135060" w:rsidP="000806C3">
            <w:pPr>
              <w:jc w:val="right"/>
              <w:rPr>
                <w:rFonts w:eastAsia="Times New Roman" w:cs="Calibri"/>
                <w:color w:val="000000"/>
                <w:sz w:val="18"/>
                <w:lang w:val="en-US"/>
              </w:rPr>
            </w:pPr>
            <w:r w:rsidRPr="003E69BE">
              <w:rPr>
                <w:rFonts w:eastAsia="Times New Roman" w:cs="Calibri"/>
                <w:color w:val="000000"/>
                <w:sz w:val="18"/>
                <w:lang w:val="en-US"/>
              </w:rPr>
              <w:t>2019</w:t>
            </w:r>
            <w:r w:rsidR="00066CC4" w:rsidRPr="003E69BE">
              <w:rPr>
                <w:rFonts w:eastAsia="Times New Roman" w:cs="Calibri"/>
                <w:color w:val="000000"/>
                <w:sz w:val="18"/>
                <w:lang w:val="en-US"/>
              </w:rPr>
              <w:t>.</w:t>
            </w:r>
          </w:p>
        </w:tc>
        <w:tc>
          <w:tcPr>
            <w:tcW w:w="980" w:type="pct"/>
            <w:shd w:val="clear" w:color="auto" w:fill="BFBFBF" w:themeFill="background1" w:themeFillShade="BF"/>
          </w:tcPr>
          <w:p w:rsidR="00135060" w:rsidRPr="003E69BE" w:rsidRDefault="00066CC4" w:rsidP="000806C3">
            <w:pPr>
              <w:jc w:val="right"/>
              <w:rPr>
                <w:rFonts w:eastAsia="Times New Roman" w:cs="Calibri"/>
                <w:color w:val="000000"/>
                <w:sz w:val="18"/>
                <w:lang w:val="en-US"/>
              </w:rPr>
            </w:pPr>
            <w:r w:rsidRPr="003E69BE">
              <w:rPr>
                <w:rFonts w:eastAsia="Times New Roman" w:cs="Calibri"/>
                <w:color w:val="000000"/>
                <w:sz w:val="18"/>
                <w:lang w:val="en-US"/>
              </w:rPr>
              <w:t xml:space="preserve">(I-VI) </w:t>
            </w:r>
            <w:r w:rsidR="00135060" w:rsidRPr="003E69BE">
              <w:rPr>
                <w:rFonts w:eastAsia="Times New Roman" w:cs="Calibri"/>
                <w:color w:val="000000"/>
                <w:sz w:val="18"/>
                <w:lang w:val="en-US"/>
              </w:rPr>
              <w:t>2020</w:t>
            </w:r>
            <w:r w:rsidRPr="003E69BE">
              <w:rPr>
                <w:rFonts w:eastAsia="Times New Roman" w:cs="Calibri"/>
                <w:color w:val="000000"/>
                <w:sz w:val="18"/>
                <w:lang w:val="en-US"/>
              </w:rPr>
              <w:t>.</w:t>
            </w:r>
          </w:p>
        </w:tc>
      </w:tr>
      <w:tr w:rsidR="00135060" w:rsidRPr="006A529A" w:rsidTr="00135060">
        <w:trPr>
          <w:trHeight w:val="263"/>
        </w:trPr>
        <w:tc>
          <w:tcPr>
            <w:tcW w:w="1075" w:type="pct"/>
            <w:shd w:val="clear" w:color="auto" w:fill="auto"/>
            <w:noWrap/>
            <w:vAlign w:val="center"/>
            <w:hideMark/>
          </w:tcPr>
          <w:p w:rsidR="00135060" w:rsidRPr="00255BC1" w:rsidRDefault="00255BC1" w:rsidP="007E3FFE">
            <w:pPr>
              <w:rPr>
                <w:rFonts w:eastAsia="Times New Roman" w:cs="Calibri"/>
                <w:color w:val="000000"/>
                <w:sz w:val="18"/>
              </w:rPr>
            </w:pPr>
            <w:r>
              <w:rPr>
                <w:rFonts w:eastAsia="Times New Roman" w:cs="Calibri"/>
                <w:color w:val="000000"/>
                <w:sz w:val="18"/>
              </w:rPr>
              <w:t>Беране</w:t>
            </w:r>
          </w:p>
        </w:tc>
        <w:tc>
          <w:tcPr>
            <w:tcW w:w="982"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278</w:t>
            </w:r>
          </w:p>
        </w:tc>
        <w:tc>
          <w:tcPr>
            <w:tcW w:w="982"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432</w:t>
            </w:r>
          </w:p>
        </w:tc>
        <w:tc>
          <w:tcPr>
            <w:tcW w:w="980"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822</w:t>
            </w:r>
          </w:p>
        </w:tc>
        <w:tc>
          <w:tcPr>
            <w:tcW w:w="980" w:type="pct"/>
          </w:tcPr>
          <w:p w:rsidR="00135060" w:rsidRPr="007E3FFE" w:rsidRDefault="00135060" w:rsidP="000806C3">
            <w:pPr>
              <w:jc w:val="right"/>
              <w:rPr>
                <w:rFonts w:eastAsia="Times New Roman" w:cs="Calibri"/>
                <w:color w:val="000000"/>
                <w:sz w:val="18"/>
                <w:lang w:val="en-US"/>
              </w:rPr>
            </w:pPr>
            <w:r>
              <w:rPr>
                <w:rFonts w:eastAsia="Times New Roman" w:cs="Calibri"/>
                <w:color w:val="000000"/>
                <w:sz w:val="18"/>
                <w:lang w:val="en-US"/>
              </w:rPr>
              <w:t>409</w:t>
            </w:r>
          </w:p>
        </w:tc>
      </w:tr>
      <w:tr w:rsidR="00135060" w:rsidRPr="006A529A" w:rsidTr="00135060">
        <w:trPr>
          <w:trHeight w:val="263"/>
        </w:trPr>
        <w:tc>
          <w:tcPr>
            <w:tcW w:w="1075" w:type="pct"/>
            <w:shd w:val="clear" w:color="auto" w:fill="auto"/>
            <w:noWrap/>
            <w:vAlign w:val="center"/>
            <w:hideMark/>
          </w:tcPr>
          <w:p w:rsidR="00135060" w:rsidRPr="00255BC1" w:rsidRDefault="00255BC1" w:rsidP="007E3FFE">
            <w:pPr>
              <w:rPr>
                <w:rFonts w:eastAsia="Times New Roman" w:cs="Calibri"/>
                <w:color w:val="000000"/>
                <w:sz w:val="18"/>
              </w:rPr>
            </w:pPr>
            <w:r>
              <w:rPr>
                <w:rFonts w:eastAsia="Times New Roman" w:cs="Calibri"/>
                <w:color w:val="000000"/>
                <w:sz w:val="18"/>
              </w:rPr>
              <w:t>Црна Гора</w:t>
            </w:r>
          </w:p>
        </w:tc>
        <w:tc>
          <w:tcPr>
            <w:tcW w:w="982"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9551</w:t>
            </w:r>
          </w:p>
        </w:tc>
        <w:tc>
          <w:tcPr>
            <w:tcW w:w="982"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9229</w:t>
            </w:r>
          </w:p>
        </w:tc>
        <w:tc>
          <w:tcPr>
            <w:tcW w:w="980"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11855</w:t>
            </w:r>
          </w:p>
        </w:tc>
        <w:tc>
          <w:tcPr>
            <w:tcW w:w="980" w:type="pct"/>
          </w:tcPr>
          <w:p w:rsidR="00135060" w:rsidRPr="007E3FFE" w:rsidRDefault="00135060" w:rsidP="000806C3">
            <w:pPr>
              <w:jc w:val="right"/>
              <w:rPr>
                <w:rFonts w:eastAsia="Times New Roman" w:cs="Calibri"/>
                <w:color w:val="000000"/>
                <w:sz w:val="18"/>
                <w:lang w:val="en-US"/>
              </w:rPr>
            </w:pPr>
            <w:r w:rsidRPr="00135060">
              <w:rPr>
                <w:bCs/>
                <w:sz w:val="18"/>
                <w:lang w:val="sr-Latn-CS"/>
              </w:rPr>
              <w:t>3081</w:t>
            </w:r>
          </w:p>
        </w:tc>
      </w:tr>
      <w:tr w:rsidR="00135060" w:rsidRPr="006A529A" w:rsidTr="00135060">
        <w:trPr>
          <w:trHeight w:val="263"/>
        </w:trPr>
        <w:tc>
          <w:tcPr>
            <w:tcW w:w="1075" w:type="pct"/>
            <w:shd w:val="clear" w:color="auto" w:fill="auto"/>
            <w:noWrap/>
            <w:vAlign w:val="center"/>
            <w:hideMark/>
          </w:tcPr>
          <w:p w:rsidR="00135060" w:rsidRPr="00255BC1" w:rsidRDefault="00135060" w:rsidP="007E3FFE">
            <w:pPr>
              <w:rPr>
                <w:rFonts w:eastAsia="Times New Roman" w:cs="Calibri"/>
                <w:color w:val="000000"/>
                <w:sz w:val="18"/>
              </w:rPr>
            </w:pPr>
            <w:r w:rsidRPr="007E3FFE">
              <w:rPr>
                <w:rFonts w:eastAsia="Times New Roman" w:cs="Calibri"/>
                <w:color w:val="000000"/>
                <w:sz w:val="18"/>
                <w:lang w:val="en-US"/>
              </w:rPr>
              <w:t xml:space="preserve">% </w:t>
            </w:r>
            <w:r w:rsidR="00255BC1">
              <w:rPr>
                <w:rFonts w:eastAsia="Times New Roman" w:cs="Calibri"/>
                <w:color w:val="000000"/>
                <w:sz w:val="18"/>
              </w:rPr>
              <w:t>од укуног броја</w:t>
            </w:r>
          </w:p>
        </w:tc>
        <w:tc>
          <w:tcPr>
            <w:tcW w:w="982"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2,9</w:t>
            </w:r>
          </w:p>
        </w:tc>
        <w:tc>
          <w:tcPr>
            <w:tcW w:w="982"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4,7</w:t>
            </w:r>
          </w:p>
        </w:tc>
        <w:tc>
          <w:tcPr>
            <w:tcW w:w="980" w:type="pct"/>
            <w:shd w:val="clear" w:color="auto" w:fill="auto"/>
            <w:noWrap/>
            <w:vAlign w:val="center"/>
            <w:hideMark/>
          </w:tcPr>
          <w:p w:rsidR="00135060" w:rsidRPr="007E3FFE" w:rsidRDefault="00135060" w:rsidP="000806C3">
            <w:pPr>
              <w:jc w:val="right"/>
              <w:rPr>
                <w:rFonts w:eastAsia="Times New Roman" w:cs="Calibri"/>
                <w:color w:val="000000"/>
                <w:sz w:val="18"/>
                <w:lang w:val="en-US"/>
              </w:rPr>
            </w:pPr>
            <w:r w:rsidRPr="007E3FFE">
              <w:rPr>
                <w:rFonts w:eastAsia="Times New Roman" w:cs="Calibri"/>
                <w:color w:val="000000"/>
                <w:sz w:val="18"/>
                <w:lang w:val="en-US"/>
              </w:rPr>
              <w:t>6,9</w:t>
            </w:r>
          </w:p>
        </w:tc>
        <w:tc>
          <w:tcPr>
            <w:tcW w:w="980" w:type="pct"/>
          </w:tcPr>
          <w:p w:rsidR="00135060" w:rsidRPr="00135060" w:rsidRDefault="00135060" w:rsidP="000806C3">
            <w:pPr>
              <w:jc w:val="right"/>
              <w:rPr>
                <w:rFonts w:eastAsia="Times New Roman" w:cs="Calibri"/>
                <w:bCs/>
                <w:color w:val="000000"/>
                <w:sz w:val="18"/>
                <w:lang w:val="en-US"/>
              </w:rPr>
            </w:pPr>
            <w:r>
              <w:rPr>
                <w:rFonts w:eastAsia="Times New Roman" w:cs="Calibri"/>
                <w:bCs/>
                <w:color w:val="000000"/>
                <w:sz w:val="18"/>
                <w:lang w:val="en-US"/>
              </w:rPr>
              <w:t>13,3</w:t>
            </w:r>
          </w:p>
        </w:tc>
      </w:tr>
    </w:tbl>
    <w:p w:rsidR="00B27481" w:rsidRPr="007E3FFE" w:rsidRDefault="00255BC1" w:rsidP="007E3FFE">
      <w:pPr>
        <w:jc w:val="right"/>
        <w:rPr>
          <w:rFonts w:cs="Arial"/>
          <w:i/>
          <w:iCs/>
          <w:color w:val="000000" w:themeColor="text1"/>
          <w:sz w:val="18"/>
        </w:rPr>
      </w:pPr>
      <w:r>
        <w:rPr>
          <w:rFonts w:cs="Arial"/>
          <w:i/>
          <w:iCs/>
          <w:color w:val="000000" w:themeColor="text1"/>
          <w:sz w:val="18"/>
        </w:rPr>
        <w:t>Извор</w:t>
      </w:r>
      <w:r w:rsidR="00B27481" w:rsidRPr="007E3FFE">
        <w:rPr>
          <w:rFonts w:cs="Arial"/>
          <w:i/>
          <w:iCs/>
          <w:color w:val="000000" w:themeColor="text1"/>
          <w:sz w:val="18"/>
        </w:rPr>
        <w:t xml:space="preserve">: </w:t>
      </w:r>
      <w:r w:rsidRPr="00255BC1">
        <w:rPr>
          <w:rFonts w:cs="Arial"/>
          <w:i/>
          <w:iCs/>
          <w:color w:val="000000" w:themeColor="text1"/>
          <w:sz w:val="18"/>
        </w:rPr>
        <w:t>Завод за запошљавање</w:t>
      </w:r>
    </w:p>
    <w:p w:rsidR="00276B63" w:rsidRPr="00276B63" w:rsidRDefault="00276B63" w:rsidP="00276B63">
      <w:pPr>
        <w:jc w:val="both"/>
        <w:rPr>
          <w:rFonts w:cs="Arial"/>
          <w:sz w:val="22"/>
          <w:szCs w:val="22"/>
        </w:rPr>
      </w:pPr>
      <w:r w:rsidRPr="00276B63">
        <w:rPr>
          <w:rFonts w:cs="Arial"/>
          <w:sz w:val="22"/>
          <w:szCs w:val="22"/>
        </w:rPr>
        <w:t xml:space="preserve">У 2019. години у односу на укупан број незапослених који су укључени у сезонско запошљавање на нивоу Црне Горе у Беранама је укључено 6,9%. Учешће у укупном сезонском запошљавању је повећано у односу на 2018. годину за 2,2 процентна поена, а у односу на 2016. за 4 процентна поена. </w:t>
      </w:r>
    </w:p>
    <w:p w:rsidR="00276B63" w:rsidRPr="00276B63" w:rsidRDefault="00276B63" w:rsidP="00276B63">
      <w:pPr>
        <w:jc w:val="both"/>
        <w:rPr>
          <w:rFonts w:cs="Arial"/>
          <w:sz w:val="22"/>
          <w:szCs w:val="22"/>
        </w:rPr>
      </w:pPr>
    </w:p>
    <w:p w:rsidR="00431B4C" w:rsidRDefault="00276B63" w:rsidP="00276B63">
      <w:pPr>
        <w:jc w:val="both"/>
        <w:rPr>
          <w:rFonts w:cs="Arial"/>
          <w:sz w:val="22"/>
          <w:szCs w:val="22"/>
        </w:rPr>
      </w:pPr>
      <w:r w:rsidRPr="00276B63">
        <w:rPr>
          <w:rFonts w:cs="Arial"/>
          <w:sz w:val="22"/>
          <w:szCs w:val="22"/>
        </w:rPr>
        <w:t>У 2020. години се сезонско запошљавање због пандемије смањило, на нивоу Црне Горе за 74% и у Беранама за 50,2%. Ипак учешће Берана у сезонском запошљавању у 2020. години износило је чак 13,3%.</w:t>
      </w:r>
    </w:p>
    <w:p w:rsidR="00276B63" w:rsidRPr="00276B63" w:rsidRDefault="00276B63" w:rsidP="00276B63">
      <w:pPr>
        <w:jc w:val="both"/>
        <w:rPr>
          <w:rFonts w:cs="Arial"/>
          <w:sz w:val="22"/>
          <w:szCs w:val="22"/>
        </w:rPr>
      </w:pPr>
    </w:p>
    <w:p w:rsidR="00DA06C9" w:rsidRDefault="00983497" w:rsidP="000806C3">
      <w:pPr>
        <w:pStyle w:val="Heading2"/>
        <w:spacing w:before="0"/>
        <w:rPr>
          <w:rFonts w:cs="Arial"/>
        </w:rPr>
      </w:pPr>
      <w:bookmarkStart w:id="38" w:name="_Toc44873766"/>
      <w:bookmarkStart w:id="39" w:name="_Toc52644732"/>
      <w:bookmarkStart w:id="40" w:name="_Toc74296649"/>
      <w:r w:rsidRPr="006A529A">
        <w:rPr>
          <w:rFonts w:cs="Arial"/>
        </w:rPr>
        <w:t>3.</w:t>
      </w:r>
      <w:r w:rsidR="00BC319B" w:rsidRPr="006A529A">
        <w:rPr>
          <w:rFonts w:cs="Arial"/>
        </w:rPr>
        <w:t>5</w:t>
      </w:r>
      <w:r w:rsidRPr="006A529A">
        <w:rPr>
          <w:rFonts w:cs="Arial"/>
        </w:rPr>
        <w:t xml:space="preserve"> </w:t>
      </w:r>
      <w:bookmarkEnd w:id="38"/>
      <w:bookmarkEnd w:id="39"/>
      <w:r w:rsidR="00276B63" w:rsidRPr="00276B63">
        <w:rPr>
          <w:rFonts w:cs="Arial"/>
        </w:rPr>
        <w:t>Дефицитарна и потенцијално дефицитарна занимања</w:t>
      </w:r>
      <w:bookmarkEnd w:id="40"/>
    </w:p>
    <w:p w:rsidR="00276B63" w:rsidRPr="00276B63" w:rsidRDefault="00276B63" w:rsidP="00276B63"/>
    <w:p w:rsidR="00F83593" w:rsidRDefault="00276B63">
      <w:pPr>
        <w:rPr>
          <w:sz w:val="22"/>
          <w:szCs w:val="22"/>
        </w:rPr>
      </w:pPr>
      <w:r w:rsidRPr="00276B63">
        <w:rPr>
          <w:sz w:val="22"/>
          <w:szCs w:val="22"/>
        </w:rPr>
        <w:t>Дефицитарна и потенцијално дефицитарна занимања на локалном тржишту рада прате се кроз кретање броја незапослених, новопријављених на евиденцију завода, запошљавања и оглашавања слободних радних мјеста.</w:t>
      </w:r>
    </w:p>
    <w:p w:rsidR="00276B63" w:rsidRPr="00276B63" w:rsidRDefault="00276B63">
      <w:pPr>
        <w:rPr>
          <w:rFonts w:eastAsiaTheme="majorEastAsia" w:cstheme="majorBidi"/>
          <w:b/>
          <w:color w:val="000000" w:themeColor="text1"/>
          <w:sz w:val="22"/>
          <w:szCs w:val="24"/>
        </w:rPr>
      </w:pPr>
    </w:p>
    <w:p w:rsidR="003C3953" w:rsidRPr="006A529A" w:rsidRDefault="003C3953" w:rsidP="000806C3">
      <w:pPr>
        <w:pStyle w:val="Heading3"/>
        <w:spacing w:before="0"/>
      </w:pPr>
      <w:r w:rsidRPr="006A529A">
        <w:t xml:space="preserve">3.5.1 </w:t>
      </w:r>
      <w:r w:rsidR="00276B63" w:rsidRPr="00276B63">
        <w:t>Дефицитарна и суфицитарна занимања на Бироу рада Берана</w:t>
      </w:r>
    </w:p>
    <w:p w:rsidR="003C3953" w:rsidRPr="006A529A" w:rsidRDefault="003C3953" w:rsidP="000806C3">
      <w:pPr>
        <w:jc w:val="both"/>
        <w:rPr>
          <w:color w:val="000000" w:themeColor="text1"/>
          <w:sz w:val="22"/>
          <w:szCs w:val="22"/>
        </w:rPr>
      </w:pPr>
    </w:p>
    <w:p w:rsidR="0049160E" w:rsidRPr="006A529A" w:rsidRDefault="00276B63" w:rsidP="000806C3">
      <w:pPr>
        <w:jc w:val="both"/>
        <w:rPr>
          <w:color w:val="000000" w:themeColor="text1"/>
          <w:sz w:val="22"/>
          <w:szCs w:val="22"/>
        </w:rPr>
      </w:pPr>
      <w:r w:rsidRPr="00276B63">
        <w:rPr>
          <w:color w:val="000000" w:themeColor="text1"/>
          <w:sz w:val="22"/>
          <w:szCs w:val="22"/>
        </w:rPr>
        <w:t xml:space="preserve">Током 2018. године, најдефицитарнија занимања су била занимања са средњом стручном спремом, међу којима су механичари и машинисти, обрађивачи метала, аутомеханичари и аутоелектричари, прерађивачи и обрађивачи дрвета, електротехничари, монтери и инсталатери у машинству, бравари, водоинсталатери, као и медицински техничари, ветеринарски и ратарски </w:t>
      </w:r>
      <w:r>
        <w:rPr>
          <w:color w:val="000000" w:themeColor="text1"/>
          <w:sz w:val="22"/>
          <w:szCs w:val="22"/>
        </w:rPr>
        <w:t>техничари</w:t>
      </w:r>
      <w:r w:rsidR="0049160E" w:rsidRPr="006A529A">
        <w:rPr>
          <w:rStyle w:val="FootnoteReference"/>
          <w:color w:val="000000" w:themeColor="text1"/>
          <w:sz w:val="22"/>
          <w:szCs w:val="22"/>
        </w:rPr>
        <w:footnoteReference w:id="23"/>
      </w:r>
      <w:r w:rsidR="0049160E" w:rsidRPr="006A529A">
        <w:rPr>
          <w:color w:val="000000" w:themeColor="text1"/>
          <w:sz w:val="22"/>
          <w:szCs w:val="22"/>
        </w:rPr>
        <w:t xml:space="preserve">. </w:t>
      </w:r>
    </w:p>
    <w:p w:rsidR="001F3757" w:rsidRPr="006A529A" w:rsidRDefault="001F3757" w:rsidP="000806C3">
      <w:pPr>
        <w:jc w:val="both"/>
      </w:pPr>
    </w:p>
    <w:p w:rsidR="0049160E" w:rsidRDefault="00276B63" w:rsidP="000806C3">
      <w:pPr>
        <w:jc w:val="both"/>
        <w:rPr>
          <w:rFonts w:eastAsia="Times New Roman"/>
          <w:bCs/>
          <w:iCs/>
          <w:sz w:val="22"/>
          <w:szCs w:val="22"/>
        </w:rPr>
      </w:pPr>
      <w:r w:rsidRPr="00276B63">
        <w:rPr>
          <w:rFonts w:eastAsia="Times New Roman"/>
          <w:bCs/>
          <w:iCs/>
          <w:sz w:val="22"/>
          <w:szCs w:val="22"/>
        </w:rPr>
        <w:t>Према информацијама и подацима Бироа рада Беране у 2019. и у првој половини 2020. године дефицитарна су сљедећа занимања:</w:t>
      </w:r>
    </w:p>
    <w:p w:rsidR="00276B63" w:rsidRPr="00276B63" w:rsidRDefault="00276B63" w:rsidP="000806C3">
      <w:pPr>
        <w:jc w:val="both"/>
        <w:rPr>
          <w:rFonts w:eastAsia="Times New Roman"/>
          <w:bCs/>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109"/>
      </w:tblGrid>
      <w:tr w:rsidR="0049160E" w:rsidRPr="006A529A" w:rsidTr="003C3953">
        <w:tc>
          <w:tcPr>
            <w:tcW w:w="2122" w:type="dxa"/>
          </w:tcPr>
          <w:p w:rsidR="0049160E" w:rsidRPr="006A529A" w:rsidRDefault="00396AA6" w:rsidP="000806C3">
            <w:pPr>
              <w:rPr>
                <w:rFonts w:eastAsia="Times New Roman"/>
                <w:bCs/>
                <w:iCs/>
                <w:szCs w:val="20"/>
              </w:rPr>
            </w:pPr>
            <w:r>
              <w:rPr>
                <w:rFonts w:eastAsia="Times New Roman"/>
                <w:szCs w:val="20"/>
              </w:rPr>
              <w:lastRenderedPageBreak/>
              <w:t>VII степен образовања</w:t>
            </w:r>
            <w:r w:rsidR="0049160E" w:rsidRPr="006A529A">
              <w:rPr>
                <w:rFonts w:eastAsia="Times New Roman"/>
                <w:szCs w:val="20"/>
              </w:rPr>
              <w:t xml:space="preserve">  </w:t>
            </w:r>
          </w:p>
        </w:tc>
        <w:tc>
          <w:tcPr>
            <w:tcW w:w="7109" w:type="dxa"/>
          </w:tcPr>
          <w:p w:rsidR="0049160E" w:rsidRPr="00396AA6" w:rsidRDefault="00396AA6" w:rsidP="000806C3">
            <w:pPr>
              <w:jc w:val="both"/>
              <w:rPr>
                <w:rFonts w:eastAsiaTheme="minorEastAsia" w:cstheme="minorBidi"/>
                <w:bCs/>
                <w:color w:val="000000" w:themeColor="text1"/>
                <w:kern w:val="24"/>
                <w:szCs w:val="20"/>
              </w:rPr>
            </w:pPr>
            <w:r w:rsidRPr="00396AA6">
              <w:rPr>
                <w:rFonts w:eastAsiaTheme="minorEastAsia" w:cstheme="minorBidi"/>
                <w:bCs/>
                <w:color w:val="000000" w:themeColor="text1"/>
                <w:kern w:val="24"/>
                <w:szCs w:val="20"/>
              </w:rPr>
              <w:t>Доктор медицине; професори различитих профила (рачунари, математика, физика); дипломирани инжењери архитектуре са лиценцом и дипломирани инжењер грађевинарства са лиценцом, графички дизајнер</w:t>
            </w:r>
            <w:r>
              <w:rPr>
                <w:rFonts w:eastAsiaTheme="minorEastAsia" w:cstheme="minorBidi"/>
                <w:bCs/>
                <w:color w:val="000000" w:themeColor="text1"/>
                <w:kern w:val="24"/>
                <w:szCs w:val="20"/>
              </w:rPr>
              <w:t>.</w:t>
            </w:r>
          </w:p>
          <w:p w:rsidR="00396AA6" w:rsidRPr="00396AA6" w:rsidRDefault="00396AA6" w:rsidP="000806C3">
            <w:pPr>
              <w:jc w:val="both"/>
              <w:rPr>
                <w:rFonts w:eastAsia="Times New Roman"/>
                <w:bCs/>
                <w:iCs/>
                <w:szCs w:val="20"/>
              </w:rPr>
            </w:pPr>
          </w:p>
        </w:tc>
      </w:tr>
      <w:tr w:rsidR="0049160E" w:rsidRPr="006A529A" w:rsidTr="003C3953">
        <w:tc>
          <w:tcPr>
            <w:tcW w:w="2122" w:type="dxa"/>
          </w:tcPr>
          <w:p w:rsidR="0049160E" w:rsidRPr="00396AA6" w:rsidRDefault="00396AA6" w:rsidP="000806C3">
            <w:pPr>
              <w:jc w:val="both"/>
              <w:rPr>
                <w:rFonts w:eastAsia="Times New Roman"/>
                <w:bCs/>
                <w:iCs/>
                <w:szCs w:val="20"/>
              </w:rPr>
            </w:pPr>
            <w:r>
              <w:rPr>
                <w:rFonts w:eastAsia="Times New Roman"/>
                <w:bCs/>
                <w:iCs/>
                <w:szCs w:val="20"/>
              </w:rPr>
              <w:t xml:space="preserve">Средње образовање </w:t>
            </w:r>
          </w:p>
        </w:tc>
        <w:tc>
          <w:tcPr>
            <w:tcW w:w="7109" w:type="dxa"/>
          </w:tcPr>
          <w:p w:rsidR="00396AA6" w:rsidRPr="00396AA6" w:rsidRDefault="00396AA6" w:rsidP="00396AA6">
            <w:pPr>
              <w:jc w:val="both"/>
              <w:rPr>
                <w:rFonts w:eastAsia="Times New Roman"/>
                <w:bCs/>
                <w:iCs/>
                <w:szCs w:val="20"/>
              </w:rPr>
            </w:pPr>
            <w:r w:rsidRPr="00396AA6">
              <w:rPr>
                <w:rFonts w:eastAsia="Times New Roman"/>
                <w:bCs/>
                <w:iCs/>
                <w:szCs w:val="20"/>
              </w:rPr>
              <w:t>Занимања у дјелатности трговине и угоститељства.</w:t>
            </w:r>
          </w:p>
          <w:p w:rsidR="00396AA6" w:rsidRPr="00396AA6" w:rsidRDefault="00396AA6" w:rsidP="00396AA6">
            <w:pPr>
              <w:jc w:val="both"/>
              <w:rPr>
                <w:rFonts w:eastAsia="Times New Roman"/>
                <w:bCs/>
                <w:iCs/>
                <w:szCs w:val="20"/>
              </w:rPr>
            </w:pPr>
            <w:r w:rsidRPr="00396AA6">
              <w:rPr>
                <w:rFonts w:eastAsia="Times New Roman"/>
                <w:bCs/>
                <w:iCs/>
                <w:szCs w:val="20"/>
              </w:rPr>
              <w:t>Специфично за потражњу у тим дјелатностима су очекивања послодавца да једна особа буде оспособљена за више стручних квалификација, нпр. трговац да буде истовремено и касир и магационер, шанкер да буде оспособљен за послове конобара и перача суђа итд.</w:t>
            </w:r>
          </w:p>
          <w:p w:rsidR="003C3953" w:rsidRPr="006A529A" w:rsidRDefault="00396AA6" w:rsidP="00396AA6">
            <w:pPr>
              <w:jc w:val="both"/>
              <w:rPr>
                <w:rFonts w:eastAsia="Times New Roman"/>
                <w:bCs/>
                <w:iCs/>
                <w:szCs w:val="20"/>
              </w:rPr>
            </w:pPr>
            <w:r w:rsidRPr="00396AA6">
              <w:rPr>
                <w:rFonts w:eastAsia="Times New Roman"/>
                <w:bCs/>
                <w:iCs/>
                <w:szCs w:val="20"/>
              </w:rPr>
              <w:t>Потражња такође постоји у дјелатности дрвопрераде, нпр.  за раднике на специјализованим машинама за дрвопрераду.</w:t>
            </w:r>
          </w:p>
        </w:tc>
      </w:tr>
    </w:tbl>
    <w:p w:rsidR="0049160E" w:rsidRPr="006A529A" w:rsidRDefault="003C3953" w:rsidP="000806C3">
      <w:pPr>
        <w:jc w:val="both"/>
        <w:rPr>
          <w:rFonts w:eastAsia="Times New Roman"/>
          <w:bCs/>
          <w:iCs/>
          <w:szCs w:val="20"/>
        </w:rPr>
      </w:pPr>
      <w:r w:rsidRPr="006A529A">
        <w:rPr>
          <w:rFonts w:eastAsia="Times New Roman"/>
          <w:bCs/>
          <w:iCs/>
          <w:szCs w:val="20"/>
        </w:rPr>
        <w:t xml:space="preserve">                                                    </w:t>
      </w:r>
    </w:p>
    <w:p w:rsidR="0049160E" w:rsidRDefault="00276B63" w:rsidP="000806C3">
      <w:pPr>
        <w:shd w:val="clear" w:color="auto" w:fill="FFFFFF"/>
        <w:jc w:val="both"/>
        <w:rPr>
          <w:rFonts w:eastAsia="Times New Roman"/>
          <w:bCs/>
          <w:iCs/>
          <w:sz w:val="22"/>
          <w:szCs w:val="22"/>
        </w:rPr>
      </w:pPr>
      <w:r w:rsidRPr="00276B63">
        <w:rPr>
          <w:rFonts w:eastAsia="Times New Roman"/>
          <w:bCs/>
          <w:iCs/>
          <w:sz w:val="22"/>
          <w:szCs w:val="22"/>
        </w:rPr>
        <w:t>Међу суфицитарним занимањима на Бироу рада помињу се матурант гимназије и медицински техничар</w:t>
      </w:r>
      <w:r>
        <w:rPr>
          <w:rFonts w:eastAsia="Times New Roman"/>
          <w:bCs/>
          <w:iCs/>
          <w:sz w:val="22"/>
          <w:szCs w:val="22"/>
        </w:rPr>
        <w:t>.</w:t>
      </w:r>
    </w:p>
    <w:p w:rsidR="00276B63" w:rsidRPr="00276B63" w:rsidRDefault="00276B63" w:rsidP="000806C3">
      <w:pPr>
        <w:shd w:val="clear" w:color="auto" w:fill="FFFFFF"/>
        <w:jc w:val="both"/>
      </w:pPr>
    </w:p>
    <w:p w:rsidR="001F3757" w:rsidRPr="006A529A" w:rsidRDefault="003C3953" w:rsidP="000806C3">
      <w:pPr>
        <w:pStyle w:val="Heading3"/>
        <w:spacing w:before="0"/>
      </w:pPr>
      <w:r w:rsidRPr="006A529A">
        <w:t xml:space="preserve">3.5.2 </w:t>
      </w:r>
      <w:r w:rsidR="008B29AD" w:rsidRPr="008B29AD">
        <w:t>Потребе послодаваца</w:t>
      </w:r>
    </w:p>
    <w:p w:rsidR="006442CC" w:rsidRPr="006A529A" w:rsidRDefault="006442CC" w:rsidP="000806C3">
      <w:pPr>
        <w:rPr>
          <w:sz w:val="22"/>
          <w:szCs w:val="22"/>
        </w:rPr>
      </w:pPr>
      <w:bookmarkStart w:id="41" w:name="_Toc44873767"/>
      <w:bookmarkStart w:id="42" w:name="_Toc52644733"/>
    </w:p>
    <w:p w:rsidR="003C3953" w:rsidRPr="006A529A" w:rsidRDefault="008B29AD" w:rsidP="000806C3">
      <w:pPr>
        <w:jc w:val="both"/>
        <w:rPr>
          <w:sz w:val="22"/>
          <w:szCs w:val="22"/>
        </w:rPr>
      </w:pPr>
      <w:r w:rsidRPr="008B29AD">
        <w:rPr>
          <w:bCs/>
          <w:sz w:val="22"/>
          <w:szCs w:val="22"/>
        </w:rPr>
        <w:t xml:space="preserve">Представници локалне управе спровели су у првој половини 2020. године процес консултације са послодавцима о потражњи и очекивањима по питању знања и вјештина која очекују од будућих радника. У консултацију је било укључено </w:t>
      </w:r>
      <w:r>
        <w:rPr>
          <w:bCs/>
          <w:sz w:val="22"/>
          <w:szCs w:val="22"/>
        </w:rPr>
        <w:t>10 предузећа са око 250 радника</w:t>
      </w:r>
      <w:r w:rsidR="003C3953" w:rsidRPr="006A529A">
        <w:rPr>
          <w:sz w:val="22"/>
          <w:szCs w:val="22"/>
        </w:rPr>
        <w:t>.</w:t>
      </w:r>
    </w:p>
    <w:p w:rsidR="0087736F" w:rsidRPr="006A529A" w:rsidRDefault="0087736F" w:rsidP="000806C3">
      <w:pPr>
        <w:jc w:val="center"/>
      </w:pPr>
    </w:p>
    <w:p w:rsidR="008B29AD" w:rsidRPr="008B29AD" w:rsidRDefault="008B29AD" w:rsidP="008B29AD">
      <w:pPr>
        <w:pStyle w:val="CommentText"/>
        <w:pBdr>
          <w:top w:val="dotted" w:sz="4" w:space="1" w:color="auto"/>
          <w:left w:val="dotted" w:sz="4" w:space="4" w:color="auto"/>
          <w:bottom w:val="dotted" w:sz="4" w:space="1" w:color="auto"/>
          <w:right w:val="dotted" w:sz="4" w:space="4" w:color="auto"/>
        </w:pBdr>
        <w:shd w:val="clear" w:color="auto" w:fill="F2F2F2" w:themeFill="background1" w:themeFillShade="F2"/>
        <w:jc w:val="both"/>
      </w:pPr>
      <w:r w:rsidRPr="008B29AD">
        <w:rPr>
          <w:szCs w:val="18"/>
        </w:rPr>
        <w:t>Кључни налази:</w:t>
      </w:r>
    </w:p>
    <w:p w:rsidR="003C3953" w:rsidRPr="006A529A" w:rsidRDefault="008B29AD"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pPr>
      <w:r w:rsidRPr="008B29AD">
        <w:t>Око половине испитаних послодаваца су у посљедње вријеме тражили радник</w:t>
      </w:r>
      <w:r>
        <w:t>е или планирају да их траже</w:t>
      </w:r>
      <w:r w:rsidR="003C3953" w:rsidRPr="006A529A">
        <w:t xml:space="preserve">. </w:t>
      </w:r>
    </w:p>
    <w:p w:rsidR="008B29AD" w:rsidRPr="008B29AD" w:rsidRDefault="008B29AD"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rPr>
          <w:bCs/>
        </w:rPr>
      </w:pPr>
      <w:r w:rsidRPr="008B29AD">
        <w:t>У погледу занимања највише се траже кандидати са средњом стручном спремом из сектора занатства и угоститељства:  конобар, шанкер, собарица, рецепционер, кувар, столар, тапетар, монтер намјештаја, стаклар, магационер, возач</w:t>
      </w:r>
      <w:r>
        <w:t>.</w:t>
      </w:r>
    </w:p>
    <w:p w:rsidR="008B29AD" w:rsidRPr="008B29AD" w:rsidRDefault="008B29AD"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rPr>
          <w:bCs/>
        </w:rPr>
      </w:pPr>
      <w:r w:rsidRPr="008B29AD">
        <w:t>Као кључни проблем при запошљавању нових радника половина  испитаника наводи – недостатак адекватне стручне спреме,  недостатак радног искуства и непознавање рада на машинама и алатима.</w:t>
      </w:r>
    </w:p>
    <w:p w:rsidR="008B29AD" w:rsidRPr="008B29AD" w:rsidRDefault="008B29AD"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pPr>
      <w:r w:rsidRPr="008B29AD">
        <w:t>Послодавци очекују од нових радника  спремност за усвајање нових вјештина  и одговорност према послу, затим  познавање рада на машинама и алатима, а наводи се и упуће</w:t>
      </w:r>
      <w:r w:rsidR="00900D46">
        <w:t>ност у технолошке иновације и IT</w:t>
      </w:r>
      <w:r w:rsidRPr="008B29AD">
        <w:t xml:space="preserve"> компетенције, као и познавање енглеског језика.</w:t>
      </w:r>
    </w:p>
    <w:p w:rsidR="003C3953" w:rsidRPr="006A529A" w:rsidRDefault="008B29AD"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pPr>
      <w:r w:rsidRPr="008B29AD">
        <w:t>Половина испитаних послодаваца је раније користила помоћ ЗЗЗЦГ кроз  запошљавање особа са инвалидитетом и оспособљавање за самосталан рад. Од свих испитаника који су користили помоћ, 40% је задовољно, док 10% није задовољно  јер субвенције нису исплаћене и потражују их у парничном поступку</w:t>
      </w:r>
      <w:r w:rsidR="003C3953" w:rsidRPr="006A529A">
        <w:t>.</w:t>
      </w:r>
    </w:p>
    <w:p w:rsidR="003C3953" w:rsidRPr="006A529A" w:rsidRDefault="000B4B13"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pPr>
      <w:r w:rsidRPr="000B4B13">
        <w:t>Сви послодавци су изразили спремност да обучавају или запосле незапослено лице у својој фирми уз финансијску подршку, коју наводе као главну врсту неопходне помоћи, кроз  субвенције за зараде и субвенције за новозапослене</w:t>
      </w:r>
      <w:r w:rsidR="003C3953" w:rsidRPr="006A529A">
        <w:t>.</w:t>
      </w:r>
    </w:p>
    <w:p w:rsidR="003C3953" w:rsidRPr="006A529A" w:rsidRDefault="000B4B13"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pPr>
      <w:r w:rsidRPr="000B4B13">
        <w:t>За боље пословање фирме, такође је наведена неопходна финансијска подршка, као нпр. бескаматно кредитирање и гран</w:t>
      </w:r>
      <w:r>
        <w:t>тови за куповину опреме и алата</w:t>
      </w:r>
      <w:r w:rsidR="003C3953" w:rsidRPr="006A529A">
        <w:t>.</w:t>
      </w:r>
    </w:p>
    <w:p w:rsidR="003C3953" w:rsidRPr="006A529A" w:rsidRDefault="000B4B13"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pPr>
      <w:r w:rsidRPr="000B4B13">
        <w:t>У вријеме пандемије Ковид 19  пола испитаних послодаваца је радило смањеним капацитетом и отежано, а око 30% испи</w:t>
      </w:r>
      <w:r w:rsidR="00900D46">
        <w:t>таника су спадали у „затворене дј</w:t>
      </w:r>
      <w:r w:rsidRPr="000B4B13">
        <w:t>елатности“. Само један послодавац је навео да је пословао редовно.</w:t>
      </w:r>
      <w:r w:rsidR="003C3953" w:rsidRPr="006A529A">
        <w:t xml:space="preserve">.  </w:t>
      </w:r>
    </w:p>
    <w:p w:rsidR="003C3953" w:rsidRDefault="000B4B13" w:rsidP="000806C3">
      <w:pPr>
        <w:pStyle w:val="CommentText"/>
        <w:numPr>
          <w:ilvl w:val="0"/>
          <w:numId w:val="26"/>
        </w:numPr>
        <w:pBdr>
          <w:top w:val="dotted" w:sz="4" w:space="1" w:color="auto"/>
          <w:left w:val="dotted" w:sz="4" w:space="4" w:color="auto"/>
          <w:bottom w:val="dotted" w:sz="4" w:space="1" w:color="auto"/>
          <w:right w:val="dotted" w:sz="4" w:space="4" w:color="auto"/>
        </w:pBdr>
        <w:shd w:val="clear" w:color="auto" w:fill="F2F2F2" w:themeFill="background1" w:themeFillShade="F2"/>
        <w:ind w:left="357" w:hanging="357"/>
        <w:jc w:val="both"/>
      </w:pPr>
      <w:r w:rsidRPr="000B4B13">
        <w:t>Као главну помоћ у контексту кризе изазване пандемијом, 50%  испитаника очекује финансијску помоћ у виду бескаматних кредита а осталих 50% пореске олакшице и одлагање плаћања пореза и доприноса. Међу испитаницима има 10% оних, који већ користе Владин пакет мјера за ублажавање посљедица пандемије  и очекују да се тај исти пакет настави.</w:t>
      </w:r>
      <w:r>
        <w:t xml:space="preserve"> </w:t>
      </w:r>
    </w:p>
    <w:p w:rsidR="000B4B13" w:rsidRDefault="000B4B13" w:rsidP="000806C3">
      <w:pPr>
        <w:pStyle w:val="Heading3"/>
        <w:spacing w:before="0"/>
      </w:pPr>
    </w:p>
    <w:p w:rsidR="001E0902" w:rsidRPr="006A529A" w:rsidRDefault="001E0902" w:rsidP="000806C3">
      <w:pPr>
        <w:pStyle w:val="Heading3"/>
        <w:spacing w:before="0"/>
      </w:pPr>
      <w:r w:rsidRPr="006A529A">
        <w:t xml:space="preserve">3.5.3 </w:t>
      </w:r>
      <w:r w:rsidR="00421DD2" w:rsidRPr="00421DD2">
        <w:t>Знања и вјештине за даљи социо-економски развој општине</w:t>
      </w:r>
    </w:p>
    <w:p w:rsidR="001E0902" w:rsidRPr="006A529A" w:rsidRDefault="001E0902" w:rsidP="000806C3"/>
    <w:p w:rsidR="00BD7203" w:rsidRPr="00523F69" w:rsidRDefault="00421DD2" w:rsidP="000806C3">
      <w:pPr>
        <w:rPr>
          <w:sz w:val="22"/>
          <w:szCs w:val="22"/>
        </w:rPr>
      </w:pPr>
      <w:r w:rsidRPr="00421DD2">
        <w:rPr>
          <w:sz w:val="22"/>
          <w:szCs w:val="22"/>
        </w:rPr>
        <w:t xml:space="preserve">Према процјени чланова локалног партнерства за запошљавање у општини су поред горе поменутих дефицитарних знања и занимања потребна и знања и вјештине који би могли да допринесу реализацији стратешких циљева општине и тиме даљем социо-економском развоју општине.  У том погледу помињу се нарочито занимања и додатна знања и вјештине  за висококвалификовану радну снагу, као што су  висока технологија за </w:t>
      </w:r>
      <w:r w:rsidRPr="00421DD2">
        <w:rPr>
          <w:sz w:val="22"/>
          <w:szCs w:val="22"/>
        </w:rPr>
        <w:lastRenderedPageBreak/>
        <w:t>производњу и прераду, заштита животне с</w:t>
      </w:r>
      <w:r>
        <w:rPr>
          <w:sz w:val="22"/>
          <w:szCs w:val="22"/>
        </w:rPr>
        <w:t>редине, знање страних језика, IT</w:t>
      </w:r>
      <w:r w:rsidRPr="00421DD2">
        <w:rPr>
          <w:sz w:val="22"/>
          <w:szCs w:val="22"/>
        </w:rPr>
        <w:t xml:space="preserve"> итд. То су знања и занимања која ће допринијети стварању додатне вриједности развојних области, побољшању квалитета и конкурентности.</w:t>
      </w:r>
    </w:p>
    <w:p w:rsidR="00421DD2" w:rsidRPr="00421DD2" w:rsidRDefault="00421DD2" w:rsidP="000806C3"/>
    <w:p w:rsidR="00FD6BED" w:rsidRDefault="006442CC" w:rsidP="00523F69">
      <w:pPr>
        <w:pStyle w:val="Heading2"/>
        <w:spacing w:before="0"/>
      </w:pPr>
      <w:bookmarkStart w:id="43" w:name="_Toc74296650"/>
      <w:r w:rsidRPr="006A529A">
        <w:t>3.</w:t>
      </w:r>
      <w:r w:rsidR="001E0902" w:rsidRPr="006A529A">
        <w:t>6</w:t>
      </w:r>
      <w:r w:rsidRPr="006A529A">
        <w:t xml:space="preserve"> </w:t>
      </w:r>
      <w:bookmarkEnd w:id="41"/>
      <w:bookmarkEnd w:id="42"/>
      <w:r w:rsidR="00523F69" w:rsidRPr="00523F69">
        <w:t>Понуда образовања и оспособљавања одраслих у општини</w:t>
      </w:r>
      <w:bookmarkEnd w:id="43"/>
    </w:p>
    <w:p w:rsidR="00523F69" w:rsidRPr="00523F69" w:rsidRDefault="00523F69" w:rsidP="00523F69"/>
    <w:p w:rsidR="00007364" w:rsidRDefault="00523F69" w:rsidP="000806C3">
      <w:pPr>
        <w:rPr>
          <w:sz w:val="22"/>
          <w:szCs w:val="22"/>
        </w:rPr>
      </w:pPr>
      <w:r w:rsidRPr="00523F69">
        <w:rPr>
          <w:sz w:val="22"/>
          <w:szCs w:val="22"/>
        </w:rPr>
        <w:t>Учење и образовање одраслих представљају значајну компоненту процеса цјеложивотног учења које обједињује различите облике и програме формалног образовања, неформалног, информалног и самоусмјереног учења (Стратегија образовања одраслих Црне Горе 2015-2025).</w:t>
      </w:r>
    </w:p>
    <w:p w:rsidR="00523F69" w:rsidRPr="00523F69" w:rsidRDefault="00523F69" w:rsidP="000806C3">
      <w:pPr>
        <w:rPr>
          <w:sz w:val="22"/>
          <w:szCs w:val="22"/>
        </w:rPr>
      </w:pPr>
    </w:p>
    <w:p w:rsidR="00523F69" w:rsidRPr="00523F69" w:rsidRDefault="00523F69" w:rsidP="00523F69">
      <w:pPr>
        <w:jc w:val="both"/>
        <w:rPr>
          <w:rFonts w:cs="Arial"/>
          <w:color w:val="000000" w:themeColor="text1"/>
          <w:sz w:val="22"/>
          <w:szCs w:val="22"/>
        </w:rPr>
      </w:pPr>
      <w:r w:rsidRPr="00523F69">
        <w:rPr>
          <w:sz w:val="22"/>
          <w:szCs w:val="22"/>
        </w:rPr>
        <w:t>Стратегија образовања одраслих дефинише сљедеће приоритетне циљеве:</w:t>
      </w:r>
    </w:p>
    <w:p w:rsidR="00523F69" w:rsidRPr="00523F69" w:rsidRDefault="00523F69" w:rsidP="000806C3">
      <w:pPr>
        <w:numPr>
          <w:ilvl w:val="0"/>
          <w:numId w:val="3"/>
        </w:numPr>
        <w:jc w:val="both"/>
        <w:rPr>
          <w:rFonts w:cs="Arial"/>
          <w:color w:val="000000" w:themeColor="text1"/>
          <w:sz w:val="22"/>
          <w:szCs w:val="22"/>
        </w:rPr>
      </w:pPr>
      <w:r w:rsidRPr="00523F69">
        <w:rPr>
          <w:rFonts w:cs="Arial"/>
          <w:color w:val="000000" w:themeColor="text1"/>
          <w:sz w:val="22"/>
          <w:szCs w:val="22"/>
        </w:rPr>
        <w:t>Повећати социјалну укљученост одраслих грађана кроз активности цјеложивотног учења и образовања;</w:t>
      </w:r>
    </w:p>
    <w:p w:rsidR="00523F69" w:rsidRPr="00523F69" w:rsidRDefault="00523F69" w:rsidP="000806C3">
      <w:pPr>
        <w:numPr>
          <w:ilvl w:val="0"/>
          <w:numId w:val="3"/>
        </w:numPr>
        <w:jc w:val="both"/>
        <w:rPr>
          <w:rFonts w:cs="Arial"/>
          <w:color w:val="000000" w:themeColor="text1"/>
          <w:sz w:val="22"/>
          <w:szCs w:val="22"/>
        </w:rPr>
      </w:pPr>
      <w:r w:rsidRPr="00523F69">
        <w:rPr>
          <w:rFonts w:cs="Arial"/>
          <w:color w:val="000000" w:themeColor="text1"/>
          <w:sz w:val="22"/>
          <w:szCs w:val="22"/>
        </w:rPr>
        <w:t>Унапређивати  знања, вјештине и компетенције одраслих за запошљивост,  мобилност на тржишту рада и конкурентност;</w:t>
      </w:r>
    </w:p>
    <w:p w:rsidR="00523F69" w:rsidRPr="00523F69" w:rsidRDefault="00523F69" w:rsidP="000806C3">
      <w:pPr>
        <w:numPr>
          <w:ilvl w:val="0"/>
          <w:numId w:val="3"/>
        </w:numPr>
        <w:jc w:val="both"/>
        <w:rPr>
          <w:rFonts w:cs="Arial"/>
          <w:color w:val="000000" w:themeColor="text1"/>
          <w:sz w:val="22"/>
          <w:szCs w:val="22"/>
        </w:rPr>
      </w:pPr>
      <w:r w:rsidRPr="00523F69">
        <w:rPr>
          <w:rFonts w:cs="Arial"/>
          <w:color w:val="000000" w:themeColor="text1"/>
          <w:sz w:val="22"/>
          <w:szCs w:val="22"/>
        </w:rPr>
        <w:t>Повећати компетенције запослених у циљу постизања бржег привредног раста;</w:t>
      </w:r>
    </w:p>
    <w:p w:rsidR="00EA797F" w:rsidRPr="00EA797F" w:rsidRDefault="00EA797F" w:rsidP="000806C3">
      <w:pPr>
        <w:pStyle w:val="ListParagraph"/>
        <w:numPr>
          <w:ilvl w:val="0"/>
          <w:numId w:val="3"/>
        </w:numPr>
        <w:jc w:val="both"/>
        <w:rPr>
          <w:rFonts w:cs="Arial"/>
          <w:color w:val="000000" w:themeColor="text1"/>
          <w:sz w:val="22"/>
          <w:szCs w:val="22"/>
        </w:rPr>
      </w:pPr>
      <w:r w:rsidRPr="00EA797F">
        <w:rPr>
          <w:rFonts w:cs="Arial"/>
          <w:color w:val="000000" w:themeColor="text1"/>
          <w:sz w:val="22"/>
          <w:szCs w:val="22"/>
        </w:rPr>
        <w:t>Успоставити</w:t>
      </w:r>
      <w:r w:rsidR="00523F69" w:rsidRPr="00523F69">
        <w:rPr>
          <w:rFonts w:cs="Arial"/>
          <w:color w:val="000000" w:themeColor="text1"/>
          <w:sz w:val="22"/>
          <w:szCs w:val="22"/>
        </w:rPr>
        <w:t xml:space="preserve"> систем осигурања квалитета у образовању одраслих;</w:t>
      </w:r>
    </w:p>
    <w:p w:rsidR="00007364" w:rsidRPr="00EA797F" w:rsidRDefault="00EA797F" w:rsidP="000806C3">
      <w:pPr>
        <w:pStyle w:val="ListParagraph"/>
        <w:numPr>
          <w:ilvl w:val="0"/>
          <w:numId w:val="3"/>
        </w:numPr>
        <w:jc w:val="both"/>
        <w:rPr>
          <w:rFonts w:cs="Arial"/>
          <w:color w:val="000000" w:themeColor="text1"/>
          <w:sz w:val="22"/>
          <w:szCs w:val="22"/>
        </w:rPr>
      </w:pPr>
      <w:r w:rsidRPr="00EA797F">
        <w:rPr>
          <w:rFonts w:cs="Arial"/>
          <w:color w:val="000000" w:themeColor="text1"/>
          <w:sz w:val="22"/>
          <w:szCs w:val="22"/>
        </w:rPr>
        <w:t>Обезбиједити флексибилан и одржив систем образовања одраслих.</w:t>
      </w:r>
    </w:p>
    <w:p w:rsidR="00EA797F" w:rsidRPr="00EA797F" w:rsidRDefault="00EA797F" w:rsidP="00EA797F">
      <w:pPr>
        <w:pStyle w:val="ListParagraph"/>
        <w:jc w:val="both"/>
        <w:rPr>
          <w:rFonts w:cs="Arial"/>
          <w:color w:val="000000" w:themeColor="text1"/>
          <w:sz w:val="22"/>
          <w:szCs w:val="22"/>
        </w:rPr>
      </w:pPr>
    </w:p>
    <w:p w:rsidR="00FD6BED" w:rsidRDefault="00EA797F" w:rsidP="000806C3">
      <w:pPr>
        <w:jc w:val="both"/>
        <w:rPr>
          <w:rFonts w:cs="Arial"/>
          <w:sz w:val="22"/>
          <w:szCs w:val="22"/>
        </w:rPr>
      </w:pPr>
      <w:r w:rsidRPr="00EA797F">
        <w:rPr>
          <w:rFonts w:cs="Arial"/>
          <w:sz w:val="22"/>
          <w:szCs w:val="22"/>
        </w:rPr>
        <w:t>У посљедњим годинама у Црној Гори је видљив напредак у овој области како у погледу усвајања нових програма образовања за стицање стручне квалификације тако и за стицање и унапређење кључних компетенција. Такође, значајно се повећао број лиценцираних организатора образовања у Црној Гори.</w:t>
      </w:r>
    </w:p>
    <w:p w:rsidR="00EA797F" w:rsidRPr="00EA797F" w:rsidRDefault="00EA797F" w:rsidP="000806C3">
      <w:pPr>
        <w:jc w:val="both"/>
        <w:rPr>
          <w:rFonts w:cs="Arial"/>
          <w:b/>
          <w:color w:val="000000" w:themeColor="text1"/>
          <w:szCs w:val="20"/>
          <w:highlight w:val="yellow"/>
        </w:rPr>
      </w:pPr>
    </w:p>
    <w:p w:rsidR="002766B5" w:rsidRPr="007E3FFE" w:rsidRDefault="00EA797F" w:rsidP="000806C3">
      <w:pPr>
        <w:jc w:val="both"/>
        <w:rPr>
          <w:sz w:val="22"/>
          <w:szCs w:val="22"/>
        </w:rPr>
      </w:pPr>
      <w:r w:rsidRPr="00EA797F">
        <w:rPr>
          <w:sz w:val="22"/>
          <w:szCs w:val="22"/>
        </w:rPr>
        <w:t xml:space="preserve">ЛИЦЕНЦИРАНИ ОРГАНИЗАТОРИ ОБРАЗОВАЊА ОДРАСЛИХ У ОПШТИНИ </w:t>
      </w:r>
      <w:r>
        <w:rPr>
          <w:sz w:val="22"/>
          <w:szCs w:val="22"/>
        </w:rPr>
        <w:t>БЕРАНЕ</w:t>
      </w:r>
      <w:r w:rsidR="00925E36" w:rsidRPr="007E3FFE">
        <w:rPr>
          <w:rStyle w:val="FootnoteReference"/>
          <w:sz w:val="22"/>
          <w:szCs w:val="22"/>
        </w:rPr>
        <w:footnoteReference w:id="24"/>
      </w:r>
      <w:r w:rsidR="002766B5" w:rsidRPr="007E3FFE">
        <w:rPr>
          <w:sz w:val="22"/>
          <w:szCs w:val="22"/>
        </w:rPr>
        <w:t xml:space="preserve"> </w:t>
      </w:r>
    </w:p>
    <w:p w:rsidR="002766B5" w:rsidRPr="006A529A" w:rsidRDefault="002766B5" w:rsidP="000806C3">
      <w:pPr>
        <w:jc w:val="both"/>
      </w:pPr>
    </w:p>
    <w:p w:rsidR="00B740A1" w:rsidRDefault="00EA797F" w:rsidP="000806C3">
      <w:pPr>
        <w:jc w:val="both"/>
        <w:rPr>
          <w:bCs/>
          <w:sz w:val="22"/>
          <w:szCs w:val="22"/>
        </w:rPr>
      </w:pPr>
      <w:r w:rsidRPr="00EA797F">
        <w:rPr>
          <w:bCs/>
          <w:sz w:val="22"/>
          <w:szCs w:val="22"/>
        </w:rPr>
        <w:t>У општини је активно осам лиценцираних организатора образовања одраслих, са разноврсном понудом програма за стицање стручне квалификације и унапређење кључних компетенција (Прилог 1).</w:t>
      </w:r>
    </w:p>
    <w:p w:rsidR="00EA797F" w:rsidRPr="00EA797F" w:rsidRDefault="00EA797F" w:rsidP="000806C3">
      <w:pPr>
        <w:jc w:val="both"/>
        <w:rPr>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D9D9D9" w:themeFill="background1" w:themeFillShade="D9"/>
        <w:tblLook w:val="04A0"/>
      </w:tblPr>
      <w:tblGrid>
        <w:gridCol w:w="8878"/>
      </w:tblGrid>
      <w:tr w:rsidR="00B740A1" w:rsidRPr="006A529A" w:rsidTr="001F4414">
        <w:trPr>
          <w:trHeight w:val="1887"/>
        </w:trPr>
        <w:tc>
          <w:tcPr>
            <w:tcW w:w="8878" w:type="dxa"/>
            <w:shd w:val="clear" w:color="auto" w:fill="D9D9D9" w:themeFill="background1" w:themeFillShade="D9"/>
          </w:tcPr>
          <w:p w:rsidR="00B740A1" w:rsidRPr="006A529A" w:rsidRDefault="001C5B1C" w:rsidP="000806C3">
            <w:pPr>
              <w:pStyle w:val="ListParagraph"/>
              <w:numPr>
                <w:ilvl w:val="0"/>
                <w:numId w:val="7"/>
              </w:numPr>
              <w:rPr>
                <w:rFonts w:eastAsia="Times New Roman"/>
                <w:szCs w:val="20"/>
              </w:rPr>
            </w:pPr>
            <w:r>
              <w:rPr>
                <w:rFonts w:eastAsiaTheme="minorEastAsia" w:cstheme="minorBidi"/>
                <w:color w:val="000000" w:themeColor="text1"/>
                <w:kern w:val="24"/>
                <w:szCs w:val="20"/>
              </w:rPr>
              <w:t>Ауто школа „Викторија“ (5 програма</w:t>
            </w:r>
            <w:r w:rsidR="00B740A1" w:rsidRPr="006A529A">
              <w:rPr>
                <w:rFonts w:eastAsiaTheme="minorEastAsia" w:cstheme="minorBidi"/>
                <w:color w:val="000000" w:themeColor="text1"/>
                <w:kern w:val="24"/>
                <w:szCs w:val="20"/>
              </w:rPr>
              <w:t>)</w:t>
            </w:r>
          </w:p>
          <w:p w:rsidR="00B740A1" w:rsidRPr="006A529A" w:rsidRDefault="001C5B1C" w:rsidP="000806C3">
            <w:pPr>
              <w:pStyle w:val="ListParagraph"/>
              <w:numPr>
                <w:ilvl w:val="0"/>
                <w:numId w:val="7"/>
              </w:numPr>
              <w:rPr>
                <w:rFonts w:eastAsia="Times New Roman"/>
                <w:szCs w:val="20"/>
              </w:rPr>
            </w:pPr>
            <w:r>
              <w:rPr>
                <w:rFonts w:eastAsiaTheme="minorEastAsia" w:cstheme="minorBidi"/>
                <w:color w:val="000000" w:themeColor="text1"/>
                <w:kern w:val="24"/>
                <w:szCs w:val="20"/>
              </w:rPr>
              <w:t>Едукативни центар „Елоксир плус</w:t>
            </w:r>
            <w:r w:rsidR="00B740A1" w:rsidRPr="006A529A">
              <w:rPr>
                <w:rFonts w:eastAsiaTheme="minorEastAsia" w:cstheme="minorBidi"/>
                <w:color w:val="000000" w:themeColor="text1"/>
                <w:kern w:val="24"/>
                <w:szCs w:val="20"/>
              </w:rPr>
              <w:t xml:space="preserve">“ (2 </w:t>
            </w:r>
            <w:r>
              <w:rPr>
                <w:rFonts w:eastAsiaTheme="minorEastAsia" w:cstheme="minorBidi"/>
                <w:color w:val="000000" w:themeColor="text1"/>
                <w:kern w:val="24"/>
                <w:szCs w:val="20"/>
              </w:rPr>
              <w:t>програма</w:t>
            </w:r>
            <w:r w:rsidR="00B740A1" w:rsidRPr="006A529A">
              <w:rPr>
                <w:rFonts w:eastAsiaTheme="minorEastAsia" w:cstheme="minorBidi"/>
                <w:color w:val="000000" w:themeColor="text1"/>
                <w:kern w:val="24"/>
                <w:szCs w:val="20"/>
              </w:rPr>
              <w:t>)</w:t>
            </w:r>
          </w:p>
          <w:p w:rsidR="00B740A1" w:rsidRPr="006A529A" w:rsidRDefault="001C5B1C" w:rsidP="000806C3">
            <w:pPr>
              <w:pStyle w:val="ListParagraph"/>
              <w:numPr>
                <w:ilvl w:val="0"/>
                <w:numId w:val="7"/>
              </w:numPr>
              <w:rPr>
                <w:rFonts w:eastAsia="Times New Roman"/>
                <w:szCs w:val="20"/>
              </w:rPr>
            </w:pPr>
            <w:r>
              <w:rPr>
                <w:rFonts w:eastAsiaTheme="minorEastAsia" w:cstheme="minorBidi"/>
                <w:color w:val="000000" w:themeColor="text1"/>
                <w:kern w:val="24"/>
                <w:szCs w:val="20"/>
              </w:rPr>
              <w:t>ЈУ Средња стручна школа "Вукадин Вукадиновић“ (14 програма</w:t>
            </w:r>
            <w:r w:rsidR="00B740A1" w:rsidRPr="006A529A">
              <w:rPr>
                <w:rFonts w:eastAsiaTheme="minorEastAsia" w:cstheme="minorBidi"/>
                <w:color w:val="000000" w:themeColor="text1"/>
                <w:kern w:val="24"/>
                <w:szCs w:val="20"/>
              </w:rPr>
              <w:t>)</w:t>
            </w:r>
          </w:p>
          <w:p w:rsidR="00B740A1" w:rsidRPr="006A529A" w:rsidRDefault="001C5B1C" w:rsidP="000806C3">
            <w:pPr>
              <w:pStyle w:val="ListParagraph"/>
              <w:numPr>
                <w:ilvl w:val="0"/>
                <w:numId w:val="7"/>
              </w:numPr>
              <w:rPr>
                <w:rFonts w:eastAsia="Times New Roman"/>
                <w:szCs w:val="20"/>
              </w:rPr>
            </w:pPr>
            <w:r>
              <w:rPr>
                <w:rFonts w:eastAsiaTheme="minorEastAsia" w:cstheme="minorBidi"/>
                <w:color w:val="000000" w:themeColor="text1"/>
                <w:kern w:val="24"/>
                <w:szCs w:val="20"/>
              </w:rPr>
              <w:t>Приватна установа  „Монте Mедигал“ (12 програма</w:t>
            </w:r>
            <w:r w:rsidR="00B740A1" w:rsidRPr="006A529A">
              <w:rPr>
                <w:rFonts w:eastAsiaTheme="minorEastAsia" w:cstheme="minorBidi"/>
                <w:color w:val="000000" w:themeColor="text1"/>
                <w:kern w:val="24"/>
                <w:szCs w:val="20"/>
              </w:rPr>
              <w:t>)</w:t>
            </w:r>
          </w:p>
          <w:p w:rsidR="00B740A1" w:rsidRPr="006A529A" w:rsidRDefault="0083638C" w:rsidP="000806C3">
            <w:pPr>
              <w:pStyle w:val="ListParagraph"/>
              <w:numPr>
                <w:ilvl w:val="0"/>
                <w:numId w:val="7"/>
              </w:numPr>
              <w:rPr>
                <w:rFonts w:eastAsia="Times New Roman"/>
                <w:szCs w:val="20"/>
              </w:rPr>
            </w:pPr>
            <w:r w:rsidRPr="0083638C">
              <w:rPr>
                <w:rFonts w:eastAsiaTheme="minorEastAsia" w:cstheme="minorBidi"/>
                <w:color w:val="000000" w:themeColor="text1"/>
                <w:kern w:val="24"/>
                <w:szCs w:val="20"/>
              </w:rPr>
              <w:t xml:space="preserve">Приватна установа Едукативни центар Полиеx </w:t>
            </w:r>
            <w:r>
              <w:rPr>
                <w:rFonts w:eastAsiaTheme="minorEastAsia" w:cstheme="minorBidi"/>
                <w:color w:val="000000" w:themeColor="text1"/>
                <w:kern w:val="24"/>
                <w:szCs w:val="20"/>
              </w:rPr>
              <w:t>(1 програм</w:t>
            </w:r>
            <w:r w:rsidR="00B740A1" w:rsidRPr="006A529A">
              <w:rPr>
                <w:rFonts w:eastAsiaTheme="minorEastAsia" w:cstheme="minorBidi"/>
                <w:color w:val="000000" w:themeColor="text1"/>
                <w:kern w:val="24"/>
                <w:szCs w:val="20"/>
              </w:rPr>
              <w:t>)</w:t>
            </w:r>
          </w:p>
          <w:p w:rsidR="00B740A1" w:rsidRPr="006A529A" w:rsidRDefault="0083638C" w:rsidP="000806C3">
            <w:pPr>
              <w:pStyle w:val="ListParagraph"/>
              <w:numPr>
                <w:ilvl w:val="0"/>
                <w:numId w:val="7"/>
              </w:numPr>
              <w:rPr>
                <w:rFonts w:eastAsia="Times New Roman"/>
                <w:szCs w:val="20"/>
              </w:rPr>
            </w:pPr>
            <w:r w:rsidRPr="0083638C">
              <w:rPr>
                <w:rFonts w:eastAsiaTheme="minorEastAsia" w:cstheme="minorBidi"/>
                <w:color w:val="000000" w:themeColor="text1"/>
                <w:kern w:val="24"/>
                <w:szCs w:val="20"/>
              </w:rPr>
              <w:t xml:space="preserve">Средња медицинска школа „Др Бранко Зоговић” </w:t>
            </w:r>
            <w:r>
              <w:rPr>
                <w:rFonts w:eastAsiaTheme="minorEastAsia" w:cstheme="minorBidi"/>
                <w:color w:val="000000" w:themeColor="text1"/>
                <w:kern w:val="24"/>
                <w:szCs w:val="20"/>
              </w:rPr>
              <w:t>(1 програм</w:t>
            </w:r>
            <w:r w:rsidR="00B740A1" w:rsidRPr="006A529A">
              <w:rPr>
                <w:rFonts w:eastAsiaTheme="minorEastAsia" w:cstheme="minorBidi"/>
                <w:color w:val="000000" w:themeColor="text1"/>
                <w:kern w:val="24"/>
                <w:szCs w:val="20"/>
              </w:rPr>
              <w:t>)</w:t>
            </w:r>
          </w:p>
          <w:p w:rsidR="00B740A1" w:rsidRPr="006A529A" w:rsidRDefault="0083638C" w:rsidP="000806C3">
            <w:pPr>
              <w:pStyle w:val="ListParagraph"/>
              <w:numPr>
                <w:ilvl w:val="0"/>
                <w:numId w:val="7"/>
              </w:numPr>
              <w:rPr>
                <w:rFonts w:eastAsia="Times New Roman"/>
                <w:szCs w:val="20"/>
              </w:rPr>
            </w:pPr>
            <w:r w:rsidRPr="0083638C">
              <w:rPr>
                <w:rFonts w:eastAsiaTheme="minorEastAsia" w:cstheme="minorBidi"/>
                <w:color w:val="000000" w:themeColor="text1"/>
                <w:kern w:val="24"/>
                <w:szCs w:val="20"/>
              </w:rPr>
              <w:t xml:space="preserve">Средња стручна школа </w:t>
            </w:r>
            <w:r w:rsidR="00B740A1" w:rsidRPr="006A529A">
              <w:rPr>
                <w:rFonts w:eastAsiaTheme="minorEastAsia" w:cstheme="minorBidi"/>
                <w:color w:val="000000" w:themeColor="text1"/>
                <w:kern w:val="24"/>
                <w:szCs w:val="20"/>
              </w:rPr>
              <w:t>(12</w:t>
            </w:r>
            <w:r>
              <w:rPr>
                <w:rFonts w:eastAsiaTheme="minorEastAsia" w:cstheme="minorBidi"/>
                <w:color w:val="000000" w:themeColor="text1"/>
                <w:kern w:val="24"/>
                <w:szCs w:val="20"/>
              </w:rPr>
              <w:t xml:space="preserve"> програма</w:t>
            </w:r>
            <w:r w:rsidR="00B740A1" w:rsidRPr="006A529A">
              <w:rPr>
                <w:rFonts w:eastAsiaTheme="minorEastAsia" w:cstheme="minorBidi"/>
                <w:color w:val="000000" w:themeColor="text1"/>
                <w:kern w:val="24"/>
                <w:szCs w:val="20"/>
              </w:rPr>
              <w:t>)</w:t>
            </w:r>
          </w:p>
          <w:p w:rsidR="00B740A1" w:rsidRPr="006A529A" w:rsidRDefault="0083638C" w:rsidP="000806C3">
            <w:pPr>
              <w:pStyle w:val="ListParagraph"/>
              <w:numPr>
                <w:ilvl w:val="0"/>
                <w:numId w:val="7"/>
              </w:numPr>
              <w:rPr>
                <w:rFonts w:eastAsia="Times New Roman"/>
                <w:szCs w:val="20"/>
              </w:rPr>
            </w:pPr>
            <w:r w:rsidRPr="0083638C">
              <w:rPr>
                <w:rFonts w:eastAsiaTheme="minorEastAsia" w:cstheme="minorBidi"/>
                <w:color w:val="000000" w:themeColor="text1"/>
                <w:kern w:val="24"/>
                <w:szCs w:val="20"/>
              </w:rPr>
              <w:t xml:space="preserve">Основна школа „Вук Караџић“ </w:t>
            </w:r>
            <w:r w:rsidR="00B740A1" w:rsidRPr="006A529A">
              <w:rPr>
                <w:rFonts w:eastAsiaTheme="minorEastAsia" w:cstheme="minorBidi"/>
                <w:color w:val="000000" w:themeColor="text1"/>
                <w:kern w:val="24"/>
                <w:szCs w:val="20"/>
              </w:rPr>
              <w:t>(</w:t>
            </w:r>
            <w:r w:rsidR="00C43791">
              <w:rPr>
                <w:rFonts w:eastAsiaTheme="minorEastAsia" w:cstheme="minorBidi"/>
                <w:color w:val="000000" w:themeColor="text1"/>
                <w:kern w:val="24"/>
                <w:szCs w:val="20"/>
              </w:rPr>
              <w:t>4</w:t>
            </w:r>
            <w:r>
              <w:rPr>
                <w:rFonts w:eastAsiaTheme="minorEastAsia" w:cstheme="minorBidi"/>
                <w:color w:val="000000" w:themeColor="text1"/>
                <w:kern w:val="24"/>
                <w:szCs w:val="20"/>
              </w:rPr>
              <w:t xml:space="preserve"> програм</w:t>
            </w:r>
            <w:r w:rsidR="00B740A1" w:rsidRPr="006A529A">
              <w:rPr>
                <w:rFonts w:eastAsiaTheme="minorEastAsia" w:cstheme="minorBidi"/>
                <w:color w:val="000000" w:themeColor="text1"/>
                <w:kern w:val="24"/>
                <w:szCs w:val="20"/>
              </w:rPr>
              <w:t>)</w:t>
            </w:r>
          </w:p>
        </w:tc>
      </w:tr>
    </w:tbl>
    <w:p w:rsidR="00B740A1" w:rsidRPr="006A529A" w:rsidRDefault="00B740A1" w:rsidP="000806C3">
      <w:pPr>
        <w:jc w:val="both"/>
        <w:rPr>
          <w:szCs w:val="20"/>
        </w:rPr>
      </w:pPr>
    </w:p>
    <w:p w:rsidR="00DA06C9" w:rsidRDefault="00BC319B" w:rsidP="00EA797F">
      <w:pPr>
        <w:pStyle w:val="Heading2"/>
        <w:spacing w:before="0"/>
        <w:rPr>
          <w:rFonts w:cs="Arial"/>
        </w:rPr>
      </w:pPr>
      <w:bookmarkStart w:id="44" w:name="_Toc44873768"/>
      <w:bookmarkStart w:id="45" w:name="_Toc52644734"/>
      <w:bookmarkStart w:id="46" w:name="_Toc74296651"/>
      <w:r w:rsidRPr="006A529A">
        <w:rPr>
          <w:rFonts w:cs="Arial"/>
        </w:rPr>
        <w:t xml:space="preserve">3.7 </w:t>
      </w:r>
      <w:bookmarkEnd w:id="44"/>
      <w:bookmarkEnd w:id="45"/>
      <w:r w:rsidR="00EA797F" w:rsidRPr="00EA797F">
        <w:rPr>
          <w:rFonts w:cs="Arial"/>
        </w:rPr>
        <w:t>Социјална инклузија и социјална искљученост</w:t>
      </w:r>
      <w:bookmarkEnd w:id="46"/>
    </w:p>
    <w:p w:rsidR="00EA797F" w:rsidRPr="00EA797F" w:rsidRDefault="00EA797F" w:rsidP="00EA797F">
      <w:pPr>
        <w:rPr>
          <w:highlight w:val="yellow"/>
        </w:rPr>
      </w:pPr>
    </w:p>
    <w:p w:rsidR="00007364" w:rsidRDefault="00EA797F" w:rsidP="000806C3">
      <w:pPr>
        <w:jc w:val="both"/>
        <w:rPr>
          <w:rFonts w:cs="Arial"/>
          <w:sz w:val="22"/>
          <w:szCs w:val="22"/>
        </w:rPr>
      </w:pPr>
      <w:r w:rsidRPr="00EA797F">
        <w:rPr>
          <w:rFonts w:cs="Arial"/>
          <w:sz w:val="22"/>
          <w:szCs w:val="22"/>
        </w:rPr>
        <w:t>Појам социјалне инклузије или социјалне искључености разматра се кроз процес интеракције између појединца и његовог/њезиног друштвеног, правног и економског окружења током којег се идентификују конкретне препреке за учешће и укључивање, као што су институционалне препреке (дискриминација, недостатак инфраструктуре, непостојање/ограниченост услуга), препреке на нивоу заједнице (маргинализација) и личне препреке (недостатак образовања, обуке и вјештина).</w:t>
      </w:r>
    </w:p>
    <w:p w:rsidR="00EA797F" w:rsidRPr="00EA797F" w:rsidRDefault="00EA797F" w:rsidP="000806C3">
      <w:pPr>
        <w:jc w:val="both"/>
        <w:rPr>
          <w:rFonts w:cs="Arial"/>
          <w:sz w:val="22"/>
          <w:szCs w:val="22"/>
        </w:rPr>
      </w:pPr>
    </w:p>
    <w:p w:rsidR="007F7EA0" w:rsidRPr="006A529A" w:rsidRDefault="00EA797F" w:rsidP="000806C3">
      <w:pPr>
        <w:jc w:val="both"/>
        <w:rPr>
          <w:sz w:val="22"/>
          <w:szCs w:val="22"/>
        </w:rPr>
      </w:pPr>
      <w:r w:rsidRPr="00EA797F">
        <w:rPr>
          <w:sz w:val="22"/>
          <w:szCs w:val="22"/>
        </w:rPr>
        <w:t xml:space="preserve">Социјална искљученост често је повезана са сиромаштвом. Сиромаштво је такође вишедимензионалан феномен који се најчешће везује за недостатак финансијских средстава ("монетарно сиромаштво") како би се задовољио одређени ниво основних </w:t>
      </w:r>
      <w:r w:rsidRPr="00EA797F">
        <w:rPr>
          <w:sz w:val="22"/>
          <w:szCs w:val="22"/>
        </w:rPr>
        <w:lastRenderedPageBreak/>
        <w:t xml:space="preserve">животних потреба </w:t>
      </w:r>
      <w:r>
        <w:rPr>
          <w:sz w:val="22"/>
          <w:szCs w:val="22"/>
        </w:rPr>
        <w:t>("линија сиромаштва</w:t>
      </w:r>
      <w:r w:rsidR="007F7EA0" w:rsidRPr="006A529A">
        <w:rPr>
          <w:sz w:val="22"/>
          <w:szCs w:val="22"/>
        </w:rPr>
        <w:t>").</w:t>
      </w:r>
      <w:r w:rsidR="007F7EA0" w:rsidRPr="006A529A">
        <w:rPr>
          <w:rStyle w:val="FootnoteReference"/>
          <w:sz w:val="22"/>
          <w:szCs w:val="22"/>
        </w:rPr>
        <w:footnoteReference w:id="25"/>
      </w:r>
      <w:r w:rsidR="007F7EA0" w:rsidRPr="006A529A">
        <w:rPr>
          <w:sz w:val="22"/>
          <w:szCs w:val="22"/>
        </w:rPr>
        <w:t xml:space="preserve"> </w:t>
      </w:r>
      <w:r w:rsidRPr="00EA797F">
        <w:rPr>
          <w:sz w:val="22"/>
          <w:szCs w:val="22"/>
        </w:rPr>
        <w:t>Према МОНСТАТ-овој Анкети о дохотку и условима живота за 2019, чак 45,5% незапослених лица и</w:t>
      </w:r>
      <w:r>
        <w:rPr>
          <w:sz w:val="22"/>
          <w:szCs w:val="22"/>
        </w:rPr>
        <w:t>зложено је ризику од сиромаштва</w:t>
      </w:r>
      <w:r w:rsidR="007F7EA0" w:rsidRPr="006A529A">
        <w:rPr>
          <w:sz w:val="22"/>
          <w:szCs w:val="22"/>
        </w:rPr>
        <w:t>.</w:t>
      </w:r>
    </w:p>
    <w:p w:rsidR="007F7EA0" w:rsidRPr="006A529A" w:rsidRDefault="007F7EA0" w:rsidP="000806C3">
      <w:pPr>
        <w:jc w:val="both"/>
        <w:rPr>
          <w:bCs/>
          <w:i/>
          <w:iCs/>
          <w:sz w:val="22"/>
          <w:szCs w:val="22"/>
        </w:rPr>
      </w:pPr>
    </w:p>
    <w:p w:rsidR="00E83740" w:rsidRDefault="00EA797F" w:rsidP="00EA797F">
      <w:pPr>
        <w:jc w:val="both"/>
        <w:rPr>
          <w:bCs/>
          <w:i/>
          <w:iCs/>
          <w:sz w:val="22"/>
          <w:szCs w:val="22"/>
        </w:rPr>
      </w:pPr>
      <w:r w:rsidRPr="00EA797F">
        <w:rPr>
          <w:bCs/>
          <w:i/>
          <w:iCs/>
          <w:sz w:val="22"/>
          <w:szCs w:val="22"/>
        </w:rPr>
        <w:t>Корисници социјалне заштите</w:t>
      </w:r>
    </w:p>
    <w:p w:rsidR="00EA797F" w:rsidRPr="00EA797F" w:rsidRDefault="00EA797F" w:rsidP="00EA797F">
      <w:pPr>
        <w:jc w:val="both"/>
        <w:rPr>
          <w:bCs/>
          <w:i/>
          <w:iCs/>
          <w:sz w:val="22"/>
          <w:szCs w:val="22"/>
          <w:highlight w:val="yellow"/>
        </w:rPr>
      </w:pPr>
    </w:p>
    <w:p w:rsidR="005A5F53" w:rsidRPr="00865C8B" w:rsidRDefault="00865C8B" w:rsidP="000806C3">
      <w:pPr>
        <w:rPr>
          <w:bCs/>
          <w:szCs w:val="20"/>
        </w:rPr>
      </w:pPr>
      <w:r>
        <w:rPr>
          <w:bCs/>
          <w:szCs w:val="20"/>
        </w:rPr>
        <w:t>Табела</w:t>
      </w:r>
      <w:r w:rsidR="00E62642" w:rsidRPr="006A529A">
        <w:rPr>
          <w:bCs/>
          <w:szCs w:val="20"/>
        </w:rPr>
        <w:t xml:space="preserve"> </w:t>
      </w:r>
      <w:r w:rsidR="00135060">
        <w:rPr>
          <w:bCs/>
          <w:szCs w:val="20"/>
        </w:rPr>
        <w:t>19</w:t>
      </w:r>
      <w:r w:rsidR="00E62642" w:rsidRPr="006A529A">
        <w:rPr>
          <w:bCs/>
          <w:szCs w:val="20"/>
        </w:rPr>
        <w:t xml:space="preserve">: </w:t>
      </w:r>
      <w:r>
        <w:rPr>
          <w:bCs/>
          <w:szCs w:val="20"/>
        </w:rPr>
        <w:t>Корисници</w:t>
      </w:r>
      <w:r w:rsidR="005A5F53" w:rsidRPr="006A529A">
        <w:rPr>
          <w:bCs/>
          <w:szCs w:val="20"/>
        </w:rPr>
        <w:t xml:space="preserve"> </w:t>
      </w:r>
      <w:r>
        <w:rPr>
          <w:bCs/>
          <w:szCs w:val="20"/>
        </w:rPr>
        <w:softHyphen/>
        <w:t>MOП</w:t>
      </w:r>
    </w:p>
    <w:p w:rsidR="00E83740" w:rsidRPr="006A529A" w:rsidRDefault="00E83740" w:rsidP="000806C3">
      <w:pPr>
        <w:rPr>
          <w:bCs/>
          <w:szCs w:val="20"/>
        </w:rPr>
      </w:pPr>
    </w:p>
    <w:p w:rsidR="00E83740" w:rsidRPr="006A529A" w:rsidRDefault="001F4414" w:rsidP="000806C3">
      <w:pPr>
        <w:rPr>
          <w:bCs/>
          <w:szCs w:val="20"/>
        </w:rPr>
      </w:pPr>
      <w:r w:rsidRPr="001F4414">
        <w:rPr>
          <w:noProof/>
          <w:lang w:val="en-US"/>
        </w:rPr>
        <w:drawing>
          <wp:inline distT="0" distB="0" distL="0" distR="0">
            <wp:extent cx="5632355" cy="1454727"/>
            <wp:effectExtent l="0" t="0" r="6985" b="0"/>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3180" cy="1465271"/>
                    </a:xfrm>
                    <a:prstGeom prst="rect">
                      <a:avLst/>
                    </a:prstGeom>
                    <a:noFill/>
                    <a:ln>
                      <a:noFill/>
                    </a:ln>
                  </pic:spPr>
                </pic:pic>
              </a:graphicData>
            </a:graphic>
          </wp:inline>
        </w:drawing>
      </w:r>
    </w:p>
    <w:p w:rsidR="001F4414" w:rsidRDefault="00865C8B" w:rsidP="000806C3">
      <w:pPr>
        <w:jc w:val="both"/>
        <w:rPr>
          <w:i/>
          <w:iCs/>
          <w:sz w:val="18"/>
        </w:rPr>
      </w:pPr>
      <w:r>
        <w:rPr>
          <w:i/>
          <w:iCs/>
          <w:sz w:val="18"/>
        </w:rPr>
        <w:t xml:space="preserve">                                                                                                         </w:t>
      </w:r>
      <w:r w:rsidRPr="00865C8B">
        <w:rPr>
          <w:i/>
          <w:iCs/>
          <w:sz w:val="18"/>
        </w:rPr>
        <w:t>Извор: Министарство рада и социјалног старања</w:t>
      </w:r>
    </w:p>
    <w:p w:rsidR="00865C8B" w:rsidRPr="00865C8B" w:rsidRDefault="00865C8B" w:rsidP="000806C3">
      <w:pPr>
        <w:jc w:val="both"/>
        <w:rPr>
          <w:sz w:val="22"/>
          <w:szCs w:val="22"/>
        </w:rPr>
      </w:pPr>
    </w:p>
    <w:p w:rsidR="00A13EDD" w:rsidRDefault="00EA797F" w:rsidP="000806C3">
      <w:pPr>
        <w:jc w:val="both"/>
        <w:rPr>
          <w:sz w:val="22"/>
          <w:szCs w:val="22"/>
        </w:rPr>
      </w:pPr>
      <w:r w:rsidRPr="00EA797F">
        <w:rPr>
          <w:sz w:val="22"/>
          <w:szCs w:val="22"/>
        </w:rPr>
        <w:t>Број корисника МОП се у Беранама  у периоду 2011. до 2019. значајно смањио. Број породица у 2011. години износио је 1.468 а у 2019. години 703 што представља смањење за 47,7%. У истом периоду број чланова породица смањио се са 4.703 у 2011. на 2365 у 2019. години што представља смањење за 49,7%.</w:t>
      </w:r>
    </w:p>
    <w:p w:rsidR="00EA797F" w:rsidRPr="00EA797F" w:rsidRDefault="00EA797F" w:rsidP="000806C3">
      <w:pPr>
        <w:jc w:val="both"/>
        <w:rPr>
          <w:sz w:val="22"/>
          <w:szCs w:val="22"/>
          <w:highlight w:val="yellow"/>
        </w:rPr>
      </w:pPr>
    </w:p>
    <w:p w:rsidR="00DB7C5A" w:rsidRDefault="00EA797F" w:rsidP="000806C3">
      <w:pPr>
        <w:rPr>
          <w:sz w:val="22"/>
          <w:szCs w:val="22"/>
        </w:rPr>
      </w:pPr>
      <w:r w:rsidRPr="00EA797F">
        <w:rPr>
          <w:sz w:val="22"/>
          <w:szCs w:val="22"/>
        </w:rPr>
        <w:t>Број чланова - корисника МОП на укупно становништво износио је 8,9 у 2019. години што је испод просјека у Сјеверном региону (9,6) али ипак значајно више од просјека Црне Горе (4,7).</w:t>
      </w:r>
    </w:p>
    <w:p w:rsidR="00EA797F" w:rsidRPr="00EA797F" w:rsidRDefault="00EA797F" w:rsidP="000806C3">
      <w:pPr>
        <w:rPr>
          <w:bCs/>
          <w:sz w:val="22"/>
          <w:szCs w:val="22"/>
        </w:rPr>
      </w:pPr>
    </w:p>
    <w:p w:rsidR="00D851A1" w:rsidRPr="006A529A" w:rsidRDefault="00EA797F" w:rsidP="000806C3">
      <w:pPr>
        <w:jc w:val="both"/>
        <w:rPr>
          <w:bCs/>
          <w:i/>
          <w:iCs/>
          <w:sz w:val="22"/>
          <w:szCs w:val="22"/>
        </w:rPr>
      </w:pPr>
      <w:r w:rsidRPr="00EA797F">
        <w:rPr>
          <w:bCs/>
          <w:i/>
          <w:iCs/>
          <w:sz w:val="22"/>
          <w:szCs w:val="22"/>
        </w:rPr>
        <w:t>Групе у неповољном положају на тржишту рада у Беранама:</w:t>
      </w:r>
    </w:p>
    <w:p w:rsidR="00DB7C5A" w:rsidRPr="006A529A" w:rsidRDefault="00DB7C5A" w:rsidP="000806C3">
      <w:pPr>
        <w:jc w:val="both"/>
        <w:rPr>
          <w:bCs/>
          <w:i/>
          <w:iCs/>
          <w:sz w:val="22"/>
          <w:szCs w:val="22"/>
        </w:rPr>
      </w:pPr>
    </w:p>
    <w:p w:rsidR="00084B36" w:rsidRDefault="00084B36" w:rsidP="00084B36">
      <w:pPr>
        <w:rPr>
          <w:bCs/>
          <w:sz w:val="22"/>
          <w:szCs w:val="22"/>
        </w:rPr>
      </w:pPr>
      <w:r w:rsidRPr="00084B36">
        <w:rPr>
          <w:bCs/>
          <w:sz w:val="22"/>
          <w:szCs w:val="22"/>
        </w:rPr>
        <w:t xml:space="preserve">На основу анализе података из секундарних извора информација и познавања ситуације на локалном тржишту рада чланови локалног партнерства за запошљавање одредили су групе које су у најнеповољнијем положају  на локалном тржишту рада. </w:t>
      </w:r>
    </w:p>
    <w:p w:rsidR="00084B36" w:rsidRPr="00084B36" w:rsidRDefault="00084B36" w:rsidP="000806C3">
      <w:pPr>
        <w:pStyle w:val="ListParagraph"/>
        <w:numPr>
          <w:ilvl w:val="0"/>
          <w:numId w:val="22"/>
        </w:numPr>
        <w:rPr>
          <w:sz w:val="22"/>
          <w:szCs w:val="22"/>
        </w:rPr>
      </w:pPr>
      <w:r w:rsidRPr="00084B36">
        <w:rPr>
          <w:sz w:val="22"/>
          <w:szCs w:val="22"/>
        </w:rPr>
        <w:t xml:space="preserve">Роми и Египћани; </w:t>
      </w:r>
    </w:p>
    <w:p w:rsidR="00084B36" w:rsidRPr="00084B36" w:rsidRDefault="00084B36" w:rsidP="000806C3">
      <w:pPr>
        <w:pStyle w:val="ListParagraph"/>
        <w:numPr>
          <w:ilvl w:val="0"/>
          <w:numId w:val="22"/>
        </w:numPr>
        <w:rPr>
          <w:sz w:val="22"/>
          <w:szCs w:val="22"/>
        </w:rPr>
      </w:pPr>
      <w:r w:rsidRPr="00084B36">
        <w:rPr>
          <w:sz w:val="22"/>
          <w:szCs w:val="22"/>
        </w:rPr>
        <w:t>Интерно расељена лица;</w:t>
      </w:r>
    </w:p>
    <w:p w:rsidR="00084B36" w:rsidRPr="00084B36" w:rsidRDefault="00084B36" w:rsidP="000806C3">
      <w:pPr>
        <w:pStyle w:val="ListParagraph"/>
        <w:numPr>
          <w:ilvl w:val="0"/>
          <w:numId w:val="22"/>
        </w:numPr>
        <w:rPr>
          <w:sz w:val="22"/>
          <w:szCs w:val="22"/>
        </w:rPr>
      </w:pPr>
      <w:r w:rsidRPr="00084B36">
        <w:rPr>
          <w:sz w:val="22"/>
          <w:szCs w:val="22"/>
        </w:rPr>
        <w:t xml:space="preserve">Лица из сеоских подручја, нарочито жене; </w:t>
      </w:r>
    </w:p>
    <w:p w:rsidR="00084B36" w:rsidRPr="00084B36" w:rsidRDefault="00084B36" w:rsidP="000806C3">
      <w:pPr>
        <w:pStyle w:val="ListParagraph"/>
        <w:numPr>
          <w:ilvl w:val="0"/>
          <w:numId w:val="22"/>
        </w:numPr>
        <w:rPr>
          <w:sz w:val="22"/>
          <w:szCs w:val="22"/>
        </w:rPr>
      </w:pPr>
      <w:r w:rsidRPr="00084B36">
        <w:rPr>
          <w:sz w:val="22"/>
          <w:szCs w:val="22"/>
        </w:rPr>
        <w:t>Лица са суфицитарним занимањима;</w:t>
      </w:r>
    </w:p>
    <w:p w:rsidR="00084B36" w:rsidRPr="00084B36" w:rsidRDefault="00084B36" w:rsidP="00084B36">
      <w:pPr>
        <w:pStyle w:val="ListParagraph"/>
        <w:numPr>
          <w:ilvl w:val="0"/>
          <w:numId w:val="22"/>
        </w:numPr>
        <w:rPr>
          <w:sz w:val="22"/>
          <w:szCs w:val="22"/>
        </w:rPr>
      </w:pPr>
      <w:r w:rsidRPr="00084B36">
        <w:rPr>
          <w:sz w:val="22"/>
          <w:szCs w:val="22"/>
        </w:rPr>
        <w:t>Неквалификована лица;</w:t>
      </w:r>
    </w:p>
    <w:p w:rsidR="00DB7C5A" w:rsidRPr="00084B36" w:rsidRDefault="00084B36" w:rsidP="00084B36">
      <w:pPr>
        <w:pStyle w:val="ListParagraph"/>
        <w:numPr>
          <w:ilvl w:val="0"/>
          <w:numId w:val="22"/>
        </w:numPr>
        <w:rPr>
          <w:sz w:val="22"/>
          <w:szCs w:val="22"/>
        </w:rPr>
      </w:pPr>
      <w:r w:rsidRPr="00084B36">
        <w:rPr>
          <w:sz w:val="22"/>
          <w:szCs w:val="22"/>
        </w:rPr>
        <w:t>Дугорочно незапослена лица, нарочито корисници МОП и жене.</w:t>
      </w:r>
    </w:p>
    <w:p w:rsidR="00084B36" w:rsidRPr="00084B36" w:rsidRDefault="00084B36" w:rsidP="00084B36">
      <w:pPr>
        <w:pStyle w:val="ListParagraph"/>
        <w:rPr>
          <w:sz w:val="22"/>
          <w:szCs w:val="22"/>
        </w:rPr>
      </w:pPr>
    </w:p>
    <w:p w:rsidR="003E7AE7" w:rsidRPr="003E7AE7" w:rsidRDefault="003E7AE7" w:rsidP="003E7AE7">
      <w:pPr>
        <w:jc w:val="both"/>
        <w:rPr>
          <w:sz w:val="22"/>
          <w:szCs w:val="22"/>
        </w:rPr>
      </w:pPr>
      <w:r w:rsidRPr="003E7AE7">
        <w:rPr>
          <w:sz w:val="22"/>
          <w:szCs w:val="22"/>
        </w:rPr>
        <w:t xml:space="preserve">Ипак, потребно је нагласити да општина Беране  посебну пажњу посвећује рањивим групама и онима који  су у ризику социјалне искључености. У општини су усвојени Локални акциони план за младе 2020-2021. и Локални акциони план за социјалну инклузију Рома и Египћана 2019 - 2023. </w:t>
      </w:r>
    </w:p>
    <w:p w:rsidR="00436AA3" w:rsidRPr="006A529A" w:rsidRDefault="003E7AE7" w:rsidP="003E7AE7">
      <w:pPr>
        <w:jc w:val="both"/>
        <w:rPr>
          <w:sz w:val="22"/>
          <w:szCs w:val="22"/>
        </w:rPr>
      </w:pPr>
      <w:r w:rsidRPr="003E7AE7">
        <w:rPr>
          <w:sz w:val="22"/>
          <w:szCs w:val="22"/>
        </w:rPr>
        <w:t>Такође је усвојен Локални план активности за постизање родне равноправности у општини Беране за период 2019-2022., а локална управа нуди финансијску подршку женском предузетништву. Регионални бизнис центар Беране (РБЦ) нуди помоћ онима који желе да се баве сопственим бизнисом, а ова помоћ укључује мјере нефинансијске подршке. Што се тиче цивилног сектора, значајан је допринос Регионалне развојне агенције Бјеласица, Комови и Проклетије, нарочито у области руралног развоја, сеоског туризма и женског предузетништва.</w:t>
      </w:r>
    </w:p>
    <w:p w:rsidR="00DB7C5A" w:rsidRDefault="003E7AE7" w:rsidP="000806C3">
      <w:pPr>
        <w:jc w:val="both"/>
        <w:rPr>
          <w:bCs/>
          <w:sz w:val="22"/>
          <w:szCs w:val="22"/>
        </w:rPr>
      </w:pPr>
      <w:r w:rsidRPr="003E7AE7">
        <w:rPr>
          <w:sz w:val="22"/>
          <w:szCs w:val="22"/>
        </w:rPr>
        <w:t>У општини Беране, како је већ напоменуто, такође је на располагању много програма образовања и оспособљавања одраслих које нуде лиценцирани организатори образовања одраслих.</w:t>
      </w:r>
    </w:p>
    <w:p w:rsidR="003E7AE7" w:rsidRDefault="00BC319B" w:rsidP="003E7AE7">
      <w:pPr>
        <w:pStyle w:val="Heading2"/>
        <w:spacing w:before="0"/>
        <w:rPr>
          <w:rFonts w:cs="Arial"/>
        </w:rPr>
      </w:pPr>
      <w:bookmarkStart w:id="47" w:name="_Toc44873769"/>
      <w:bookmarkStart w:id="48" w:name="_Toc52644735"/>
      <w:bookmarkStart w:id="49" w:name="_Toc74296652"/>
      <w:r w:rsidRPr="00235E36">
        <w:rPr>
          <w:rFonts w:cs="Arial"/>
        </w:rPr>
        <w:lastRenderedPageBreak/>
        <w:t xml:space="preserve">3.8 </w:t>
      </w:r>
      <w:bookmarkEnd w:id="47"/>
      <w:bookmarkEnd w:id="48"/>
      <w:r w:rsidR="003E7AE7">
        <w:rPr>
          <w:rFonts w:cs="Arial"/>
        </w:rPr>
        <w:t>Закључак</w:t>
      </w:r>
      <w:bookmarkEnd w:id="49"/>
    </w:p>
    <w:p w:rsidR="003E7AE7" w:rsidRPr="003E7AE7" w:rsidRDefault="003E7AE7" w:rsidP="003E7AE7"/>
    <w:p w:rsidR="007E3FFE" w:rsidRDefault="003E7AE7" w:rsidP="003E7AE7">
      <w:pPr>
        <w:jc w:val="both"/>
        <w:rPr>
          <w:sz w:val="22"/>
          <w:szCs w:val="22"/>
        </w:rPr>
      </w:pPr>
      <w:r w:rsidRPr="003E7AE7">
        <w:rPr>
          <w:sz w:val="22"/>
          <w:szCs w:val="22"/>
        </w:rPr>
        <w:t xml:space="preserve">Тржиште рада општине Беране карактеришу бројни изазови и слабости. У периоду од 2011. до 2020. </w:t>
      </w:r>
      <w:r>
        <w:rPr>
          <w:sz w:val="22"/>
          <w:szCs w:val="22"/>
        </w:rPr>
        <w:t>број запослених је осцилирао, гдј</w:t>
      </w:r>
      <w:r w:rsidRPr="003E7AE7">
        <w:rPr>
          <w:sz w:val="22"/>
          <w:szCs w:val="22"/>
        </w:rPr>
        <w:t>е је највећа вриједност остварена у 2018. години када је запосленост била за нешто више од 4% већа у односу на 2011. Међутим, криза изазвана пандемијом корона вируса је утицала на смањење броја запослених тако да је ниво у прва два квартала 2020. приближан оном из 2011. године. Половина запослених ради у секторима трговине и прерађивачке индустрије, што указује на слабу диверсификованост локалне привреде. Са друге стране, привредни потенцијали општине нијесу довољно искоришћени. Веом</w:t>
      </w:r>
      <w:r>
        <w:rPr>
          <w:sz w:val="22"/>
          <w:szCs w:val="22"/>
        </w:rPr>
        <w:t>а мали проценат је запослен у IT</w:t>
      </w:r>
      <w:r w:rsidRPr="003E7AE7">
        <w:rPr>
          <w:sz w:val="22"/>
          <w:szCs w:val="22"/>
        </w:rPr>
        <w:t xml:space="preserve"> сектору који има значајан потенцијал за развој и запошљавање већег дијела становништва из Берана. Такође, развојем сектора пољопривреде би се отворила нова радна мјеста која у малом проценту учествују у укупној запослености с обзиром на потенцијал и ресурсе којима општина Беране располаже.</w:t>
      </w:r>
    </w:p>
    <w:p w:rsidR="003E7AE7" w:rsidRPr="003E7AE7" w:rsidRDefault="003E7AE7" w:rsidP="003E7AE7">
      <w:pPr>
        <w:jc w:val="both"/>
        <w:rPr>
          <w:sz w:val="22"/>
          <w:szCs w:val="22"/>
        </w:rPr>
      </w:pPr>
    </w:p>
    <w:p w:rsidR="007E3FFE" w:rsidRDefault="003E7AE7" w:rsidP="000806C3">
      <w:pPr>
        <w:jc w:val="both"/>
        <w:rPr>
          <w:sz w:val="22"/>
          <w:szCs w:val="22"/>
        </w:rPr>
      </w:pPr>
      <w:r w:rsidRPr="003E7AE7">
        <w:rPr>
          <w:sz w:val="22"/>
          <w:szCs w:val="22"/>
        </w:rPr>
        <w:t>Током посматраног периода од 2011-2020. у Беранама је регистрована висока незапосленост. Након високог раста незапослености у 2016-2017. у односу на 2011. иста је биљежила пад до 2020. године, када је усљед економске кризе број запослених поново растао. Међутим, структура незапослености указује на бројне проблеме и изазове са којима се сусреће тржиште рада у Беранама. Неповољни демографски трендови, негативни миграциони салдо и одсељавање становништва су утицали на неповољно стање на тржишту рада. Као један од најважнијих развојних ресурса општине, млада популација се смањује и у највећем проценту учествује у броју одсељавања.</w:t>
      </w:r>
    </w:p>
    <w:p w:rsidR="003E7AE7" w:rsidRPr="003E7AE7" w:rsidRDefault="003E7AE7" w:rsidP="000806C3">
      <w:pPr>
        <w:jc w:val="both"/>
        <w:rPr>
          <w:color w:val="000000" w:themeColor="text1"/>
          <w:sz w:val="22"/>
          <w:szCs w:val="22"/>
        </w:rPr>
      </w:pPr>
    </w:p>
    <w:p w:rsidR="006110E3" w:rsidRDefault="003E7AE7" w:rsidP="006110E3">
      <w:pPr>
        <w:jc w:val="both"/>
        <w:rPr>
          <w:color w:val="000000" w:themeColor="text1"/>
          <w:sz w:val="22"/>
          <w:szCs w:val="22"/>
        </w:rPr>
      </w:pPr>
      <w:r w:rsidRPr="003E7AE7">
        <w:rPr>
          <w:color w:val="000000" w:themeColor="text1"/>
          <w:sz w:val="22"/>
          <w:szCs w:val="22"/>
        </w:rPr>
        <w:t>У укупном броју незапослених значајан проценат чине нискоквалификовани незапослени који у спрези са недовољном развијеношћу тржишта рада општине и недостатком знања и вјештина које захтијева тржиште рада имају тешкоће у проналажењу запослења. Са друге стране, у Беранама је забиљежен и раст броја висококвалификованих незапослених у периоду од 2011. до 2019. године (број високовалификованих незапослених је порастао за 72,2%). Овакви трендови показују да локално тржиште рада не може да апсорбује прилив високообразованих, будући да је највећи број запосл</w:t>
      </w:r>
      <w:r>
        <w:rPr>
          <w:color w:val="000000" w:themeColor="text1"/>
          <w:sz w:val="22"/>
          <w:szCs w:val="22"/>
        </w:rPr>
        <w:t>ених у секторима који запошљавај</w:t>
      </w:r>
      <w:r w:rsidRPr="003E7AE7">
        <w:rPr>
          <w:color w:val="000000" w:themeColor="text1"/>
          <w:sz w:val="22"/>
          <w:szCs w:val="22"/>
        </w:rPr>
        <w:t>у средњеквалификовану радну снагу (прерађивачка индустрија, трговина, саобраћај и друго). Додатни проблем локалног тржишта рада је висок проценат дугорочно незапослених (близу 80%), као и висок проценат старијег становништва у укупној незапослености, због чега је потребно креирање посебних мјера које су усмјерене на ове вулнерабилне категорије на тржишту рада. Такође, удио незапослених лица без радног стажа у укупној незапослености је већи од просјека Црне Горе, нарочито код жена.</w:t>
      </w:r>
    </w:p>
    <w:p w:rsidR="003E7AE7" w:rsidRPr="003E7AE7" w:rsidRDefault="003E7AE7" w:rsidP="006110E3">
      <w:pPr>
        <w:jc w:val="both"/>
        <w:rPr>
          <w:color w:val="000000" w:themeColor="text1"/>
          <w:sz w:val="22"/>
          <w:szCs w:val="22"/>
        </w:rPr>
      </w:pPr>
    </w:p>
    <w:p w:rsidR="006110E3" w:rsidRDefault="00246DD4" w:rsidP="006110E3">
      <w:pPr>
        <w:jc w:val="both"/>
        <w:rPr>
          <w:color w:val="000000" w:themeColor="text1"/>
          <w:sz w:val="22"/>
          <w:szCs w:val="22"/>
        </w:rPr>
      </w:pPr>
      <w:r w:rsidRPr="00246DD4">
        <w:rPr>
          <w:color w:val="000000" w:themeColor="text1"/>
          <w:sz w:val="22"/>
          <w:szCs w:val="22"/>
        </w:rPr>
        <w:t xml:space="preserve">Велики изазов локалног тржишта рада представља висок број лица са инвалидитетом на евиденији Бироа рада </w:t>
      </w:r>
      <w:r>
        <w:rPr>
          <w:color w:val="000000" w:themeColor="text1"/>
          <w:sz w:val="22"/>
          <w:szCs w:val="22"/>
        </w:rPr>
        <w:t>Беране. Активација ових лица, гдј</w:t>
      </w:r>
      <w:r w:rsidRPr="00246DD4">
        <w:rPr>
          <w:color w:val="000000" w:themeColor="text1"/>
          <w:sz w:val="22"/>
          <w:szCs w:val="22"/>
        </w:rPr>
        <w:t>е је висок проценат неквалификованих (скоро 45%) и висок проценат старијих од 40 година (скоро 90%) захтијева посебан приступ у дефинисању мјера и програма запошљавања.</w:t>
      </w:r>
    </w:p>
    <w:p w:rsidR="00246DD4" w:rsidRPr="00246DD4" w:rsidRDefault="00246DD4" w:rsidP="006110E3">
      <w:pPr>
        <w:jc w:val="both"/>
        <w:rPr>
          <w:color w:val="000000" w:themeColor="text1"/>
          <w:sz w:val="22"/>
          <w:szCs w:val="22"/>
        </w:rPr>
      </w:pPr>
    </w:p>
    <w:p w:rsidR="00114BEC" w:rsidRPr="00235E36" w:rsidRDefault="0063137F" w:rsidP="006110E3">
      <w:pPr>
        <w:jc w:val="both"/>
        <w:rPr>
          <w:color w:val="000000" w:themeColor="text1"/>
          <w:sz w:val="22"/>
          <w:szCs w:val="22"/>
        </w:rPr>
      </w:pPr>
      <w:r w:rsidRPr="0063137F">
        <w:rPr>
          <w:color w:val="000000" w:themeColor="text1"/>
          <w:sz w:val="22"/>
          <w:szCs w:val="22"/>
        </w:rPr>
        <w:t>Према томе, политике и мјере запошљавања би требало усмјерити на најосјет</w:t>
      </w:r>
      <w:r>
        <w:rPr>
          <w:color w:val="000000" w:themeColor="text1"/>
          <w:sz w:val="22"/>
          <w:szCs w:val="22"/>
        </w:rPr>
        <w:t>љивије групе на тржишту рада, гдј</w:t>
      </w:r>
      <w:r w:rsidRPr="0063137F">
        <w:rPr>
          <w:color w:val="000000" w:themeColor="text1"/>
          <w:sz w:val="22"/>
          <w:szCs w:val="22"/>
        </w:rPr>
        <w:t>е је посебан акценат потребно ставити на незапослене жене, дугорочно незапослене, лица са инвалидитетом, нискоквалификоване, незапослене без радног стажа и незапослене старије доби како</w:t>
      </w:r>
      <w:r>
        <w:rPr>
          <w:color w:val="000000" w:themeColor="text1"/>
          <w:sz w:val="22"/>
          <w:szCs w:val="22"/>
        </w:rPr>
        <w:t xml:space="preserve"> би се укључили на тржиште рада</w:t>
      </w:r>
      <w:r w:rsidR="00114BEC" w:rsidRPr="00235E36">
        <w:rPr>
          <w:color w:val="000000" w:themeColor="text1"/>
          <w:sz w:val="22"/>
          <w:szCs w:val="22"/>
        </w:rPr>
        <w:t>.</w:t>
      </w:r>
    </w:p>
    <w:p w:rsidR="007E3FFE" w:rsidRDefault="007E3FFE" w:rsidP="006110E3">
      <w:pPr>
        <w:jc w:val="both"/>
        <w:rPr>
          <w:rFonts w:cs="Arial"/>
          <w:iCs/>
          <w:color w:val="000000" w:themeColor="text1"/>
          <w:szCs w:val="20"/>
        </w:rPr>
      </w:pPr>
    </w:p>
    <w:p w:rsidR="003E69BE" w:rsidRDefault="0063137F" w:rsidP="006110E3">
      <w:pPr>
        <w:jc w:val="both"/>
        <w:rPr>
          <w:iCs/>
          <w:sz w:val="22"/>
          <w:szCs w:val="22"/>
        </w:rPr>
      </w:pPr>
      <w:r w:rsidRPr="0063137F">
        <w:rPr>
          <w:rFonts w:cs="Arial"/>
          <w:iCs/>
          <w:color w:val="000000" w:themeColor="text1"/>
          <w:sz w:val="22"/>
          <w:szCs w:val="22"/>
        </w:rPr>
        <w:t>У Беранама су потребна нова радна мјеста па је у том погледу потребна даља подршка постојећим предузетницима у смислу уклањања бизнис баријера и увођења одређених олакшица за пословање, а и онима који размишљају о самозапошљавању. Интересовање међу незапосленима за самозапошљавање постоји. Такође, потребно је радити на повећању свијести о предностима удруживања (кроз задруге, кластере и социјална предузећа), како би се боље искористили потенцијали за развој предузетништва.</w:t>
      </w:r>
    </w:p>
    <w:p w:rsidR="009F3494" w:rsidRDefault="00717715" w:rsidP="000806C3">
      <w:pPr>
        <w:rPr>
          <w:rFonts w:cs="Arial"/>
          <w:iCs/>
          <w:color w:val="000000" w:themeColor="text1"/>
          <w:szCs w:val="20"/>
        </w:rPr>
      </w:pPr>
      <w:r>
        <w:rPr>
          <w:rFonts w:cs="Arial"/>
          <w:iCs/>
          <w:color w:val="000000" w:themeColor="text1"/>
          <w:szCs w:val="20"/>
        </w:rPr>
        <w:lastRenderedPageBreak/>
        <w:t xml:space="preserve">График </w:t>
      </w:r>
      <w:r w:rsidR="00AE44BD" w:rsidRPr="006A529A">
        <w:rPr>
          <w:rFonts w:cs="Arial"/>
          <w:iCs/>
          <w:color w:val="000000" w:themeColor="text1"/>
          <w:szCs w:val="20"/>
        </w:rPr>
        <w:t>13</w:t>
      </w:r>
      <w:r w:rsidR="009F3494" w:rsidRPr="006A529A">
        <w:rPr>
          <w:rFonts w:cs="Arial"/>
          <w:iCs/>
          <w:color w:val="000000" w:themeColor="text1"/>
          <w:szCs w:val="20"/>
        </w:rPr>
        <w:t xml:space="preserve">: </w:t>
      </w:r>
      <w:r w:rsidRPr="00717715">
        <w:rPr>
          <w:rFonts w:cs="Arial"/>
          <w:iCs/>
          <w:color w:val="000000" w:themeColor="text1"/>
          <w:szCs w:val="20"/>
        </w:rPr>
        <w:t xml:space="preserve">Одабрани индикатори за општину Беране у односу на Црну Гору </w:t>
      </w:r>
      <w:r w:rsidR="009F3494" w:rsidRPr="006A529A">
        <w:rPr>
          <w:rFonts w:cs="Arial"/>
          <w:iCs/>
          <w:color w:val="000000" w:themeColor="text1"/>
          <w:szCs w:val="20"/>
        </w:rPr>
        <w:t>(</w:t>
      </w:r>
      <w:r w:rsidR="00AE44BD" w:rsidRPr="006A529A">
        <w:rPr>
          <w:rFonts w:cs="Arial"/>
          <w:iCs/>
          <w:color w:val="000000" w:themeColor="text1"/>
          <w:szCs w:val="20"/>
        </w:rPr>
        <w:t>2011</w:t>
      </w:r>
      <w:r w:rsidR="00425CA9" w:rsidRPr="006A529A">
        <w:rPr>
          <w:rFonts w:cs="Arial"/>
          <w:iCs/>
          <w:color w:val="000000" w:themeColor="text1"/>
          <w:szCs w:val="20"/>
        </w:rPr>
        <w:t>-2019.)</w:t>
      </w:r>
    </w:p>
    <w:p w:rsidR="00E0199F" w:rsidRDefault="00E0199F" w:rsidP="000806C3">
      <w:pPr>
        <w:rPr>
          <w:rFonts w:cs="Arial"/>
          <w:iCs/>
          <w:color w:val="000000" w:themeColor="text1"/>
          <w:szCs w:val="20"/>
        </w:rPr>
      </w:pPr>
    </w:p>
    <w:p w:rsidR="00587278" w:rsidRPr="006A529A" w:rsidRDefault="00AE44BD" w:rsidP="000806C3">
      <w:pPr>
        <w:jc w:val="center"/>
        <w:rPr>
          <w:rFonts w:cs="Arial"/>
          <w:iCs/>
          <w:color w:val="000000" w:themeColor="text1"/>
          <w:szCs w:val="20"/>
        </w:rPr>
      </w:pPr>
      <w:r w:rsidRPr="006A529A">
        <w:rPr>
          <w:noProof/>
          <w:lang w:val="en-US"/>
        </w:rPr>
        <w:drawing>
          <wp:inline distT="0" distB="0" distL="0" distR="0">
            <wp:extent cx="5316855" cy="2324100"/>
            <wp:effectExtent l="0" t="0" r="1714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F83593" w:rsidRDefault="00F83593" w:rsidP="000806C3">
      <w:pPr>
        <w:ind w:left="2832"/>
        <w:jc w:val="right"/>
        <w:rPr>
          <w:rFonts w:cs="Arial"/>
          <w:i/>
          <w:color w:val="000000" w:themeColor="text1"/>
          <w:sz w:val="18"/>
        </w:rPr>
      </w:pPr>
    </w:p>
    <w:p w:rsidR="009F3494" w:rsidRDefault="00717715" w:rsidP="00717715">
      <w:pPr>
        <w:ind w:left="2832"/>
        <w:jc w:val="right"/>
        <w:rPr>
          <w:rFonts w:cs="Arial"/>
          <w:sz w:val="22"/>
          <w:szCs w:val="22"/>
          <w:highlight w:val="yellow"/>
        </w:rPr>
      </w:pPr>
      <w:r>
        <w:rPr>
          <w:rFonts w:cs="Arial"/>
          <w:i/>
          <w:color w:val="000000" w:themeColor="text1"/>
          <w:sz w:val="18"/>
        </w:rPr>
        <w:t>Извор</w:t>
      </w:r>
      <w:r w:rsidR="009F3494" w:rsidRPr="006A529A">
        <w:rPr>
          <w:rFonts w:cs="Arial"/>
          <w:i/>
          <w:color w:val="000000" w:themeColor="text1"/>
          <w:sz w:val="18"/>
        </w:rPr>
        <w:t xml:space="preserve">: </w:t>
      </w:r>
      <w:r w:rsidRPr="00717715">
        <w:rPr>
          <w:rFonts w:cs="Arial"/>
          <w:i/>
          <w:color w:val="000000" w:themeColor="text1"/>
          <w:sz w:val="18"/>
        </w:rPr>
        <w:t>МОНСТАТ, Министарство рада и социјалног старања Црне Горе, ЗЗЗЦГ</w:t>
      </w:r>
    </w:p>
    <w:p w:rsidR="00B8622D" w:rsidRDefault="00B8622D" w:rsidP="000806C3">
      <w:pPr>
        <w:jc w:val="center"/>
        <w:rPr>
          <w:rFonts w:cs="Arial"/>
          <w:sz w:val="22"/>
          <w:szCs w:val="22"/>
          <w:highlight w:val="yellow"/>
        </w:rPr>
      </w:pPr>
    </w:p>
    <w:p w:rsidR="00717715" w:rsidRPr="00717715" w:rsidRDefault="00717715" w:rsidP="000806C3">
      <w:pPr>
        <w:jc w:val="center"/>
        <w:rPr>
          <w:rFonts w:cs="Arial"/>
          <w:sz w:val="22"/>
          <w:szCs w:val="22"/>
          <w:highlight w:val="yellow"/>
        </w:rPr>
      </w:pPr>
    </w:p>
    <w:tbl>
      <w:tblPr>
        <w:tblStyle w:val="TableGrid"/>
        <w:tblW w:w="9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74"/>
      </w:tblGrid>
      <w:tr w:rsidR="00632C13" w:rsidRPr="006A529A" w:rsidTr="00BB5974">
        <w:trPr>
          <w:trHeight w:val="257"/>
        </w:trPr>
        <w:tc>
          <w:tcPr>
            <w:tcW w:w="9274" w:type="dxa"/>
            <w:shd w:val="clear" w:color="auto" w:fill="FFFFFF" w:themeFill="background1"/>
          </w:tcPr>
          <w:p w:rsidR="00632C13" w:rsidRPr="006A529A" w:rsidRDefault="00632C13" w:rsidP="000806C3">
            <w:pPr>
              <w:pStyle w:val="Heading1"/>
              <w:numPr>
                <w:ilvl w:val="0"/>
                <w:numId w:val="6"/>
              </w:numPr>
              <w:tabs>
                <w:tab w:val="left" w:pos="318"/>
              </w:tabs>
              <w:spacing w:before="0"/>
              <w:ind w:left="0" w:firstLine="0"/>
            </w:pPr>
            <w:bookmarkStart w:id="50" w:name="_Toc74296653"/>
            <w:r w:rsidRPr="006A529A">
              <w:t xml:space="preserve">SWOT </w:t>
            </w:r>
            <w:r w:rsidR="009C6E36">
              <w:t>АНАЛИЗА</w:t>
            </w:r>
            <w:bookmarkEnd w:id="50"/>
          </w:p>
        </w:tc>
      </w:tr>
    </w:tbl>
    <w:p w:rsidR="006F1132" w:rsidRPr="006A529A" w:rsidRDefault="006F1132" w:rsidP="000806C3">
      <w:pPr>
        <w:rPr>
          <w:rFonts w:cs="Arial"/>
          <w:highlight w:val="yellow"/>
        </w:rPr>
      </w:pPr>
    </w:p>
    <w:p w:rsidR="006A3AA2" w:rsidRPr="006A529A" w:rsidRDefault="009C6E36" w:rsidP="000806C3">
      <w:pPr>
        <w:jc w:val="both"/>
        <w:rPr>
          <w:rFonts w:cs="Arial"/>
          <w:sz w:val="22"/>
          <w:szCs w:val="22"/>
        </w:rPr>
      </w:pPr>
      <w:r w:rsidRPr="009C6E36">
        <w:rPr>
          <w:rFonts w:cs="Arial"/>
          <w:sz w:val="22"/>
          <w:szCs w:val="22"/>
        </w:rPr>
        <w:t>Локално тржиште рада зависи од</w:t>
      </w:r>
      <w:r>
        <w:rPr>
          <w:rFonts w:cs="Arial"/>
          <w:sz w:val="22"/>
          <w:szCs w:val="22"/>
        </w:rPr>
        <w:t xml:space="preserve"> окружења које утиче на његово дј</w:t>
      </w:r>
      <w:r w:rsidRPr="009C6E36">
        <w:rPr>
          <w:rFonts w:cs="Arial"/>
          <w:sz w:val="22"/>
          <w:szCs w:val="22"/>
        </w:rPr>
        <w:t xml:space="preserve">еловање. Да би се идентификовале предности и слабости (унутрашње окружење) и могућности и пријетње (спољно окружење) које утичу на  локално тржиште рада и радну снагу кориштена је метода </w:t>
      </w:r>
      <w:r>
        <w:rPr>
          <w:rFonts w:cs="Arial"/>
          <w:sz w:val="22"/>
          <w:szCs w:val="22"/>
        </w:rPr>
        <w:t>SWOT анализе</w:t>
      </w:r>
      <w:r w:rsidR="006A3AA2" w:rsidRPr="006A529A">
        <w:rPr>
          <w:rFonts w:cs="Arial"/>
          <w:sz w:val="22"/>
          <w:szCs w:val="22"/>
        </w:rPr>
        <w:t>.</w:t>
      </w:r>
    </w:p>
    <w:p w:rsidR="009A2AEE" w:rsidRPr="006A529A" w:rsidRDefault="009A2AEE" w:rsidP="000806C3">
      <w:pPr>
        <w:ind w:left="66"/>
        <w:jc w:val="both"/>
        <w:rPr>
          <w:rFonts w:cs="Arial"/>
          <w:sz w:val="22"/>
          <w:szCs w:val="22"/>
        </w:rPr>
      </w:pPr>
    </w:p>
    <w:p w:rsidR="00E41036" w:rsidRPr="006A529A" w:rsidRDefault="009C6E36" w:rsidP="00F0787D">
      <w:pPr>
        <w:jc w:val="both"/>
        <w:rPr>
          <w:sz w:val="22"/>
          <w:szCs w:val="22"/>
        </w:rPr>
      </w:pPr>
      <w:r w:rsidRPr="009C6E36">
        <w:rPr>
          <w:rFonts w:cs="Arial"/>
          <w:sz w:val="22"/>
          <w:szCs w:val="22"/>
        </w:rPr>
        <w:t xml:space="preserve">У првом кораку урађена је </w:t>
      </w:r>
      <w:r w:rsidR="006A3AA2" w:rsidRPr="006A529A">
        <w:rPr>
          <w:rFonts w:cs="Arial"/>
          <w:sz w:val="22"/>
          <w:szCs w:val="22"/>
        </w:rPr>
        <w:t xml:space="preserve">SWOT </w:t>
      </w:r>
      <w:r w:rsidRPr="009C6E36">
        <w:rPr>
          <w:rFonts w:cs="Arial"/>
          <w:sz w:val="22"/>
          <w:szCs w:val="22"/>
        </w:rPr>
        <w:t>анализа функционисања  локалног тржишта рада. Људски капитал  је један од најважнијих фактора утицаја на даљи социо-економски развој општине. Улогу и значај како цјеложивотног учења тако и образовања одраслих за функционисање тржишта рада препознала је и партнерска група за запошљавање општине Беране.</w:t>
      </w:r>
    </w:p>
    <w:p w:rsidR="00E41036" w:rsidRPr="006A529A" w:rsidRDefault="00E41036" w:rsidP="000806C3">
      <w:pPr>
        <w:ind w:left="66"/>
        <w:jc w:val="both"/>
        <w:rPr>
          <w:rFonts w:cs="Arial"/>
          <w:sz w:val="22"/>
          <w:szCs w:val="22"/>
        </w:rPr>
      </w:pPr>
    </w:p>
    <w:p w:rsidR="006A3AA2" w:rsidRPr="006A529A" w:rsidRDefault="009C6E36" w:rsidP="000806C3">
      <w:pPr>
        <w:jc w:val="both"/>
        <w:rPr>
          <w:rFonts w:cs="Arial"/>
          <w:sz w:val="22"/>
          <w:szCs w:val="22"/>
        </w:rPr>
      </w:pPr>
      <w:r w:rsidRPr="009C6E36">
        <w:rPr>
          <w:rFonts w:cs="Arial"/>
          <w:sz w:val="22"/>
          <w:szCs w:val="22"/>
        </w:rPr>
        <w:t xml:space="preserve">Посебна пажња посвећена је социјалној инклузији на локалном тржишту рада са циљем да се путем </w:t>
      </w:r>
      <w:r w:rsidR="00332811" w:rsidRPr="006A529A">
        <w:rPr>
          <w:rFonts w:cs="Arial"/>
          <w:sz w:val="22"/>
          <w:szCs w:val="22"/>
        </w:rPr>
        <w:t xml:space="preserve">SWOT </w:t>
      </w:r>
      <w:r w:rsidRPr="009C6E36">
        <w:rPr>
          <w:rFonts w:cs="Arial"/>
          <w:sz w:val="22"/>
          <w:szCs w:val="22"/>
        </w:rPr>
        <w:t xml:space="preserve">анализе стекне бољи увид и разумијевање ситуације. То је предуслов за адекватно таргетирање оних који су у најнеповољнијем положају на локалном тржишту рада, као и за креирање програма и мјера који одговарају потребама специфичних циљних група.   </w:t>
      </w:r>
    </w:p>
    <w:p w:rsidR="00332811" w:rsidRPr="006A529A" w:rsidRDefault="00332811" w:rsidP="000806C3">
      <w:pPr>
        <w:rPr>
          <w:rFonts w:eastAsia="Calibri" w:cs="Arial"/>
          <w:b/>
          <w:bCs/>
          <w:color w:val="000000" w:themeColor="text1"/>
          <w:kern w:val="24"/>
          <w:sz w:val="22"/>
          <w:szCs w:val="22"/>
          <w:highlight w:val="yellow"/>
        </w:rPr>
      </w:pPr>
    </w:p>
    <w:p w:rsidR="009C6E36" w:rsidRDefault="009C6E36" w:rsidP="00F0787D">
      <w:pPr>
        <w:jc w:val="both"/>
        <w:rPr>
          <w:rFonts w:eastAsia="Calibri" w:cs="Arial"/>
          <w:color w:val="000000" w:themeColor="text1"/>
          <w:kern w:val="24"/>
          <w:sz w:val="22"/>
          <w:szCs w:val="22"/>
        </w:rPr>
      </w:pPr>
      <w:r>
        <w:rPr>
          <w:rFonts w:eastAsia="Calibri" w:cs="Arial"/>
          <w:color w:val="000000" w:themeColor="text1"/>
          <w:kern w:val="24"/>
          <w:sz w:val="22"/>
          <w:szCs w:val="22"/>
        </w:rPr>
        <w:t>На крају</w:t>
      </w:r>
      <w:r w:rsidR="00E41036" w:rsidRPr="006A529A">
        <w:rPr>
          <w:rFonts w:eastAsia="Calibri" w:cs="Arial"/>
          <w:color w:val="000000" w:themeColor="text1"/>
          <w:kern w:val="24"/>
          <w:sz w:val="22"/>
          <w:szCs w:val="22"/>
        </w:rPr>
        <w:t xml:space="preserve"> SWOT</w:t>
      </w:r>
      <w:r>
        <w:rPr>
          <w:rFonts w:eastAsia="Calibri" w:cs="Arial"/>
          <w:color w:val="000000" w:themeColor="text1"/>
          <w:kern w:val="24"/>
          <w:sz w:val="22"/>
          <w:szCs w:val="22"/>
        </w:rPr>
        <w:t xml:space="preserve"> </w:t>
      </w:r>
      <w:r w:rsidRPr="009C6E36">
        <w:rPr>
          <w:rFonts w:eastAsia="Calibri" w:cs="Arial"/>
          <w:color w:val="000000" w:themeColor="text1"/>
          <w:kern w:val="24"/>
          <w:sz w:val="22"/>
          <w:szCs w:val="22"/>
        </w:rPr>
        <w:t>анализе идентификоване су кључне шансе за унапређење запошљавања, дати су приједлози за унапређење и идентификовани кључни изазови</w:t>
      </w:r>
      <w:r>
        <w:rPr>
          <w:rFonts w:eastAsia="Calibri" w:cs="Arial"/>
          <w:color w:val="000000" w:themeColor="text1"/>
          <w:kern w:val="24"/>
          <w:sz w:val="22"/>
          <w:szCs w:val="22"/>
        </w:rPr>
        <w:t>.</w:t>
      </w:r>
    </w:p>
    <w:p w:rsidR="009C6E36" w:rsidRPr="009C6E36" w:rsidRDefault="009C6E36" w:rsidP="00F0787D">
      <w:pPr>
        <w:jc w:val="both"/>
        <w:rPr>
          <w:rFonts w:eastAsia="Calibri" w:cs="Arial"/>
          <w:color w:val="000000" w:themeColor="text1"/>
          <w:kern w:val="24"/>
          <w:sz w:val="22"/>
          <w:szCs w:val="22"/>
        </w:rPr>
      </w:pPr>
    </w:p>
    <w:p w:rsidR="00425CA9" w:rsidRPr="006A529A" w:rsidRDefault="00A75196" w:rsidP="000806C3">
      <w:pPr>
        <w:pStyle w:val="Heading2"/>
        <w:spacing w:before="0"/>
        <w:rPr>
          <w:rFonts w:eastAsia="Calibri"/>
        </w:rPr>
      </w:pPr>
      <w:bookmarkStart w:id="51" w:name="_Toc52644738"/>
      <w:bookmarkStart w:id="52" w:name="_Toc74296654"/>
      <w:r w:rsidRPr="006A529A">
        <w:rPr>
          <w:rFonts w:eastAsia="Calibri"/>
        </w:rPr>
        <w:t>4</w:t>
      </w:r>
      <w:r w:rsidR="008B308D" w:rsidRPr="006A529A">
        <w:rPr>
          <w:rFonts w:eastAsia="Calibri"/>
        </w:rPr>
        <w:t xml:space="preserve">.1 </w:t>
      </w:r>
      <w:bookmarkEnd w:id="51"/>
      <w:r w:rsidR="009C6E36" w:rsidRPr="009C6E36">
        <w:rPr>
          <w:rFonts w:eastAsia="Calibri"/>
        </w:rPr>
        <w:t>Локално тржиште рада и радна снага</w:t>
      </w:r>
      <w:bookmarkEnd w:id="52"/>
    </w:p>
    <w:p w:rsidR="00425CA9" w:rsidRPr="006A529A" w:rsidRDefault="00425CA9" w:rsidP="000806C3">
      <w:pPr>
        <w:jc w:val="center"/>
        <w:rPr>
          <w:sz w:val="24"/>
          <w:szCs w:val="24"/>
          <w:highlight w:val="yellow"/>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531"/>
        <w:gridCol w:w="4531"/>
      </w:tblGrid>
      <w:tr w:rsidR="00B740A1" w:rsidRPr="006A529A" w:rsidTr="003F38F1">
        <w:tc>
          <w:tcPr>
            <w:tcW w:w="4531" w:type="dxa"/>
            <w:shd w:val="clear" w:color="auto" w:fill="B4C6E7" w:themeFill="accent1" w:themeFillTint="66"/>
          </w:tcPr>
          <w:p w:rsidR="00B740A1" w:rsidRPr="009C6E36" w:rsidRDefault="009C6E36" w:rsidP="006110E3">
            <w:pPr>
              <w:jc w:val="center"/>
            </w:pPr>
            <w:r>
              <w:t>ПРЕДНОСТИ</w:t>
            </w:r>
          </w:p>
        </w:tc>
        <w:tc>
          <w:tcPr>
            <w:tcW w:w="4531" w:type="dxa"/>
            <w:shd w:val="clear" w:color="auto" w:fill="B4C6E7" w:themeFill="accent1" w:themeFillTint="66"/>
          </w:tcPr>
          <w:p w:rsidR="00B740A1" w:rsidRPr="009C6E36" w:rsidRDefault="009C6E36" w:rsidP="006110E3">
            <w:pPr>
              <w:jc w:val="center"/>
            </w:pPr>
            <w:r>
              <w:t>СЛАБОСТИ</w:t>
            </w:r>
          </w:p>
        </w:tc>
      </w:tr>
      <w:tr w:rsidR="00B740A1" w:rsidRPr="006A529A" w:rsidTr="003B1BAD">
        <w:trPr>
          <w:trHeight w:val="1124"/>
        </w:trPr>
        <w:tc>
          <w:tcPr>
            <w:tcW w:w="4531" w:type="dxa"/>
          </w:tcPr>
          <w:p w:rsidR="00B740A1" w:rsidRPr="006A529A" w:rsidRDefault="00D64149" w:rsidP="000806C3">
            <w:pPr>
              <w:pStyle w:val="ListParagraph"/>
              <w:numPr>
                <w:ilvl w:val="0"/>
                <w:numId w:val="8"/>
              </w:numPr>
            </w:pPr>
            <w:r>
              <w:t>Природни ресурси</w:t>
            </w:r>
          </w:p>
          <w:p w:rsidR="00B740A1" w:rsidRPr="006A529A" w:rsidRDefault="00D64149" w:rsidP="000806C3">
            <w:pPr>
              <w:pStyle w:val="ListParagraph"/>
              <w:numPr>
                <w:ilvl w:val="0"/>
                <w:numId w:val="8"/>
              </w:numPr>
            </w:pPr>
            <w:r>
              <w:t>Људски ресурси- квалификована радна снага</w:t>
            </w:r>
            <w:r w:rsidR="00B740A1" w:rsidRPr="006A529A">
              <w:t xml:space="preserve"> (III</w:t>
            </w:r>
            <w:r w:rsidR="00EC745E">
              <w:t xml:space="preserve"> и IV степен стручне спреме</w:t>
            </w:r>
            <w:r w:rsidR="00B740A1" w:rsidRPr="006A529A">
              <w:t>)</w:t>
            </w:r>
          </w:p>
          <w:p w:rsidR="00B740A1" w:rsidRPr="006A529A" w:rsidRDefault="00EC745E" w:rsidP="000806C3">
            <w:pPr>
              <w:pStyle w:val="ListParagraph"/>
              <w:numPr>
                <w:ilvl w:val="0"/>
                <w:numId w:val="8"/>
              </w:numPr>
            </w:pPr>
            <w:r>
              <w:t>Урађена планска документација</w:t>
            </w:r>
          </w:p>
          <w:p w:rsidR="00B740A1" w:rsidRPr="006A529A" w:rsidRDefault="00EC745E" w:rsidP="000806C3">
            <w:pPr>
              <w:pStyle w:val="ListParagraph"/>
              <w:numPr>
                <w:ilvl w:val="0"/>
                <w:numId w:val="8"/>
              </w:numPr>
            </w:pPr>
            <w:r>
              <w:t>Бизнис зона – РУДЕШ (подстицајне мјере на локалном нивоу</w:t>
            </w:r>
            <w:r w:rsidR="00B740A1" w:rsidRPr="006A529A">
              <w:t>)</w:t>
            </w:r>
          </w:p>
          <w:p w:rsidR="00B740A1" w:rsidRPr="006A529A" w:rsidRDefault="00EC745E" w:rsidP="000806C3">
            <w:pPr>
              <w:pStyle w:val="ListParagraph"/>
              <w:numPr>
                <w:ilvl w:val="0"/>
                <w:numId w:val="8"/>
              </w:numPr>
            </w:pPr>
            <w:r>
              <w:t>Одлука о подршци женском предузетништву</w:t>
            </w:r>
          </w:p>
          <w:p w:rsidR="00B740A1" w:rsidRPr="006A529A" w:rsidRDefault="00EC745E" w:rsidP="000806C3">
            <w:pPr>
              <w:pStyle w:val="ListParagraph"/>
              <w:numPr>
                <w:ilvl w:val="0"/>
                <w:numId w:val="8"/>
              </w:numPr>
            </w:pPr>
            <w:r>
              <w:t>Повољна саобраћајна инфраструктура</w:t>
            </w:r>
          </w:p>
          <w:p w:rsidR="00B740A1" w:rsidRPr="006A529A" w:rsidRDefault="00EC745E" w:rsidP="000806C3">
            <w:pPr>
              <w:pStyle w:val="ListParagraph"/>
              <w:numPr>
                <w:ilvl w:val="0"/>
                <w:numId w:val="8"/>
              </w:numPr>
            </w:pPr>
            <w:r>
              <w:t>Спортска инфраструктура –регионални центар</w:t>
            </w:r>
          </w:p>
          <w:p w:rsidR="00B740A1" w:rsidRPr="006A529A" w:rsidRDefault="00EC745E" w:rsidP="000806C3">
            <w:pPr>
              <w:pStyle w:val="ListParagraph"/>
              <w:numPr>
                <w:ilvl w:val="0"/>
                <w:numId w:val="8"/>
              </w:numPr>
            </w:pPr>
            <w:r>
              <w:lastRenderedPageBreak/>
              <w:t>Здравствене установе – регионални центар</w:t>
            </w:r>
          </w:p>
          <w:p w:rsidR="00B740A1" w:rsidRPr="006A529A" w:rsidRDefault="00EC745E" w:rsidP="000806C3">
            <w:pPr>
              <w:pStyle w:val="ListParagraph"/>
              <w:numPr>
                <w:ilvl w:val="0"/>
                <w:numId w:val="8"/>
              </w:numPr>
            </w:pPr>
            <w:r>
              <w:t>Географски центар</w:t>
            </w:r>
          </w:p>
          <w:p w:rsidR="00B740A1" w:rsidRPr="006A529A" w:rsidRDefault="00EC745E" w:rsidP="000806C3">
            <w:pPr>
              <w:pStyle w:val="ListParagraph"/>
              <w:numPr>
                <w:ilvl w:val="0"/>
                <w:numId w:val="8"/>
              </w:numPr>
            </w:pPr>
            <w:r>
              <w:t>Агро-буџет</w:t>
            </w:r>
          </w:p>
          <w:p w:rsidR="00B740A1" w:rsidRPr="006A529A" w:rsidRDefault="00EC745E" w:rsidP="00E0199F">
            <w:pPr>
              <w:pStyle w:val="ListParagraph"/>
              <w:numPr>
                <w:ilvl w:val="0"/>
                <w:numId w:val="8"/>
              </w:numPr>
            </w:pPr>
            <w:r>
              <w:t>Организације за образовање одраслих</w:t>
            </w:r>
          </w:p>
        </w:tc>
        <w:tc>
          <w:tcPr>
            <w:tcW w:w="4531" w:type="dxa"/>
          </w:tcPr>
          <w:p w:rsidR="00EC745E" w:rsidRPr="00EC745E" w:rsidRDefault="00EC745E" w:rsidP="000806C3">
            <w:pPr>
              <w:pStyle w:val="ListParagraph"/>
              <w:numPr>
                <w:ilvl w:val="0"/>
                <w:numId w:val="8"/>
              </w:numPr>
            </w:pPr>
            <w:r w:rsidRPr="00EC745E">
              <w:lastRenderedPageBreak/>
              <w:t>Непостојање јединственог туристичког производа</w:t>
            </w:r>
          </w:p>
          <w:p w:rsidR="00EC745E" w:rsidRPr="00EC745E" w:rsidRDefault="00EC745E" w:rsidP="000806C3">
            <w:pPr>
              <w:pStyle w:val="ListParagraph"/>
              <w:numPr>
                <w:ilvl w:val="0"/>
                <w:numId w:val="8"/>
              </w:numPr>
            </w:pPr>
            <w:r w:rsidRPr="00EC745E">
              <w:t>Непостајање финалних дрвних производа</w:t>
            </w:r>
          </w:p>
          <w:p w:rsidR="00EC745E" w:rsidRPr="00EC745E" w:rsidRDefault="00EC745E" w:rsidP="000806C3">
            <w:pPr>
              <w:pStyle w:val="ListParagraph"/>
              <w:numPr>
                <w:ilvl w:val="0"/>
                <w:numId w:val="8"/>
              </w:numPr>
            </w:pPr>
            <w:r w:rsidRPr="00EC745E">
              <w:t>Уситњеност пољопривредних посједа</w:t>
            </w:r>
          </w:p>
          <w:p w:rsidR="00EC745E" w:rsidRPr="00EC745E" w:rsidRDefault="00EC745E" w:rsidP="000806C3">
            <w:pPr>
              <w:pStyle w:val="ListParagraph"/>
              <w:numPr>
                <w:ilvl w:val="0"/>
                <w:numId w:val="8"/>
              </w:numPr>
            </w:pPr>
            <w:r w:rsidRPr="00EC745E">
              <w:t>Лоша сеоска инфраструктура</w:t>
            </w:r>
          </w:p>
          <w:p w:rsidR="00EC745E" w:rsidRPr="00EC745E" w:rsidRDefault="00EC745E" w:rsidP="000806C3">
            <w:pPr>
              <w:pStyle w:val="ListParagraph"/>
              <w:numPr>
                <w:ilvl w:val="0"/>
                <w:numId w:val="8"/>
              </w:numPr>
            </w:pPr>
            <w:r w:rsidRPr="00EC745E">
              <w:t>Информатичка неписменост становништва</w:t>
            </w:r>
          </w:p>
          <w:p w:rsidR="00EC745E" w:rsidRPr="00EC745E" w:rsidRDefault="00EC745E" w:rsidP="000806C3">
            <w:pPr>
              <w:pStyle w:val="ListParagraph"/>
              <w:numPr>
                <w:ilvl w:val="0"/>
                <w:numId w:val="8"/>
              </w:numPr>
            </w:pPr>
            <w:r w:rsidRPr="00EC745E">
              <w:t>Технолошка заосталост</w:t>
            </w:r>
          </w:p>
          <w:p w:rsidR="00EC745E" w:rsidRPr="00EC745E" w:rsidRDefault="00EC745E" w:rsidP="000806C3">
            <w:pPr>
              <w:pStyle w:val="ListParagraph"/>
              <w:numPr>
                <w:ilvl w:val="0"/>
                <w:numId w:val="8"/>
              </w:numPr>
            </w:pPr>
            <w:r w:rsidRPr="00EC745E">
              <w:t>Немотивисаност незапослених</w:t>
            </w:r>
          </w:p>
          <w:p w:rsidR="00EC745E" w:rsidRPr="00EC745E" w:rsidRDefault="00EC745E" w:rsidP="000806C3">
            <w:pPr>
              <w:pStyle w:val="ListParagraph"/>
              <w:numPr>
                <w:ilvl w:val="0"/>
                <w:numId w:val="8"/>
              </w:numPr>
            </w:pPr>
            <w:r w:rsidRPr="00EC745E">
              <w:t>Сива економија</w:t>
            </w:r>
          </w:p>
          <w:p w:rsidR="00EC745E" w:rsidRPr="00EC745E" w:rsidRDefault="00EC745E" w:rsidP="000806C3">
            <w:pPr>
              <w:pStyle w:val="ListParagraph"/>
              <w:numPr>
                <w:ilvl w:val="0"/>
                <w:numId w:val="8"/>
              </w:numPr>
            </w:pPr>
            <w:r w:rsidRPr="00EC745E">
              <w:t>Негативан природни прираштај</w:t>
            </w:r>
          </w:p>
          <w:p w:rsidR="00EC745E" w:rsidRPr="00EC745E" w:rsidRDefault="00EC745E" w:rsidP="00E0199F">
            <w:pPr>
              <w:pStyle w:val="ListParagraph"/>
              <w:numPr>
                <w:ilvl w:val="0"/>
                <w:numId w:val="8"/>
              </w:numPr>
            </w:pPr>
            <w:r w:rsidRPr="00EC745E">
              <w:lastRenderedPageBreak/>
              <w:t>Неповољна демографска структура становништва</w:t>
            </w:r>
          </w:p>
          <w:p w:rsidR="00DD5D06" w:rsidRPr="00DD5D06" w:rsidRDefault="00DD5D06" w:rsidP="00E0199F">
            <w:pPr>
              <w:pStyle w:val="ListParagraph"/>
              <w:numPr>
                <w:ilvl w:val="0"/>
                <w:numId w:val="8"/>
              </w:numPr>
            </w:pPr>
            <w:r w:rsidRPr="00DD5D06">
              <w:t>Велико учешће нискоквалификованих особа у укупној незапослености</w:t>
            </w:r>
          </w:p>
          <w:p w:rsidR="00DD5D06" w:rsidRPr="00DD5D06" w:rsidRDefault="00DD5D06" w:rsidP="00E0199F">
            <w:pPr>
              <w:pStyle w:val="ListParagraph"/>
              <w:numPr>
                <w:ilvl w:val="0"/>
                <w:numId w:val="8"/>
              </w:numPr>
            </w:pPr>
            <w:r w:rsidRPr="00DD5D06">
              <w:rPr>
                <w:szCs w:val="20"/>
              </w:rPr>
              <w:t>Неповољне структурне карактеристике незапослених лица</w:t>
            </w:r>
          </w:p>
          <w:p w:rsidR="003B1BAD" w:rsidRPr="006A529A" w:rsidRDefault="00DD5D06" w:rsidP="00E0199F">
            <w:pPr>
              <w:pStyle w:val="ListParagraph"/>
              <w:numPr>
                <w:ilvl w:val="0"/>
                <w:numId w:val="8"/>
              </w:numPr>
            </w:pPr>
            <w:r w:rsidRPr="00DD5D06">
              <w:rPr>
                <w:szCs w:val="20"/>
              </w:rPr>
              <w:t>Недовољан број радних мјеста и радних мјеста са додатном вриједношћу</w:t>
            </w:r>
          </w:p>
        </w:tc>
      </w:tr>
      <w:tr w:rsidR="00B740A1" w:rsidRPr="006A529A" w:rsidTr="003F38F1">
        <w:tc>
          <w:tcPr>
            <w:tcW w:w="4531" w:type="dxa"/>
            <w:shd w:val="clear" w:color="auto" w:fill="B4C6E7" w:themeFill="accent1" w:themeFillTint="66"/>
          </w:tcPr>
          <w:p w:rsidR="00B740A1" w:rsidRPr="009C6E36" w:rsidRDefault="009C6E36" w:rsidP="006110E3">
            <w:pPr>
              <w:jc w:val="center"/>
            </w:pPr>
            <w:r>
              <w:lastRenderedPageBreak/>
              <w:t>ШАНСЕ/МОГУЋНОСТИ</w:t>
            </w:r>
          </w:p>
        </w:tc>
        <w:tc>
          <w:tcPr>
            <w:tcW w:w="4531" w:type="dxa"/>
            <w:shd w:val="clear" w:color="auto" w:fill="B4C6E7" w:themeFill="accent1" w:themeFillTint="66"/>
          </w:tcPr>
          <w:p w:rsidR="00B740A1" w:rsidRPr="009C6E36" w:rsidRDefault="009C6E36" w:rsidP="006110E3">
            <w:pPr>
              <w:jc w:val="center"/>
            </w:pPr>
            <w:r>
              <w:t>ПРИЈЕТЊЕ</w:t>
            </w:r>
          </w:p>
        </w:tc>
      </w:tr>
      <w:tr w:rsidR="00B740A1" w:rsidRPr="006A529A" w:rsidTr="006110E3">
        <w:tc>
          <w:tcPr>
            <w:tcW w:w="4531" w:type="dxa"/>
          </w:tcPr>
          <w:p w:rsidR="00372853" w:rsidRDefault="00372853" w:rsidP="00372853">
            <w:pPr>
              <w:pStyle w:val="ListParagraph"/>
              <w:numPr>
                <w:ilvl w:val="0"/>
                <w:numId w:val="9"/>
              </w:numPr>
            </w:pPr>
            <w:r>
              <w:t>Постојање аеродромске писте</w:t>
            </w:r>
          </w:p>
          <w:p w:rsidR="00372853" w:rsidRDefault="00372853" w:rsidP="00372853">
            <w:pPr>
              <w:pStyle w:val="ListParagraph"/>
              <w:numPr>
                <w:ilvl w:val="0"/>
                <w:numId w:val="9"/>
              </w:numPr>
            </w:pPr>
            <w:r>
              <w:t>Аутопут</w:t>
            </w:r>
          </w:p>
          <w:p w:rsidR="00372853" w:rsidRDefault="00372853" w:rsidP="00372853">
            <w:pPr>
              <w:pStyle w:val="ListParagraph"/>
              <w:numPr>
                <w:ilvl w:val="0"/>
                <w:numId w:val="9"/>
              </w:numPr>
            </w:pPr>
            <w:r>
              <w:t>Богато културно-историјско наслеђе</w:t>
            </w:r>
          </w:p>
          <w:p w:rsidR="00372853" w:rsidRDefault="00372853" w:rsidP="00372853">
            <w:pPr>
              <w:pStyle w:val="ListParagraph"/>
              <w:numPr>
                <w:ilvl w:val="0"/>
                <w:numId w:val="9"/>
              </w:numPr>
            </w:pPr>
            <w:r>
              <w:t>Национални паркови</w:t>
            </w:r>
          </w:p>
          <w:p w:rsidR="00372853" w:rsidRDefault="00372853" w:rsidP="00372853">
            <w:pPr>
              <w:pStyle w:val="ListParagraph"/>
              <w:numPr>
                <w:ilvl w:val="0"/>
                <w:numId w:val="9"/>
              </w:numPr>
            </w:pPr>
            <w:r>
              <w:t>ЕУ фондови</w:t>
            </w:r>
          </w:p>
          <w:p w:rsidR="00372853" w:rsidRPr="00372853" w:rsidRDefault="00372853" w:rsidP="00372853">
            <w:pPr>
              <w:pStyle w:val="ListParagraph"/>
              <w:numPr>
                <w:ilvl w:val="0"/>
                <w:numId w:val="9"/>
              </w:numPr>
            </w:pPr>
            <w:r>
              <w:t>Национални фондови</w:t>
            </w:r>
          </w:p>
          <w:p w:rsidR="00B740A1" w:rsidRPr="00372853" w:rsidRDefault="00372853" w:rsidP="00372853">
            <w:pPr>
              <w:pStyle w:val="ListParagraph"/>
              <w:numPr>
                <w:ilvl w:val="0"/>
                <w:numId w:val="9"/>
              </w:numPr>
            </w:pPr>
            <w:r>
              <w:t>Активне мјере запосљавања ЗЗЗЦГ</w:t>
            </w:r>
          </w:p>
        </w:tc>
        <w:tc>
          <w:tcPr>
            <w:tcW w:w="4531" w:type="dxa"/>
          </w:tcPr>
          <w:p w:rsidR="00372853" w:rsidRDefault="00372853" w:rsidP="00372853">
            <w:pPr>
              <w:pStyle w:val="ListParagraph"/>
              <w:numPr>
                <w:ilvl w:val="0"/>
                <w:numId w:val="9"/>
              </w:numPr>
            </w:pPr>
            <w:r>
              <w:t>Миграције</w:t>
            </w:r>
          </w:p>
          <w:p w:rsidR="00372853" w:rsidRDefault="00372853" w:rsidP="00372853">
            <w:pPr>
              <w:pStyle w:val="ListParagraph"/>
              <w:numPr>
                <w:ilvl w:val="0"/>
                <w:numId w:val="9"/>
              </w:numPr>
            </w:pPr>
            <w:r>
              <w:t>Лоша пореска политика</w:t>
            </w:r>
          </w:p>
          <w:p w:rsidR="00372853" w:rsidRDefault="00372853" w:rsidP="00372853">
            <w:pPr>
              <w:pStyle w:val="ListParagraph"/>
              <w:numPr>
                <w:ilvl w:val="0"/>
                <w:numId w:val="9"/>
              </w:numPr>
            </w:pPr>
            <w:r>
              <w:t>Централизација</w:t>
            </w:r>
          </w:p>
          <w:p w:rsidR="00B740A1" w:rsidRPr="006A529A" w:rsidRDefault="00372853" w:rsidP="00372853">
            <w:pPr>
              <w:pStyle w:val="ListParagraph"/>
              <w:numPr>
                <w:ilvl w:val="0"/>
                <w:numId w:val="9"/>
              </w:numPr>
            </w:pPr>
            <w:r>
              <w:t>Висока материјална давања</w:t>
            </w:r>
          </w:p>
        </w:tc>
      </w:tr>
    </w:tbl>
    <w:p w:rsidR="00B740A1" w:rsidRPr="006A529A" w:rsidRDefault="00B740A1" w:rsidP="000806C3">
      <w:pPr>
        <w:jc w:val="center"/>
        <w:rPr>
          <w:sz w:val="24"/>
          <w:szCs w:val="24"/>
          <w:highlight w:val="yellow"/>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9067"/>
      </w:tblGrid>
      <w:tr w:rsidR="003E69BE" w:rsidTr="003E69BE">
        <w:trPr>
          <w:trHeight w:val="273"/>
        </w:trPr>
        <w:tc>
          <w:tcPr>
            <w:tcW w:w="9067" w:type="dxa"/>
            <w:shd w:val="clear" w:color="auto" w:fill="D9D9D9" w:themeFill="background1" w:themeFillShade="D9"/>
          </w:tcPr>
          <w:p w:rsidR="003E69BE" w:rsidRPr="009C6E36" w:rsidRDefault="009C6E36" w:rsidP="00F960A0">
            <w:pPr>
              <w:rPr>
                <w:bCs/>
                <w:szCs w:val="20"/>
              </w:rPr>
            </w:pPr>
            <w:r>
              <w:rPr>
                <w:bCs/>
                <w:szCs w:val="20"/>
              </w:rPr>
              <w:t>КЉУЧНЕ РАЗВОЈНЕ ШАНСЕ ЗА УНАПРЕЂЕЊЕ ЗАПОШЉАВАЊА</w:t>
            </w:r>
            <w:r w:rsidR="003E69BE" w:rsidRPr="00F83593">
              <w:rPr>
                <w:bCs/>
                <w:szCs w:val="20"/>
              </w:rPr>
              <w:t xml:space="preserve"> </w:t>
            </w:r>
          </w:p>
        </w:tc>
      </w:tr>
      <w:tr w:rsidR="003E69BE" w:rsidTr="003E69BE">
        <w:tc>
          <w:tcPr>
            <w:tcW w:w="9067" w:type="dxa"/>
          </w:tcPr>
          <w:p w:rsidR="00372853" w:rsidRPr="00372853" w:rsidRDefault="00372853" w:rsidP="00372853">
            <w:pPr>
              <w:pStyle w:val="ListParagraph"/>
              <w:numPr>
                <w:ilvl w:val="0"/>
                <w:numId w:val="10"/>
              </w:numPr>
              <w:rPr>
                <w:szCs w:val="20"/>
              </w:rPr>
            </w:pPr>
            <w:r w:rsidRPr="00372853">
              <w:rPr>
                <w:szCs w:val="20"/>
              </w:rPr>
              <w:t>Бизнис зона – олакшице</w:t>
            </w:r>
          </w:p>
          <w:p w:rsidR="00372853" w:rsidRPr="00372853" w:rsidRDefault="00372853" w:rsidP="00372853">
            <w:pPr>
              <w:pStyle w:val="ListParagraph"/>
              <w:numPr>
                <w:ilvl w:val="0"/>
                <w:numId w:val="10"/>
              </w:numPr>
              <w:rPr>
                <w:szCs w:val="20"/>
              </w:rPr>
            </w:pPr>
            <w:r w:rsidRPr="00372853">
              <w:rPr>
                <w:szCs w:val="20"/>
              </w:rPr>
              <w:t>Одлука о подршци женском предузетништву</w:t>
            </w:r>
          </w:p>
          <w:p w:rsidR="00372853" w:rsidRPr="00372853" w:rsidRDefault="00372853" w:rsidP="00372853">
            <w:pPr>
              <w:pStyle w:val="ListParagraph"/>
              <w:numPr>
                <w:ilvl w:val="0"/>
                <w:numId w:val="10"/>
              </w:numPr>
              <w:rPr>
                <w:szCs w:val="20"/>
              </w:rPr>
            </w:pPr>
            <w:r w:rsidRPr="00372853">
              <w:rPr>
                <w:szCs w:val="20"/>
              </w:rPr>
              <w:t>Грантови за самозапошљавање</w:t>
            </w:r>
          </w:p>
          <w:p w:rsidR="00372853" w:rsidRPr="00372853" w:rsidRDefault="00372853" w:rsidP="00372853">
            <w:pPr>
              <w:pStyle w:val="ListParagraph"/>
              <w:numPr>
                <w:ilvl w:val="0"/>
                <w:numId w:val="10"/>
              </w:numPr>
              <w:rPr>
                <w:szCs w:val="20"/>
              </w:rPr>
            </w:pPr>
            <w:r w:rsidRPr="00372853">
              <w:rPr>
                <w:szCs w:val="20"/>
              </w:rPr>
              <w:t>Агро-буџет Министарства пољопривреде</w:t>
            </w:r>
          </w:p>
          <w:p w:rsidR="00372853" w:rsidRPr="00372853" w:rsidRDefault="00372853" w:rsidP="00372853">
            <w:pPr>
              <w:pStyle w:val="ListParagraph"/>
              <w:numPr>
                <w:ilvl w:val="0"/>
                <w:numId w:val="10"/>
              </w:numPr>
              <w:rPr>
                <w:szCs w:val="20"/>
              </w:rPr>
            </w:pPr>
            <w:r w:rsidRPr="00372853">
              <w:rPr>
                <w:szCs w:val="20"/>
              </w:rPr>
              <w:t xml:space="preserve">Образовање одраслих (ПАМАРК, ВИКТОРИЈА; МЕДИГАЛ, ССШ „Вукадин Вукадиновић“, Средња медицинска школа „Др Бранко Зоговић”, Средња стручна школа) </w:t>
            </w:r>
          </w:p>
          <w:p w:rsidR="003E69BE" w:rsidRDefault="00372853" w:rsidP="00372853">
            <w:pPr>
              <w:pStyle w:val="ListParagraph"/>
              <w:numPr>
                <w:ilvl w:val="0"/>
                <w:numId w:val="10"/>
              </w:numPr>
              <w:rPr>
                <w:bCs/>
                <w:szCs w:val="20"/>
              </w:rPr>
            </w:pPr>
            <w:r w:rsidRPr="00372853">
              <w:rPr>
                <w:szCs w:val="20"/>
              </w:rPr>
              <w:t xml:space="preserve">Подршка послодавцима </w:t>
            </w:r>
            <w:r>
              <w:rPr>
                <w:szCs w:val="20"/>
              </w:rPr>
              <w:t>у изради бизнис планова (РБЦ, одј</w:t>
            </w:r>
            <w:r w:rsidRPr="00372853">
              <w:rPr>
                <w:szCs w:val="20"/>
              </w:rPr>
              <w:t>ељење локалне управе за економски развој)</w:t>
            </w:r>
          </w:p>
        </w:tc>
      </w:tr>
    </w:tbl>
    <w:p w:rsidR="003E69BE" w:rsidRDefault="003E69BE" w:rsidP="000806C3">
      <w:pPr>
        <w:rPr>
          <w:bCs/>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9067"/>
      </w:tblGrid>
      <w:tr w:rsidR="003E69BE" w:rsidTr="003E69BE">
        <w:tc>
          <w:tcPr>
            <w:tcW w:w="9067" w:type="dxa"/>
            <w:shd w:val="clear" w:color="auto" w:fill="D9D9D9" w:themeFill="background1" w:themeFillShade="D9"/>
          </w:tcPr>
          <w:p w:rsidR="003E69BE" w:rsidRPr="009C6E36" w:rsidRDefault="009C6E36" w:rsidP="00F960A0">
            <w:pPr>
              <w:rPr>
                <w:bCs/>
                <w:szCs w:val="20"/>
              </w:rPr>
            </w:pPr>
            <w:r>
              <w:rPr>
                <w:bCs/>
                <w:szCs w:val="20"/>
              </w:rPr>
              <w:t>КЉУЧНИ ИЗАЗОВИ</w:t>
            </w:r>
          </w:p>
        </w:tc>
      </w:tr>
      <w:tr w:rsidR="003E69BE" w:rsidTr="003E69BE">
        <w:tc>
          <w:tcPr>
            <w:tcW w:w="9067" w:type="dxa"/>
          </w:tcPr>
          <w:p w:rsidR="00AE235C" w:rsidRPr="00AE235C" w:rsidRDefault="00AE235C" w:rsidP="00AE235C">
            <w:pPr>
              <w:pStyle w:val="ListParagraph"/>
              <w:numPr>
                <w:ilvl w:val="0"/>
                <w:numId w:val="11"/>
              </w:numPr>
              <w:rPr>
                <w:szCs w:val="20"/>
              </w:rPr>
            </w:pPr>
            <w:r w:rsidRPr="00AE235C">
              <w:rPr>
                <w:szCs w:val="20"/>
              </w:rPr>
              <w:t>Миграције становништва</w:t>
            </w:r>
          </w:p>
          <w:p w:rsidR="00AE235C" w:rsidRPr="00AE235C" w:rsidRDefault="00AE235C" w:rsidP="00AE235C">
            <w:pPr>
              <w:pStyle w:val="ListParagraph"/>
              <w:numPr>
                <w:ilvl w:val="0"/>
                <w:numId w:val="11"/>
              </w:numPr>
              <w:rPr>
                <w:szCs w:val="20"/>
              </w:rPr>
            </w:pPr>
            <w:r w:rsidRPr="00AE235C">
              <w:rPr>
                <w:szCs w:val="20"/>
              </w:rPr>
              <w:t>Негативни природни прираштај</w:t>
            </w:r>
          </w:p>
          <w:p w:rsidR="00AE235C" w:rsidRPr="00AE235C" w:rsidRDefault="00AE235C" w:rsidP="00AE235C">
            <w:pPr>
              <w:pStyle w:val="ListParagraph"/>
              <w:numPr>
                <w:ilvl w:val="0"/>
                <w:numId w:val="11"/>
              </w:numPr>
              <w:rPr>
                <w:szCs w:val="20"/>
              </w:rPr>
            </w:pPr>
            <w:r w:rsidRPr="00AE235C">
              <w:rPr>
                <w:szCs w:val="20"/>
              </w:rPr>
              <w:t>Неактивно становништво</w:t>
            </w:r>
          </w:p>
          <w:p w:rsidR="003E69BE" w:rsidRPr="00AE235C" w:rsidRDefault="00AE235C" w:rsidP="00AE235C">
            <w:pPr>
              <w:pStyle w:val="ListParagraph"/>
              <w:numPr>
                <w:ilvl w:val="0"/>
                <w:numId w:val="11"/>
              </w:numPr>
              <w:rPr>
                <w:szCs w:val="20"/>
              </w:rPr>
            </w:pPr>
            <w:r w:rsidRPr="00AE235C">
              <w:rPr>
                <w:szCs w:val="20"/>
              </w:rPr>
              <w:t>Неразвијена привреда</w:t>
            </w:r>
          </w:p>
        </w:tc>
      </w:tr>
    </w:tbl>
    <w:p w:rsidR="003E69BE" w:rsidRDefault="003E69BE" w:rsidP="000806C3">
      <w:pPr>
        <w:rPr>
          <w:bCs/>
          <w:szCs w:val="20"/>
        </w:rPr>
      </w:pPr>
    </w:p>
    <w:p w:rsidR="002D6F62" w:rsidRDefault="00A75196" w:rsidP="007C6393">
      <w:pPr>
        <w:pStyle w:val="Heading2"/>
        <w:spacing w:before="0"/>
        <w:rPr>
          <w:szCs w:val="24"/>
        </w:rPr>
      </w:pPr>
      <w:bookmarkStart w:id="53" w:name="_Toc53846132"/>
      <w:bookmarkStart w:id="54" w:name="_Toc54538969"/>
      <w:bookmarkStart w:id="55" w:name="_Toc54690420"/>
      <w:bookmarkStart w:id="56" w:name="_Toc56604814"/>
      <w:bookmarkStart w:id="57" w:name="_Toc57368537"/>
      <w:bookmarkStart w:id="58" w:name="_Toc57975348"/>
      <w:bookmarkStart w:id="59" w:name="_Toc74296655"/>
      <w:r w:rsidRPr="006A529A">
        <w:rPr>
          <w:szCs w:val="24"/>
        </w:rPr>
        <w:t xml:space="preserve">4.2 </w:t>
      </w:r>
      <w:bookmarkEnd w:id="53"/>
      <w:bookmarkEnd w:id="54"/>
      <w:bookmarkEnd w:id="55"/>
      <w:bookmarkEnd w:id="56"/>
      <w:bookmarkEnd w:id="57"/>
      <w:bookmarkEnd w:id="58"/>
      <w:r w:rsidR="007C6393" w:rsidRPr="007C6393">
        <w:rPr>
          <w:szCs w:val="24"/>
        </w:rPr>
        <w:t>Образовање и оспособљавање радне снаге у општини</w:t>
      </w:r>
      <w:bookmarkEnd w:id="59"/>
    </w:p>
    <w:p w:rsidR="007C6393" w:rsidRPr="007C6393" w:rsidRDefault="007C6393" w:rsidP="007C6393"/>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531"/>
        <w:gridCol w:w="4531"/>
      </w:tblGrid>
      <w:tr w:rsidR="00B740A1" w:rsidRPr="006A529A" w:rsidTr="003F38F1">
        <w:trPr>
          <w:trHeight w:val="340"/>
        </w:trPr>
        <w:tc>
          <w:tcPr>
            <w:tcW w:w="4531" w:type="dxa"/>
            <w:shd w:val="clear" w:color="auto" w:fill="B4C6E7" w:themeFill="accent1" w:themeFillTint="66"/>
          </w:tcPr>
          <w:p w:rsidR="00B740A1" w:rsidRPr="006A529A" w:rsidRDefault="007C6393" w:rsidP="006110E3">
            <w:pPr>
              <w:jc w:val="center"/>
            </w:pPr>
            <w:r>
              <w:t>ПРЕДНОСТИ</w:t>
            </w:r>
          </w:p>
        </w:tc>
        <w:tc>
          <w:tcPr>
            <w:tcW w:w="4531" w:type="dxa"/>
            <w:shd w:val="clear" w:color="auto" w:fill="B4C6E7" w:themeFill="accent1" w:themeFillTint="66"/>
          </w:tcPr>
          <w:p w:rsidR="00B740A1" w:rsidRPr="006A529A" w:rsidRDefault="007C6393" w:rsidP="006110E3">
            <w:pPr>
              <w:jc w:val="center"/>
            </w:pPr>
            <w:r>
              <w:t>СЛАБОСТИ</w:t>
            </w:r>
          </w:p>
        </w:tc>
      </w:tr>
      <w:tr w:rsidR="00B740A1" w:rsidRPr="006A529A" w:rsidTr="006110E3">
        <w:trPr>
          <w:trHeight w:val="391"/>
        </w:trPr>
        <w:tc>
          <w:tcPr>
            <w:tcW w:w="4531" w:type="dxa"/>
          </w:tcPr>
          <w:p w:rsidR="007C6393" w:rsidRDefault="007C6393" w:rsidP="007C6393">
            <w:pPr>
              <w:pStyle w:val="ListParagraph"/>
              <w:numPr>
                <w:ilvl w:val="0"/>
                <w:numId w:val="13"/>
              </w:numPr>
            </w:pPr>
            <w:r>
              <w:t>Значајан број лиценцираних организатора образовања одраслих са широком лепезом програма</w:t>
            </w:r>
          </w:p>
          <w:p w:rsidR="007C6393" w:rsidRDefault="007C6393" w:rsidP="007C6393">
            <w:pPr>
              <w:pStyle w:val="ListParagraph"/>
              <w:numPr>
                <w:ilvl w:val="0"/>
                <w:numId w:val="13"/>
              </w:numPr>
            </w:pPr>
            <w:r>
              <w:t xml:space="preserve">Разноврсни програми које нуди ЗЗЗЦГ </w:t>
            </w:r>
          </w:p>
          <w:p w:rsidR="007C6393" w:rsidRDefault="007C6393" w:rsidP="007C6393">
            <w:pPr>
              <w:pStyle w:val="ListParagraph"/>
              <w:numPr>
                <w:ilvl w:val="0"/>
                <w:numId w:val="13"/>
              </w:numPr>
            </w:pPr>
            <w:r>
              <w:t xml:space="preserve">Заинтересованост и мотивисаност  послодаваца да организују обуке уз финансијску подршку </w:t>
            </w:r>
          </w:p>
          <w:p w:rsidR="007C6393" w:rsidRDefault="007C6393" w:rsidP="007C6393">
            <w:pPr>
              <w:pStyle w:val="ListParagraph"/>
              <w:numPr>
                <w:ilvl w:val="0"/>
                <w:numId w:val="13"/>
              </w:numPr>
            </w:pPr>
            <w:r>
              <w:t>Центар за информисање и</w:t>
            </w:r>
            <w:r w:rsidR="00181460">
              <w:t xml:space="preserve"> професионално савјетовање (CIPS</w:t>
            </w:r>
            <w:r>
              <w:t xml:space="preserve">) на бироу рада   </w:t>
            </w:r>
          </w:p>
          <w:p w:rsidR="007C6393" w:rsidRDefault="007C6393" w:rsidP="007C6393">
            <w:pPr>
              <w:pStyle w:val="ListParagraph"/>
              <w:numPr>
                <w:ilvl w:val="0"/>
                <w:numId w:val="13"/>
              </w:numPr>
            </w:pPr>
            <w:r>
              <w:t>Активан локални омладински клуб се бави повећањем знања и промоцијом предузетништва</w:t>
            </w:r>
          </w:p>
          <w:p w:rsidR="00B740A1" w:rsidRPr="006A529A" w:rsidRDefault="007C6393" w:rsidP="007C6393">
            <w:pPr>
              <w:pStyle w:val="ListParagraph"/>
              <w:numPr>
                <w:ilvl w:val="0"/>
                <w:numId w:val="13"/>
              </w:numPr>
            </w:pPr>
            <w:r>
              <w:t>Могућност коришћења стручне помоћи у изради бизнис планова (РБЦ Беране)</w:t>
            </w:r>
          </w:p>
        </w:tc>
        <w:tc>
          <w:tcPr>
            <w:tcW w:w="4531" w:type="dxa"/>
          </w:tcPr>
          <w:p w:rsidR="00A34888" w:rsidRPr="00A34888" w:rsidRDefault="00A34888" w:rsidP="00A34888">
            <w:pPr>
              <w:pStyle w:val="ListParagraph"/>
              <w:numPr>
                <w:ilvl w:val="0"/>
                <w:numId w:val="13"/>
              </w:numPr>
              <w:rPr>
                <w:szCs w:val="20"/>
              </w:rPr>
            </w:pPr>
            <w:r w:rsidRPr="00A34888">
              <w:rPr>
                <w:szCs w:val="20"/>
              </w:rPr>
              <w:t>Неусклађеност понуде и тражње на тржишту рада</w:t>
            </w:r>
          </w:p>
          <w:p w:rsidR="00A34888" w:rsidRPr="00A34888" w:rsidRDefault="00A34888" w:rsidP="00A34888">
            <w:pPr>
              <w:pStyle w:val="ListParagraph"/>
              <w:numPr>
                <w:ilvl w:val="0"/>
                <w:numId w:val="13"/>
              </w:numPr>
              <w:rPr>
                <w:szCs w:val="20"/>
              </w:rPr>
            </w:pPr>
            <w:r w:rsidRPr="00A34888">
              <w:rPr>
                <w:szCs w:val="20"/>
              </w:rPr>
              <w:t xml:space="preserve">Неквалификована радна снага </w:t>
            </w:r>
          </w:p>
          <w:p w:rsidR="00A34888" w:rsidRPr="00A34888" w:rsidRDefault="00A34888" w:rsidP="00A34888">
            <w:pPr>
              <w:pStyle w:val="ListParagraph"/>
              <w:numPr>
                <w:ilvl w:val="0"/>
                <w:numId w:val="13"/>
              </w:numPr>
              <w:rPr>
                <w:szCs w:val="20"/>
              </w:rPr>
            </w:pPr>
            <w:r w:rsidRPr="00A34888">
              <w:rPr>
                <w:szCs w:val="20"/>
              </w:rPr>
              <w:t xml:space="preserve">Немотивисаност незапослених лица и пребацивање одговорности на институције система (Биро рада) </w:t>
            </w:r>
          </w:p>
          <w:p w:rsidR="00A34888" w:rsidRPr="00A34888" w:rsidRDefault="00A34888" w:rsidP="00A34888">
            <w:pPr>
              <w:pStyle w:val="ListParagraph"/>
              <w:numPr>
                <w:ilvl w:val="0"/>
                <w:numId w:val="13"/>
              </w:numPr>
              <w:rPr>
                <w:szCs w:val="20"/>
              </w:rPr>
            </w:pPr>
            <w:r w:rsidRPr="00A34888">
              <w:rPr>
                <w:szCs w:val="20"/>
              </w:rPr>
              <w:t xml:space="preserve">Превелик број незапослених лица  без радног искуства </w:t>
            </w:r>
          </w:p>
          <w:p w:rsidR="00A34888" w:rsidRPr="00A34888" w:rsidRDefault="00A34888" w:rsidP="00A34888">
            <w:pPr>
              <w:pStyle w:val="ListParagraph"/>
              <w:numPr>
                <w:ilvl w:val="0"/>
                <w:numId w:val="13"/>
              </w:numPr>
              <w:rPr>
                <w:szCs w:val="20"/>
              </w:rPr>
            </w:pPr>
            <w:r w:rsidRPr="00A34888">
              <w:rPr>
                <w:szCs w:val="20"/>
              </w:rPr>
              <w:t xml:space="preserve">Немотивисаност за усвајање нових знања и вјештина </w:t>
            </w:r>
          </w:p>
          <w:p w:rsidR="00A34888" w:rsidRPr="00A34888" w:rsidRDefault="00A34888" w:rsidP="00A34888">
            <w:pPr>
              <w:pStyle w:val="ListParagraph"/>
              <w:numPr>
                <w:ilvl w:val="0"/>
                <w:numId w:val="13"/>
              </w:numPr>
              <w:rPr>
                <w:szCs w:val="20"/>
              </w:rPr>
            </w:pPr>
            <w:r w:rsidRPr="00A34888">
              <w:rPr>
                <w:szCs w:val="20"/>
              </w:rPr>
              <w:t>Мали број незапослених лица је обухваћен каријерним савјетовањем</w:t>
            </w:r>
          </w:p>
          <w:p w:rsidR="00A34888" w:rsidRPr="00A34888" w:rsidRDefault="00A34888" w:rsidP="00A34888">
            <w:pPr>
              <w:pStyle w:val="ListParagraph"/>
              <w:numPr>
                <w:ilvl w:val="0"/>
                <w:numId w:val="13"/>
              </w:numPr>
              <w:rPr>
                <w:szCs w:val="20"/>
              </w:rPr>
            </w:pPr>
            <w:r>
              <w:rPr>
                <w:szCs w:val="20"/>
              </w:rPr>
              <w:t>Већина кандидата нема  IT</w:t>
            </w:r>
            <w:r w:rsidRPr="00A34888">
              <w:rPr>
                <w:szCs w:val="20"/>
              </w:rPr>
              <w:t xml:space="preserve"> компетенције</w:t>
            </w:r>
          </w:p>
          <w:p w:rsidR="00A34888" w:rsidRPr="00A34888" w:rsidRDefault="00A34888" w:rsidP="00A34888">
            <w:pPr>
              <w:pStyle w:val="ListParagraph"/>
              <w:numPr>
                <w:ilvl w:val="0"/>
                <w:numId w:val="13"/>
              </w:numPr>
              <w:rPr>
                <w:szCs w:val="20"/>
              </w:rPr>
            </w:pPr>
            <w:r w:rsidRPr="00A34888">
              <w:rPr>
                <w:szCs w:val="20"/>
              </w:rPr>
              <w:t xml:space="preserve">Слаба информисаност о могућностима за образовање и запошљавање </w:t>
            </w:r>
          </w:p>
          <w:p w:rsidR="00A34888" w:rsidRPr="00A34888" w:rsidRDefault="00A34888" w:rsidP="00A34888">
            <w:pPr>
              <w:pStyle w:val="ListParagraph"/>
              <w:numPr>
                <w:ilvl w:val="0"/>
                <w:numId w:val="13"/>
              </w:numPr>
              <w:rPr>
                <w:szCs w:val="20"/>
              </w:rPr>
            </w:pPr>
            <w:r w:rsidRPr="00A34888">
              <w:rPr>
                <w:szCs w:val="20"/>
              </w:rPr>
              <w:t>Недостатак предузетничких идеја и иновација</w:t>
            </w:r>
          </w:p>
          <w:p w:rsidR="00F83593" w:rsidRPr="00F83593" w:rsidRDefault="00A34888" w:rsidP="00A34888">
            <w:pPr>
              <w:pStyle w:val="ListParagraph"/>
              <w:numPr>
                <w:ilvl w:val="0"/>
                <w:numId w:val="13"/>
              </w:numPr>
            </w:pPr>
            <w:r w:rsidRPr="00A34888">
              <w:rPr>
                <w:szCs w:val="20"/>
              </w:rPr>
              <w:t>Недостатак вјештина потребних за  писање бизнис плана</w:t>
            </w:r>
          </w:p>
        </w:tc>
      </w:tr>
      <w:tr w:rsidR="00B740A1" w:rsidRPr="006A529A" w:rsidTr="003F38F1">
        <w:trPr>
          <w:trHeight w:val="283"/>
        </w:trPr>
        <w:tc>
          <w:tcPr>
            <w:tcW w:w="4531" w:type="dxa"/>
            <w:shd w:val="clear" w:color="auto" w:fill="B4C6E7" w:themeFill="accent1" w:themeFillTint="66"/>
          </w:tcPr>
          <w:p w:rsidR="00B740A1" w:rsidRPr="006A529A" w:rsidRDefault="007C6393" w:rsidP="006110E3">
            <w:pPr>
              <w:jc w:val="center"/>
            </w:pPr>
            <w:r>
              <w:t>ШАНСЕ/МОГУЋНОСТИ</w:t>
            </w:r>
          </w:p>
        </w:tc>
        <w:tc>
          <w:tcPr>
            <w:tcW w:w="4531" w:type="dxa"/>
            <w:shd w:val="clear" w:color="auto" w:fill="B4C6E7" w:themeFill="accent1" w:themeFillTint="66"/>
          </w:tcPr>
          <w:p w:rsidR="00B740A1" w:rsidRPr="007C6393" w:rsidRDefault="007C6393" w:rsidP="006110E3">
            <w:pPr>
              <w:jc w:val="center"/>
            </w:pPr>
            <w:r>
              <w:t>ПРИЈЕТЊЕ</w:t>
            </w:r>
          </w:p>
        </w:tc>
      </w:tr>
      <w:tr w:rsidR="00B740A1" w:rsidRPr="006A529A" w:rsidTr="006110E3">
        <w:trPr>
          <w:trHeight w:val="1408"/>
        </w:trPr>
        <w:tc>
          <w:tcPr>
            <w:tcW w:w="4531" w:type="dxa"/>
          </w:tcPr>
          <w:p w:rsidR="00E66FDD" w:rsidRDefault="00E66FDD" w:rsidP="00E66FDD">
            <w:pPr>
              <w:pStyle w:val="ListParagraph"/>
              <w:numPr>
                <w:ilvl w:val="0"/>
                <w:numId w:val="12"/>
              </w:numPr>
            </w:pPr>
            <w:r>
              <w:lastRenderedPageBreak/>
              <w:t xml:space="preserve">Нове инвестиције у туризму које доносе нова радна мјеста и поребу за новим зањима и вјештинама (Бјеласица, Комови, Проклетије) </w:t>
            </w:r>
          </w:p>
          <w:p w:rsidR="00E66FDD" w:rsidRDefault="00E66FDD" w:rsidP="00E66FDD">
            <w:pPr>
              <w:pStyle w:val="ListParagraph"/>
              <w:numPr>
                <w:ilvl w:val="0"/>
                <w:numId w:val="12"/>
              </w:numPr>
            </w:pPr>
            <w:r>
              <w:t>Направити препоруку нових занимања која ће бити потребна за реализацију инвестиционих планова</w:t>
            </w:r>
          </w:p>
          <w:p w:rsidR="00E66FDD" w:rsidRDefault="00E66FDD" w:rsidP="00E66FDD">
            <w:pPr>
              <w:pStyle w:val="ListParagraph"/>
              <w:numPr>
                <w:ilvl w:val="0"/>
                <w:numId w:val="12"/>
              </w:numPr>
            </w:pPr>
            <w:r>
              <w:t>Диверзификација економских активности у руралним подручјима</w:t>
            </w:r>
          </w:p>
          <w:p w:rsidR="00E66FDD" w:rsidRDefault="00E66FDD" w:rsidP="00E66FDD">
            <w:pPr>
              <w:pStyle w:val="ListParagraph"/>
              <w:numPr>
                <w:ilvl w:val="0"/>
                <w:numId w:val="12"/>
              </w:numPr>
            </w:pPr>
            <w:r>
              <w:t xml:space="preserve">Повећање улагања у знања, едукацију становништва и повезивање  са тржиштем </w:t>
            </w:r>
          </w:p>
          <w:p w:rsidR="00E66FDD" w:rsidRDefault="00E66FDD" w:rsidP="00E66FDD">
            <w:pPr>
              <w:pStyle w:val="ListParagraph"/>
              <w:numPr>
                <w:ilvl w:val="0"/>
                <w:numId w:val="12"/>
              </w:numPr>
            </w:pPr>
            <w:r>
              <w:t xml:space="preserve">Успостављање локалне телевизије која би пружала информације о могућностима за образовање и запослење  и путем које би се представљали добре праске </w:t>
            </w:r>
          </w:p>
          <w:p w:rsidR="00B740A1" w:rsidRPr="006A529A" w:rsidRDefault="00E66FDD" w:rsidP="00E66FDD">
            <w:pPr>
              <w:pStyle w:val="ListParagraph"/>
              <w:numPr>
                <w:ilvl w:val="0"/>
                <w:numId w:val="12"/>
              </w:numPr>
            </w:pPr>
            <w:r>
              <w:t>Праведнија дистрибуција јавних средстава намијењених за смањење незапослености (више новца у општине са већим бројем незапослених)</w:t>
            </w:r>
          </w:p>
        </w:tc>
        <w:tc>
          <w:tcPr>
            <w:tcW w:w="4531" w:type="dxa"/>
          </w:tcPr>
          <w:p w:rsidR="00B740A1" w:rsidRPr="006A529A" w:rsidRDefault="00E66FDD" w:rsidP="000806C3">
            <w:pPr>
              <w:pStyle w:val="ListParagraph"/>
              <w:numPr>
                <w:ilvl w:val="0"/>
                <w:numId w:val="14"/>
              </w:numPr>
            </w:pPr>
            <w:r>
              <w:t>Пандемија</w:t>
            </w:r>
          </w:p>
          <w:p w:rsidR="00B740A1" w:rsidRPr="006A529A" w:rsidRDefault="00B740A1" w:rsidP="000806C3">
            <w:pPr>
              <w:pStyle w:val="ListParagraph"/>
              <w:ind w:left="1800"/>
            </w:pPr>
          </w:p>
          <w:p w:rsidR="00B740A1" w:rsidRPr="006A529A" w:rsidRDefault="00B740A1" w:rsidP="000806C3"/>
        </w:tc>
      </w:tr>
    </w:tbl>
    <w:p w:rsidR="00B740A1" w:rsidRPr="006A529A" w:rsidRDefault="00B740A1" w:rsidP="000806C3">
      <w:pPr>
        <w:rPr>
          <w:b/>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9067"/>
      </w:tblGrid>
      <w:tr w:rsidR="003E69BE" w:rsidTr="003F38F1">
        <w:tc>
          <w:tcPr>
            <w:tcW w:w="9067" w:type="dxa"/>
            <w:shd w:val="clear" w:color="auto" w:fill="D9D9D9" w:themeFill="background1" w:themeFillShade="D9"/>
          </w:tcPr>
          <w:p w:rsidR="003E69BE" w:rsidRDefault="004F23EA" w:rsidP="000806C3">
            <w:pPr>
              <w:rPr>
                <w:bCs/>
                <w:szCs w:val="20"/>
              </w:rPr>
            </w:pPr>
            <w:r>
              <w:rPr>
                <w:bCs/>
                <w:szCs w:val="20"/>
              </w:rPr>
              <w:t>ПР</w:t>
            </w:r>
            <w:r w:rsidRPr="004F23EA">
              <w:rPr>
                <w:bCs/>
                <w:szCs w:val="20"/>
              </w:rPr>
              <w:t>ЕДЛОЗИ ЗА УНАПРЕЂЕЊЕ У ПОГЛЕДУ ЗНАЊА И ВЈЕШТИНА РАДНЕ СНАГЕ</w:t>
            </w:r>
          </w:p>
        </w:tc>
      </w:tr>
      <w:tr w:rsidR="003E69BE" w:rsidTr="003F38F1">
        <w:tc>
          <w:tcPr>
            <w:tcW w:w="9067" w:type="dxa"/>
          </w:tcPr>
          <w:p w:rsidR="004F23EA" w:rsidRPr="004F23EA" w:rsidRDefault="004F23EA" w:rsidP="004F23EA">
            <w:pPr>
              <w:pStyle w:val="ListParagraph"/>
              <w:numPr>
                <w:ilvl w:val="0"/>
                <w:numId w:val="16"/>
              </w:numPr>
              <w:ind w:left="449" w:hanging="425"/>
              <w:rPr>
                <w:szCs w:val="20"/>
              </w:rPr>
            </w:pPr>
            <w:r w:rsidRPr="004F23EA">
              <w:rPr>
                <w:szCs w:val="20"/>
              </w:rPr>
              <w:t>Унаприједити промоцију постојећих програма образовања одраслих</w:t>
            </w:r>
          </w:p>
          <w:p w:rsidR="004F23EA" w:rsidRPr="004F23EA" w:rsidRDefault="004F23EA" w:rsidP="004F23EA">
            <w:pPr>
              <w:pStyle w:val="ListParagraph"/>
              <w:numPr>
                <w:ilvl w:val="0"/>
                <w:numId w:val="16"/>
              </w:numPr>
              <w:ind w:left="449" w:hanging="425"/>
              <w:rPr>
                <w:szCs w:val="20"/>
              </w:rPr>
            </w:pPr>
            <w:r w:rsidRPr="004F23EA">
              <w:rPr>
                <w:szCs w:val="20"/>
              </w:rPr>
              <w:t xml:space="preserve">Јачање мотивације незапослених лица да активно користе расположиве могућности за образовање и запошљавање  </w:t>
            </w:r>
          </w:p>
          <w:p w:rsidR="004F23EA" w:rsidRPr="004F23EA" w:rsidRDefault="004F23EA" w:rsidP="004F23EA">
            <w:pPr>
              <w:pStyle w:val="ListParagraph"/>
              <w:numPr>
                <w:ilvl w:val="0"/>
                <w:numId w:val="16"/>
              </w:numPr>
              <w:ind w:left="449" w:hanging="425"/>
              <w:rPr>
                <w:szCs w:val="20"/>
              </w:rPr>
            </w:pPr>
            <w:r w:rsidRPr="004F23EA">
              <w:rPr>
                <w:szCs w:val="20"/>
              </w:rPr>
              <w:t xml:space="preserve">Подстицање предузетништва у школама </w:t>
            </w:r>
          </w:p>
          <w:p w:rsidR="004F23EA" w:rsidRPr="004F23EA" w:rsidRDefault="004F23EA" w:rsidP="004F23EA">
            <w:pPr>
              <w:pStyle w:val="ListParagraph"/>
              <w:numPr>
                <w:ilvl w:val="0"/>
                <w:numId w:val="16"/>
              </w:numPr>
              <w:ind w:left="449" w:hanging="425"/>
              <w:rPr>
                <w:szCs w:val="20"/>
              </w:rPr>
            </w:pPr>
            <w:r w:rsidRPr="004F23EA">
              <w:rPr>
                <w:szCs w:val="20"/>
              </w:rPr>
              <w:t xml:space="preserve">Подстицање и генерисање нових предузетничких идеја </w:t>
            </w:r>
          </w:p>
          <w:p w:rsidR="004F23EA" w:rsidRPr="004F23EA" w:rsidRDefault="004F23EA" w:rsidP="004F23EA">
            <w:pPr>
              <w:pStyle w:val="ListParagraph"/>
              <w:numPr>
                <w:ilvl w:val="0"/>
                <w:numId w:val="16"/>
              </w:numPr>
              <w:ind w:left="449" w:hanging="425"/>
              <w:rPr>
                <w:szCs w:val="20"/>
              </w:rPr>
            </w:pPr>
            <w:r w:rsidRPr="004F23EA">
              <w:rPr>
                <w:szCs w:val="20"/>
              </w:rPr>
              <w:t>Формирање омладинских задруга (запошљавање студената)</w:t>
            </w:r>
          </w:p>
          <w:p w:rsidR="004F23EA" w:rsidRPr="004F23EA" w:rsidRDefault="004F23EA" w:rsidP="004F23EA">
            <w:pPr>
              <w:pStyle w:val="ListParagraph"/>
              <w:numPr>
                <w:ilvl w:val="0"/>
                <w:numId w:val="16"/>
              </w:numPr>
              <w:ind w:left="449" w:hanging="425"/>
              <w:rPr>
                <w:szCs w:val="20"/>
              </w:rPr>
            </w:pPr>
            <w:r w:rsidRPr="004F23EA">
              <w:rPr>
                <w:szCs w:val="20"/>
              </w:rPr>
              <w:t>Пратити и анализирати потребе послодаваца у смислу занимања, посебних знања и вјештина и слично како би се послодавцима обезбиједила адекватна радна снага</w:t>
            </w:r>
          </w:p>
          <w:p w:rsidR="004F23EA" w:rsidRPr="004F23EA" w:rsidRDefault="004F23EA" w:rsidP="004F23EA">
            <w:pPr>
              <w:pStyle w:val="ListParagraph"/>
              <w:numPr>
                <w:ilvl w:val="0"/>
                <w:numId w:val="16"/>
              </w:numPr>
              <w:ind w:left="449" w:hanging="425"/>
              <w:rPr>
                <w:szCs w:val="20"/>
              </w:rPr>
            </w:pPr>
            <w:r w:rsidRPr="004F23EA">
              <w:rPr>
                <w:szCs w:val="20"/>
              </w:rPr>
              <w:t>Организовати одговарајуће програме доквалификације, преквалификације, иновирања знања, стручног оспособљавања и обука да би се послодавцима понудио одговарајући кадар</w:t>
            </w:r>
          </w:p>
          <w:p w:rsidR="004F23EA" w:rsidRPr="004F23EA" w:rsidRDefault="004F23EA" w:rsidP="004F23EA">
            <w:pPr>
              <w:pStyle w:val="ListParagraph"/>
              <w:numPr>
                <w:ilvl w:val="0"/>
                <w:numId w:val="16"/>
              </w:numPr>
              <w:ind w:left="449" w:hanging="425"/>
              <w:rPr>
                <w:szCs w:val="20"/>
              </w:rPr>
            </w:pPr>
            <w:r w:rsidRPr="004F23EA">
              <w:rPr>
                <w:szCs w:val="20"/>
              </w:rPr>
              <w:t>Спроводити мјере за превенцију потенцијалне незапослености</w:t>
            </w:r>
          </w:p>
          <w:p w:rsidR="004F23EA" w:rsidRPr="004F23EA" w:rsidRDefault="004F23EA" w:rsidP="004F23EA">
            <w:pPr>
              <w:pStyle w:val="ListParagraph"/>
              <w:numPr>
                <w:ilvl w:val="0"/>
                <w:numId w:val="16"/>
              </w:numPr>
              <w:ind w:left="449" w:hanging="425"/>
              <w:rPr>
                <w:szCs w:val="20"/>
              </w:rPr>
            </w:pPr>
            <w:r w:rsidRPr="004F23EA">
              <w:rPr>
                <w:szCs w:val="20"/>
              </w:rPr>
              <w:t>Неопходна је реформа стручног образовања у Црној Гори у складу са потребама послодаваца, подизање нивоа квалитета образовања и повећање уђела практичне наставе</w:t>
            </w:r>
          </w:p>
          <w:p w:rsidR="004F23EA" w:rsidRPr="004F23EA" w:rsidRDefault="004F23EA" w:rsidP="004F23EA">
            <w:pPr>
              <w:ind w:left="24"/>
              <w:contextualSpacing/>
              <w:rPr>
                <w:szCs w:val="20"/>
              </w:rPr>
            </w:pPr>
            <w:r>
              <w:rPr>
                <w:szCs w:val="20"/>
              </w:rPr>
              <w:t xml:space="preserve">10.    </w:t>
            </w:r>
            <w:r w:rsidRPr="004F23EA">
              <w:rPr>
                <w:szCs w:val="20"/>
              </w:rPr>
              <w:t>Промовисати сезонско запошљавање:</w:t>
            </w:r>
          </w:p>
          <w:p w:rsidR="004F23EA" w:rsidRPr="004F23EA" w:rsidRDefault="004F23EA" w:rsidP="004F23EA">
            <w:pPr>
              <w:contextualSpacing/>
              <w:rPr>
                <w:rFonts w:eastAsiaTheme="minorEastAsia" w:cstheme="minorBidi"/>
                <w:color w:val="000000" w:themeColor="text1"/>
                <w:kern w:val="24"/>
                <w:szCs w:val="20"/>
              </w:rPr>
            </w:pPr>
            <w:r>
              <w:rPr>
                <w:szCs w:val="20"/>
              </w:rPr>
              <w:t xml:space="preserve">-         </w:t>
            </w:r>
            <w:r w:rsidRPr="004F23EA">
              <w:rPr>
                <w:rFonts w:eastAsiaTheme="minorEastAsia" w:cstheme="minorBidi"/>
                <w:color w:val="000000" w:themeColor="text1"/>
                <w:kern w:val="24"/>
                <w:szCs w:val="20"/>
              </w:rPr>
              <w:t>У средњим школама и на факултетима</w:t>
            </w:r>
          </w:p>
          <w:p w:rsidR="004F23EA" w:rsidRPr="004F23EA" w:rsidRDefault="004F23EA" w:rsidP="004F23EA">
            <w:pPr>
              <w:contextualSpacing/>
              <w:rPr>
                <w:rFonts w:eastAsiaTheme="minorEastAsia" w:cstheme="minorBidi"/>
                <w:color w:val="000000" w:themeColor="text1"/>
                <w:kern w:val="24"/>
                <w:szCs w:val="20"/>
              </w:rPr>
            </w:pPr>
            <w:r>
              <w:rPr>
                <w:rFonts w:eastAsiaTheme="minorEastAsia" w:cstheme="minorBidi"/>
                <w:color w:val="000000" w:themeColor="text1"/>
                <w:kern w:val="24"/>
                <w:szCs w:val="20"/>
              </w:rPr>
              <w:t xml:space="preserve">-         </w:t>
            </w:r>
            <w:r w:rsidRPr="004F23EA">
              <w:rPr>
                <w:rFonts w:eastAsiaTheme="minorEastAsia" w:cstheme="minorBidi"/>
                <w:color w:val="000000" w:themeColor="text1"/>
                <w:kern w:val="24"/>
                <w:szCs w:val="20"/>
              </w:rPr>
              <w:t>Омогућити младима одговарајућу обуку</w:t>
            </w:r>
          </w:p>
          <w:p w:rsidR="004F23EA" w:rsidRPr="004F23EA" w:rsidRDefault="004F23EA" w:rsidP="004F23EA">
            <w:pPr>
              <w:contextualSpacing/>
              <w:rPr>
                <w:rFonts w:eastAsiaTheme="minorEastAsia" w:cstheme="minorBidi"/>
                <w:color w:val="000000" w:themeColor="text1"/>
                <w:kern w:val="24"/>
                <w:szCs w:val="20"/>
              </w:rPr>
            </w:pPr>
            <w:r>
              <w:rPr>
                <w:rFonts w:eastAsiaTheme="minorEastAsia" w:cstheme="minorBidi"/>
                <w:color w:val="000000" w:themeColor="text1"/>
                <w:kern w:val="24"/>
                <w:szCs w:val="20"/>
              </w:rPr>
              <w:t xml:space="preserve">-         </w:t>
            </w:r>
            <w:r w:rsidRPr="004F23EA">
              <w:rPr>
                <w:rFonts w:eastAsiaTheme="minorEastAsia" w:cstheme="minorBidi"/>
                <w:color w:val="000000" w:themeColor="text1"/>
                <w:kern w:val="24"/>
                <w:szCs w:val="20"/>
              </w:rPr>
              <w:t>Мотивисати младе на стицање практичних знања и вјештина и радног искуства кроз сезонски рад</w:t>
            </w:r>
          </w:p>
          <w:p w:rsidR="003E69BE" w:rsidRDefault="004F23EA" w:rsidP="004F23EA">
            <w:pPr>
              <w:contextualSpacing/>
              <w:rPr>
                <w:bCs/>
                <w:szCs w:val="20"/>
              </w:rPr>
            </w:pPr>
            <w:r>
              <w:rPr>
                <w:rFonts w:eastAsiaTheme="minorEastAsia" w:cstheme="minorBidi"/>
                <w:color w:val="000000" w:themeColor="text1"/>
                <w:kern w:val="24"/>
                <w:szCs w:val="20"/>
              </w:rPr>
              <w:t xml:space="preserve">-         </w:t>
            </w:r>
            <w:r w:rsidRPr="004F23EA">
              <w:rPr>
                <w:rFonts w:eastAsiaTheme="minorEastAsia" w:cstheme="minorBidi"/>
                <w:color w:val="000000" w:themeColor="text1"/>
                <w:kern w:val="24"/>
                <w:szCs w:val="20"/>
              </w:rPr>
              <w:t>Формирати поново Омладинске задруге како би се ученици и студенти запошљавали под повлашћеним условима</w:t>
            </w:r>
          </w:p>
        </w:tc>
      </w:tr>
    </w:tbl>
    <w:p w:rsidR="003E69BE" w:rsidRDefault="003E69BE" w:rsidP="000806C3">
      <w:pPr>
        <w:rPr>
          <w:bCs/>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9067"/>
      </w:tblGrid>
      <w:tr w:rsidR="003F38F1" w:rsidTr="003F38F1">
        <w:tc>
          <w:tcPr>
            <w:tcW w:w="9067" w:type="dxa"/>
            <w:shd w:val="clear" w:color="auto" w:fill="D9D9D9" w:themeFill="background1" w:themeFillShade="D9"/>
          </w:tcPr>
          <w:p w:rsidR="003F38F1" w:rsidRPr="004F23EA" w:rsidRDefault="003F38F1" w:rsidP="00F960A0">
            <w:pPr>
              <w:shd w:val="clear" w:color="auto" w:fill="D9D9D9" w:themeFill="background1" w:themeFillShade="D9"/>
              <w:rPr>
                <w:bCs/>
                <w:szCs w:val="20"/>
              </w:rPr>
            </w:pPr>
            <w:bookmarkStart w:id="60" w:name="_Toc52644740"/>
            <w:r w:rsidRPr="00F83593">
              <w:rPr>
                <w:bCs/>
                <w:szCs w:val="20"/>
              </w:rPr>
              <w:t>K</w:t>
            </w:r>
            <w:r w:rsidR="004F23EA">
              <w:rPr>
                <w:bCs/>
                <w:szCs w:val="20"/>
              </w:rPr>
              <w:t>ЉУЧНИ ИЗАЗОВИ</w:t>
            </w:r>
          </w:p>
        </w:tc>
      </w:tr>
      <w:tr w:rsidR="003F38F1" w:rsidTr="003F38F1">
        <w:tc>
          <w:tcPr>
            <w:tcW w:w="9067" w:type="dxa"/>
          </w:tcPr>
          <w:p w:rsidR="003F38F1" w:rsidRPr="003F38F1" w:rsidRDefault="004F23EA" w:rsidP="003F38F1">
            <w:pPr>
              <w:pStyle w:val="ListParagraph"/>
              <w:numPr>
                <w:ilvl w:val="0"/>
                <w:numId w:val="34"/>
              </w:numPr>
              <w:rPr>
                <w:bCs/>
                <w:szCs w:val="20"/>
              </w:rPr>
            </w:pPr>
            <w:r>
              <w:rPr>
                <w:szCs w:val="20"/>
              </w:rPr>
              <w:t>Пандемија.</w:t>
            </w:r>
          </w:p>
        </w:tc>
      </w:tr>
    </w:tbl>
    <w:p w:rsidR="007D03B3" w:rsidRPr="00F83593" w:rsidRDefault="007D03B3" w:rsidP="000806C3">
      <w:pPr>
        <w:rPr>
          <w:bCs/>
          <w:szCs w:val="20"/>
        </w:rPr>
      </w:pPr>
    </w:p>
    <w:p w:rsidR="00F960A0" w:rsidRDefault="00F960A0">
      <w:pPr>
        <w:rPr>
          <w:rFonts w:eastAsiaTheme="majorEastAsia" w:cstheme="majorBidi"/>
          <w:b/>
          <w:color w:val="2F5496" w:themeColor="accent1" w:themeShade="BF"/>
          <w:sz w:val="24"/>
          <w:szCs w:val="26"/>
        </w:rPr>
      </w:pPr>
      <w:r>
        <w:br w:type="page"/>
      </w:r>
    </w:p>
    <w:p w:rsidR="00A75196" w:rsidRPr="006A529A" w:rsidRDefault="00A75196" w:rsidP="000806C3">
      <w:pPr>
        <w:pStyle w:val="Heading2"/>
        <w:spacing w:before="0"/>
      </w:pPr>
      <w:bookmarkStart w:id="61" w:name="_Toc74296656"/>
      <w:r w:rsidRPr="006A529A">
        <w:lastRenderedPageBreak/>
        <w:t xml:space="preserve">4.3 </w:t>
      </w:r>
      <w:bookmarkEnd w:id="60"/>
      <w:r w:rsidR="004F23EA" w:rsidRPr="004F23EA">
        <w:t>Социјална инклузија/социјална искљученост на локалном тржишту рада</w:t>
      </w:r>
      <w:bookmarkEnd w:id="61"/>
    </w:p>
    <w:p w:rsidR="00A75196" w:rsidRPr="006A529A" w:rsidRDefault="00A75196" w:rsidP="000806C3">
      <w:pPr>
        <w:rPr>
          <w:b/>
          <w:highlight w:val="yellow"/>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4531"/>
        <w:gridCol w:w="4531"/>
      </w:tblGrid>
      <w:tr w:rsidR="007D03B3" w:rsidRPr="006A529A" w:rsidTr="00F960A0">
        <w:trPr>
          <w:trHeight w:val="320"/>
        </w:trPr>
        <w:tc>
          <w:tcPr>
            <w:tcW w:w="4531" w:type="dxa"/>
            <w:shd w:val="clear" w:color="auto" w:fill="B4C6E7" w:themeFill="accent1" w:themeFillTint="66"/>
          </w:tcPr>
          <w:p w:rsidR="007D03B3" w:rsidRPr="004F23EA" w:rsidRDefault="004F23EA" w:rsidP="000806C3">
            <w:pPr>
              <w:jc w:val="center"/>
            </w:pPr>
            <w:r>
              <w:t>ПРЕДНОСТИ</w:t>
            </w:r>
          </w:p>
        </w:tc>
        <w:tc>
          <w:tcPr>
            <w:tcW w:w="4531" w:type="dxa"/>
            <w:shd w:val="clear" w:color="auto" w:fill="B4C6E7" w:themeFill="accent1" w:themeFillTint="66"/>
          </w:tcPr>
          <w:p w:rsidR="007D03B3" w:rsidRPr="004F23EA" w:rsidRDefault="004F23EA" w:rsidP="000806C3">
            <w:pPr>
              <w:jc w:val="center"/>
            </w:pPr>
            <w:r>
              <w:t>СЛАБОСТ</w:t>
            </w:r>
          </w:p>
        </w:tc>
      </w:tr>
      <w:tr w:rsidR="007D03B3" w:rsidRPr="006A529A" w:rsidTr="006110E3">
        <w:trPr>
          <w:trHeight w:val="693"/>
        </w:trPr>
        <w:tc>
          <w:tcPr>
            <w:tcW w:w="4531" w:type="dxa"/>
          </w:tcPr>
          <w:p w:rsidR="00605648" w:rsidRDefault="00605648" w:rsidP="00605648">
            <w:pPr>
              <w:pStyle w:val="ListParagraph"/>
              <w:numPr>
                <w:ilvl w:val="0"/>
                <w:numId w:val="18"/>
              </w:numPr>
              <w:jc w:val="both"/>
            </w:pPr>
            <w:r>
              <w:t xml:space="preserve">Подаци о незапослености и о лицима у неповољном положају на тржишту рада као предуслов за добро планирање </w:t>
            </w:r>
          </w:p>
          <w:p w:rsidR="00605648" w:rsidRPr="00605648" w:rsidRDefault="00605648" w:rsidP="00605648">
            <w:pPr>
              <w:pStyle w:val="ListParagraph"/>
              <w:numPr>
                <w:ilvl w:val="0"/>
                <w:numId w:val="18"/>
              </w:numPr>
              <w:jc w:val="both"/>
            </w:pPr>
            <w:r>
              <w:t>Стратешки оквир (Локални план активности за постизање родне равноправности у општини Беране за период 2019-2022; Локални акциони план за младе 2020-2021; Локални Акциони план за социјалну инклузију Рома и Египћана (2019-2023)</w:t>
            </w:r>
          </w:p>
          <w:p w:rsidR="007D03B3" w:rsidRPr="006A529A" w:rsidRDefault="00605648" w:rsidP="000806C3">
            <w:pPr>
              <w:pStyle w:val="ListParagraph"/>
              <w:numPr>
                <w:ilvl w:val="0"/>
                <w:numId w:val="18"/>
              </w:numPr>
              <w:jc w:val="both"/>
            </w:pPr>
            <w:r>
              <w:t>Институције</w:t>
            </w:r>
            <w:r w:rsidR="007D03B3" w:rsidRPr="006A529A">
              <w:t xml:space="preserve"> (CSR, ZZZCG)</w:t>
            </w:r>
          </w:p>
          <w:p w:rsidR="00605648" w:rsidRDefault="00605648" w:rsidP="00605648">
            <w:pPr>
              <w:pStyle w:val="ListParagraph"/>
              <w:numPr>
                <w:ilvl w:val="0"/>
                <w:numId w:val="18"/>
              </w:numPr>
              <w:jc w:val="both"/>
            </w:pPr>
            <w:r>
              <w:t xml:space="preserve">РБЦ и Бизнис зона и стимулативне мјере  подршке за нова радна мјеста  (простор, комуналије, повлашћене цијене за пословање...) </w:t>
            </w:r>
          </w:p>
          <w:p w:rsidR="00605648" w:rsidRDefault="00605648" w:rsidP="00605648">
            <w:pPr>
              <w:pStyle w:val="ListParagraph"/>
              <w:numPr>
                <w:ilvl w:val="0"/>
                <w:numId w:val="18"/>
              </w:numPr>
              <w:jc w:val="both"/>
            </w:pPr>
            <w:r>
              <w:t xml:space="preserve">Мјере подршке  кроз Агробуџет за пољопривреду: </w:t>
            </w:r>
            <w:r>
              <w:rPr>
                <w:lang w:val="en-US"/>
              </w:rPr>
              <w:t>i</w:t>
            </w:r>
            <w:r>
              <w:t>) подршка за развој сточарства/расподјела стоке; и II) Подјела садница воћа;  II) Мјере за ублажавање посљедица од Ковид-а (расподјела сјеменског материјала);</w:t>
            </w:r>
          </w:p>
          <w:p w:rsidR="00605648" w:rsidRPr="00605648" w:rsidRDefault="00605648" w:rsidP="000806C3">
            <w:pPr>
              <w:pStyle w:val="ListParagraph"/>
              <w:numPr>
                <w:ilvl w:val="0"/>
                <w:numId w:val="18"/>
              </w:numPr>
              <w:jc w:val="both"/>
            </w:pPr>
            <w:r w:rsidRPr="00605648">
              <w:t xml:space="preserve">Пројекат „Норвешка за вас“ – подршка за пољопривреднике </w:t>
            </w:r>
          </w:p>
          <w:p w:rsidR="007D03B3" w:rsidRPr="006A529A" w:rsidRDefault="007D03B3" w:rsidP="000806C3">
            <w:pPr>
              <w:pStyle w:val="ListParagraph"/>
              <w:numPr>
                <w:ilvl w:val="0"/>
                <w:numId w:val="18"/>
              </w:numPr>
              <w:jc w:val="both"/>
            </w:pPr>
            <w:r w:rsidRPr="006A529A">
              <w:t xml:space="preserve">IPARD </w:t>
            </w:r>
            <w:r w:rsidR="00605648" w:rsidRPr="00605648">
              <w:t>(суфинансирање инфраструктуре, подршка кластерима)</w:t>
            </w:r>
          </w:p>
          <w:p w:rsidR="00605648" w:rsidRPr="00605648" w:rsidRDefault="00605648" w:rsidP="000806C3">
            <w:pPr>
              <w:pStyle w:val="ListParagraph"/>
              <w:numPr>
                <w:ilvl w:val="0"/>
                <w:numId w:val="18"/>
              </w:numPr>
              <w:jc w:val="both"/>
            </w:pPr>
            <w:r w:rsidRPr="00605648">
              <w:t>Кластери (кластер сточарства и кластер сјеменског кромпира, потенцијално и кластер бобичастог воћа)</w:t>
            </w:r>
          </w:p>
          <w:p w:rsidR="00605648" w:rsidRPr="00605648" w:rsidRDefault="00605648" w:rsidP="000806C3">
            <w:pPr>
              <w:pStyle w:val="ListParagraph"/>
              <w:numPr>
                <w:ilvl w:val="0"/>
                <w:numId w:val="18"/>
              </w:numPr>
              <w:jc w:val="both"/>
            </w:pPr>
            <w:r>
              <w:t>Пројекти</w:t>
            </w:r>
            <w:r w:rsidR="007D03B3" w:rsidRPr="006A529A">
              <w:t xml:space="preserve"> RRA</w:t>
            </w:r>
          </w:p>
          <w:p w:rsidR="006711DE" w:rsidRPr="006A529A" w:rsidRDefault="00605648" w:rsidP="000806C3">
            <w:pPr>
              <w:pStyle w:val="ListParagraph"/>
              <w:numPr>
                <w:ilvl w:val="0"/>
                <w:numId w:val="18"/>
              </w:numPr>
              <w:jc w:val="both"/>
            </w:pPr>
            <w:r w:rsidRPr="00605648">
              <w:t>Организације за образовање одраслих на територији општине</w:t>
            </w:r>
          </w:p>
        </w:tc>
        <w:tc>
          <w:tcPr>
            <w:tcW w:w="4531" w:type="dxa"/>
          </w:tcPr>
          <w:p w:rsidR="00605648" w:rsidRDefault="00605648" w:rsidP="00605648">
            <w:pPr>
              <w:pStyle w:val="ListParagraph"/>
              <w:numPr>
                <w:ilvl w:val="0"/>
                <w:numId w:val="4"/>
              </w:numPr>
            </w:pPr>
            <w:r>
              <w:t>Неусклађеност образовања са потребама тржишта рада</w:t>
            </w:r>
          </w:p>
          <w:p w:rsidR="00605648" w:rsidRDefault="00605648" w:rsidP="00605648">
            <w:pPr>
              <w:pStyle w:val="ListParagraph"/>
              <w:numPr>
                <w:ilvl w:val="0"/>
                <w:numId w:val="4"/>
              </w:numPr>
            </w:pPr>
            <w:r>
              <w:t>Велик број неквалификованих лица</w:t>
            </w:r>
          </w:p>
          <w:p w:rsidR="00605648" w:rsidRDefault="00605648" w:rsidP="00605648">
            <w:pPr>
              <w:pStyle w:val="ListParagraph"/>
              <w:numPr>
                <w:ilvl w:val="0"/>
                <w:numId w:val="4"/>
              </w:numPr>
            </w:pPr>
            <w:r>
              <w:t>Премали обухват ЛСИ мјерама Фонда за професионалну рехабилитацију и запошљавање лица са инвалидитетом</w:t>
            </w:r>
          </w:p>
          <w:p w:rsidR="00605648" w:rsidRDefault="00605648" w:rsidP="00605648">
            <w:pPr>
              <w:pStyle w:val="ListParagraph"/>
              <w:numPr>
                <w:ilvl w:val="0"/>
                <w:numId w:val="4"/>
              </w:numPr>
            </w:pPr>
            <w:r>
              <w:t>Велик обим неквалификованих лица у структури незапослених</w:t>
            </w:r>
          </w:p>
          <w:p w:rsidR="00605648" w:rsidRDefault="00605648" w:rsidP="00605648">
            <w:pPr>
              <w:pStyle w:val="ListParagraph"/>
              <w:numPr>
                <w:ilvl w:val="0"/>
                <w:numId w:val="4"/>
              </w:numPr>
            </w:pPr>
            <w:r>
              <w:t>Немотивисаност незапослених  лица</w:t>
            </w:r>
          </w:p>
          <w:p w:rsidR="00605648" w:rsidRDefault="00605648" w:rsidP="00605648">
            <w:pPr>
              <w:pStyle w:val="ListParagraph"/>
              <w:numPr>
                <w:ilvl w:val="0"/>
                <w:numId w:val="4"/>
              </w:numPr>
            </w:pPr>
            <w:r>
              <w:t>Ниске зараде</w:t>
            </w:r>
          </w:p>
          <w:p w:rsidR="00605648" w:rsidRDefault="00605648" w:rsidP="00605648">
            <w:pPr>
              <w:pStyle w:val="ListParagraph"/>
              <w:numPr>
                <w:ilvl w:val="0"/>
                <w:numId w:val="4"/>
              </w:numPr>
            </w:pPr>
            <w:r>
              <w:t>Сива економија и рад на црно</w:t>
            </w:r>
          </w:p>
          <w:p w:rsidR="00605648" w:rsidRDefault="00605648" w:rsidP="00605648">
            <w:pPr>
              <w:pStyle w:val="ListParagraph"/>
              <w:numPr>
                <w:ilvl w:val="0"/>
                <w:numId w:val="4"/>
              </w:numPr>
            </w:pPr>
            <w:r>
              <w:t xml:space="preserve">Велики број информатички неписмених лица </w:t>
            </w:r>
          </w:p>
          <w:p w:rsidR="00605648" w:rsidRDefault="00605648" w:rsidP="00605648">
            <w:pPr>
              <w:pStyle w:val="ListParagraph"/>
              <w:numPr>
                <w:ilvl w:val="0"/>
                <w:numId w:val="4"/>
              </w:numPr>
            </w:pPr>
            <w:r>
              <w:t>Лоша покривеност интернетом/оптичким каблом у сеоским подручјима</w:t>
            </w:r>
          </w:p>
          <w:p w:rsidR="00605648" w:rsidRDefault="00605648" w:rsidP="00605648">
            <w:pPr>
              <w:pStyle w:val="ListParagraph"/>
              <w:numPr>
                <w:ilvl w:val="0"/>
                <w:numId w:val="4"/>
              </w:numPr>
            </w:pPr>
            <w:r>
              <w:t>Слаба инфраструктура и неорганизован јавни превоз у сеоским подручјима</w:t>
            </w:r>
          </w:p>
          <w:p w:rsidR="00605648" w:rsidRDefault="00605648" w:rsidP="00605648">
            <w:pPr>
              <w:pStyle w:val="ListParagraph"/>
              <w:numPr>
                <w:ilvl w:val="0"/>
                <w:numId w:val="4"/>
              </w:numPr>
            </w:pPr>
            <w:r>
              <w:t>Слаба информисаност лица из сеоских подручја о могућностима за образовање и запошљавање</w:t>
            </w:r>
          </w:p>
          <w:p w:rsidR="00605648" w:rsidRDefault="00605648" w:rsidP="00605648">
            <w:pPr>
              <w:pStyle w:val="ListParagraph"/>
              <w:numPr>
                <w:ilvl w:val="0"/>
                <w:numId w:val="4"/>
              </w:numPr>
            </w:pPr>
            <w:r>
              <w:t>Дугорочна незапосленост</w:t>
            </w:r>
          </w:p>
          <w:p w:rsidR="00605648" w:rsidRPr="00605648" w:rsidRDefault="00605648" w:rsidP="00605648">
            <w:pPr>
              <w:pStyle w:val="ListParagraph"/>
              <w:numPr>
                <w:ilvl w:val="0"/>
                <w:numId w:val="4"/>
              </w:numPr>
            </w:pPr>
            <w:r>
              <w:t>Неповољна демографска структура</w:t>
            </w:r>
          </w:p>
          <w:p w:rsidR="007D03B3" w:rsidRPr="006A529A" w:rsidRDefault="00605648" w:rsidP="00605648">
            <w:pPr>
              <w:pStyle w:val="ListParagraph"/>
              <w:numPr>
                <w:ilvl w:val="0"/>
                <w:numId w:val="4"/>
              </w:numPr>
            </w:pPr>
            <w:r>
              <w:t>Велики број лица са инвалидитетом</w:t>
            </w:r>
          </w:p>
        </w:tc>
      </w:tr>
      <w:tr w:rsidR="007D03B3" w:rsidRPr="006A529A" w:rsidTr="003F38F1">
        <w:tc>
          <w:tcPr>
            <w:tcW w:w="4531" w:type="dxa"/>
            <w:shd w:val="clear" w:color="auto" w:fill="B4C6E7" w:themeFill="accent1" w:themeFillTint="66"/>
          </w:tcPr>
          <w:p w:rsidR="007D03B3" w:rsidRPr="00605648" w:rsidRDefault="00605648" w:rsidP="000806C3">
            <w:pPr>
              <w:jc w:val="center"/>
            </w:pPr>
            <w:r>
              <w:t>ШАНСЕ/МОГУЋНОСТИ</w:t>
            </w:r>
          </w:p>
        </w:tc>
        <w:tc>
          <w:tcPr>
            <w:tcW w:w="4531" w:type="dxa"/>
            <w:shd w:val="clear" w:color="auto" w:fill="B4C6E7" w:themeFill="accent1" w:themeFillTint="66"/>
          </w:tcPr>
          <w:p w:rsidR="007D03B3" w:rsidRPr="00605648" w:rsidRDefault="00605648" w:rsidP="000806C3">
            <w:pPr>
              <w:jc w:val="center"/>
            </w:pPr>
            <w:r>
              <w:t>ПРИЈЕТЊЕ</w:t>
            </w:r>
          </w:p>
        </w:tc>
      </w:tr>
      <w:tr w:rsidR="007D03B3" w:rsidRPr="006A529A" w:rsidTr="006110E3">
        <w:trPr>
          <w:trHeight w:val="547"/>
        </w:trPr>
        <w:tc>
          <w:tcPr>
            <w:tcW w:w="4531" w:type="dxa"/>
          </w:tcPr>
          <w:p w:rsidR="00605648" w:rsidRDefault="00605648" w:rsidP="00605648">
            <w:pPr>
              <w:pStyle w:val="ListParagraph"/>
              <w:numPr>
                <w:ilvl w:val="0"/>
                <w:numId w:val="19"/>
              </w:numPr>
              <w:jc w:val="both"/>
            </w:pPr>
            <w:r>
              <w:t>Пројекти из националних, ЕУ и других фондова</w:t>
            </w:r>
          </w:p>
          <w:p w:rsidR="00605648" w:rsidRDefault="00605648" w:rsidP="00605648">
            <w:pPr>
              <w:pStyle w:val="ListParagraph"/>
              <w:numPr>
                <w:ilvl w:val="0"/>
                <w:numId w:val="19"/>
              </w:numPr>
              <w:jc w:val="both"/>
            </w:pPr>
            <w:r>
              <w:t xml:space="preserve">Нове мјере подршке које би пружала општина </w:t>
            </w:r>
          </w:p>
          <w:p w:rsidR="007D03B3" w:rsidRPr="006A529A" w:rsidRDefault="00605648" w:rsidP="00605648">
            <w:pPr>
              <w:pStyle w:val="ListParagraph"/>
              <w:numPr>
                <w:ilvl w:val="0"/>
                <w:numId w:val="19"/>
              </w:numPr>
              <w:jc w:val="both"/>
            </w:pPr>
            <w:r>
              <w:t>Мјере</w:t>
            </w:r>
            <w:r w:rsidRPr="006A529A">
              <w:t xml:space="preserve"> </w:t>
            </w:r>
            <w:r w:rsidR="007D03B3" w:rsidRPr="006A529A">
              <w:t xml:space="preserve">APZ  </w:t>
            </w:r>
          </w:p>
          <w:p w:rsidR="007D03B3" w:rsidRPr="006A529A" w:rsidRDefault="007D03B3" w:rsidP="000806C3">
            <w:pPr>
              <w:jc w:val="both"/>
            </w:pPr>
            <w:r w:rsidRPr="006A529A">
              <w:t xml:space="preserve"> </w:t>
            </w:r>
          </w:p>
        </w:tc>
        <w:tc>
          <w:tcPr>
            <w:tcW w:w="4531" w:type="dxa"/>
          </w:tcPr>
          <w:p w:rsidR="005533A0" w:rsidRDefault="005533A0" w:rsidP="005533A0">
            <w:pPr>
              <w:pStyle w:val="ListParagraph"/>
              <w:numPr>
                <w:ilvl w:val="0"/>
                <w:numId w:val="20"/>
              </w:numPr>
              <w:jc w:val="both"/>
            </w:pPr>
            <w:r>
              <w:t>Висока материјална давања</w:t>
            </w:r>
          </w:p>
          <w:p w:rsidR="005533A0" w:rsidRPr="005533A0" w:rsidRDefault="005533A0" w:rsidP="005533A0">
            <w:pPr>
              <w:pStyle w:val="ListParagraph"/>
              <w:numPr>
                <w:ilvl w:val="0"/>
                <w:numId w:val="20"/>
              </w:numPr>
              <w:jc w:val="both"/>
            </w:pPr>
            <w:r>
              <w:t>Исељавање радно способног становништва</w:t>
            </w:r>
          </w:p>
          <w:p w:rsidR="007D03B3" w:rsidRPr="006A529A" w:rsidRDefault="005533A0" w:rsidP="005533A0">
            <w:pPr>
              <w:pStyle w:val="ListParagraph"/>
              <w:numPr>
                <w:ilvl w:val="0"/>
                <w:numId w:val="20"/>
              </w:numPr>
              <w:jc w:val="both"/>
            </w:pPr>
            <w:r>
              <w:t>Погоршање финансијске ситуације у земљи</w:t>
            </w:r>
          </w:p>
        </w:tc>
      </w:tr>
    </w:tbl>
    <w:p w:rsidR="007D03B3" w:rsidRDefault="007D03B3" w:rsidP="000806C3">
      <w:pPr>
        <w:rPr>
          <w:b/>
          <w:highlight w:val="yellow"/>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9067"/>
      </w:tblGrid>
      <w:tr w:rsidR="003F38F1" w:rsidTr="003F38F1">
        <w:tc>
          <w:tcPr>
            <w:tcW w:w="9067" w:type="dxa"/>
            <w:shd w:val="clear" w:color="auto" w:fill="D9D9D9" w:themeFill="background1" w:themeFillShade="D9"/>
          </w:tcPr>
          <w:p w:rsidR="003F38F1" w:rsidRDefault="005533A0" w:rsidP="00F960A0">
            <w:pPr>
              <w:rPr>
                <w:b/>
                <w:highlight w:val="yellow"/>
              </w:rPr>
            </w:pPr>
            <w:r w:rsidRPr="005533A0">
              <w:rPr>
                <w:bCs/>
                <w:szCs w:val="20"/>
              </w:rPr>
              <w:t>ПРИЈЕДЛОЗИ ЗА УНАПРЕЂЕЊЕ</w:t>
            </w:r>
          </w:p>
        </w:tc>
      </w:tr>
      <w:tr w:rsidR="003F38F1" w:rsidTr="003F38F1">
        <w:tc>
          <w:tcPr>
            <w:tcW w:w="9067" w:type="dxa"/>
          </w:tcPr>
          <w:p w:rsidR="005533A0" w:rsidRPr="005533A0" w:rsidRDefault="005533A0" w:rsidP="005533A0">
            <w:pPr>
              <w:pStyle w:val="ListParagraph"/>
              <w:numPr>
                <w:ilvl w:val="0"/>
                <w:numId w:val="17"/>
              </w:numPr>
              <w:ind w:left="360"/>
              <w:rPr>
                <w:bCs/>
                <w:szCs w:val="20"/>
              </w:rPr>
            </w:pPr>
            <w:r w:rsidRPr="005533A0">
              <w:rPr>
                <w:bCs/>
                <w:szCs w:val="20"/>
              </w:rPr>
              <w:t>Мотивисање незапослених лица да користе могућности за образовање и запошљавање</w:t>
            </w:r>
          </w:p>
          <w:p w:rsidR="005533A0" w:rsidRPr="005533A0" w:rsidRDefault="005533A0" w:rsidP="005533A0">
            <w:pPr>
              <w:pStyle w:val="ListParagraph"/>
              <w:numPr>
                <w:ilvl w:val="0"/>
                <w:numId w:val="17"/>
              </w:numPr>
              <w:ind w:left="360"/>
              <w:rPr>
                <w:bCs/>
                <w:szCs w:val="20"/>
              </w:rPr>
            </w:pPr>
            <w:r w:rsidRPr="005533A0">
              <w:rPr>
                <w:bCs/>
                <w:szCs w:val="20"/>
              </w:rPr>
              <w:t>Интензивније генерисање предузетничких идеја</w:t>
            </w:r>
          </w:p>
          <w:p w:rsidR="005533A0" w:rsidRPr="005533A0" w:rsidRDefault="005533A0" w:rsidP="005533A0">
            <w:pPr>
              <w:pStyle w:val="ListParagraph"/>
              <w:numPr>
                <w:ilvl w:val="0"/>
                <w:numId w:val="17"/>
              </w:numPr>
              <w:ind w:left="360"/>
              <w:rPr>
                <w:bCs/>
                <w:szCs w:val="20"/>
              </w:rPr>
            </w:pPr>
            <w:r w:rsidRPr="005533A0">
              <w:rPr>
                <w:bCs/>
                <w:szCs w:val="20"/>
              </w:rPr>
              <w:t>Развој јединственог туристичког производа, увезивање пружалаца услуга и промоција</w:t>
            </w:r>
          </w:p>
          <w:p w:rsidR="003F38F1" w:rsidRPr="005533A0" w:rsidRDefault="005533A0" w:rsidP="005533A0">
            <w:pPr>
              <w:pStyle w:val="ListParagraph"/>
              <w:numPr>
                <w:ilvl w:val="0"/>
                <w:numId w:val="17"/>
              </w:numPr>
              <w:ind w:left="360"/>
              <w:rPr>
                <w:bCs/>
                <w:szCs w:val="20"/>
              </w:rPr>
            </w:pPr>
            <w:r w:rsidRPr="005533A0">
              <w:rPr>
                <w:bCs/>
                <w:szCs w:val="20"/>
              </w:rPr>
              <w:t>Заштита географског поријекла и брендирање локалних производа итд.</w:t>
            </w:r>
          </w:p>
        </w:tc>
      </w:tr>
    </w:tbl>
    <w:p w:rsidR="003F38F1" w:rsidRDefault="003F38F1" w:rsidP="000806C3">
      <w:pPr>
        <w:rPr>
          <w:b/>
          <w:highlight w:val="yellow"/>
        </w:rPr>
      </w:pPr>
    </w:p>
    <w:p w:rsidR="00E41036" w:rsidRPr="005533A0" w:rsidRDefault="006F1132" w:rsidP="000806C3">
      <w:pPr>
        <w:pStyle w:val="Heading2"/>
        <w:spacing w:before="0"/>
        <w:rPr>
          <w:highlight w:val="yellow"/>
        </w:rPr>
      </w:pPr>
      <w:bookmarkStart w:id="62" w:name="_Toc74296657"/>
      <w:r w:rsidRPr="006A529A">
        <w:t>4</w:t>
      </w:r>
      <w:r w:rsidR="00E41036" w:rsidRPr="006A529A">
        <w:t xml:space="preserve">.3. </w:t>
      </w:r>
      <w:r w:rsidR="005533A0" w:rsidRPr="005533A0">
        <w:t>Кључни проблеми тржишта рада општине Беране</w:t>
      </w:r>
      <w:bookmarkEnd w:id="62"/>
      <w:r w:rsidR="005533A0">
        <w:t xml:space="preserve"> </w:t>
      </w:r>
    </w:p>
    <w:p w:rsidR="005533A0" w:rsidRDefault="005533A0" w:rsidP="000806C3">
      <w:pPr>
        <w:rPr>
          <w:bCs/>
          <w:sz w:val="22"/>
          <w:szCs w:val="22"/>
        </w:rPr>
      </w:pPr>
    </w:p>
    <w:p w:rsidR="00E41036" w:rsidRDefault="005533A0" w:rsidP="000806C3">
      <w:pPr>
        <w:rPr>
          <w:bCs/>
          <w:sz w:val="22"/>
          <w:szCs w:val="22"/>
        </w:rPr>
      </w:pPr>
      <w:r w:rsidRPr="005533A0">
        <w:rPr>
          <w:bCs/>
          <w:sz w:val="22"/>
          <w:szCs w:val="22"/>
        </w:rPr>
        <w:t xml:space="preserve">На основу анализе тржишта рада и прикупљених секундарних података, те </w:t>
      </w:r>
      <w:r w:rsidR="0037465D" w:rsidRPr="006A529A">
        <w:rPr>
          <w:bCs/>
          <w:sz w:val="22"/>
          <w:szCs w:val="22"/>
        </w:rPr>
        <w:t xml:space="preserve">SWOT </w:t>
      </w:r>
      <w:r w:rsidRPr="005533A0">
        <w:rPr>
          <w:bCs/>
          <w:sz w:val="22"/>
          <w:szCs w:val="22"/>
        </w:rPr>
        <w:t>анализе, дефинисани су сљедећи кључни проблеми тржишта рада општине Беране</w:t>
      </w:r>
    </w:p>
    <w:p w:rsidR="005533A0" w:rsidRPr="005533A0" w:rsidRDefault="005533A0" w:rsidP="000806C3">
      <w:pPr>
        <w:rPr>
          <w:bCs/>
          <w:sz w:val="22"/>
          <w:szCs w:val="22"/>
        </w:rPr>
      </w:pPr>
    </w:p>
    <w:p w:rsidR="005533A0" w:rsidRPr="005533A0" w:rsidRDefault="005533A0" w:rsidP="005533A0">
      <w:pPr>
        <w:pStyle w:val="ListParagraph"/>
        <w:numPr>
          <w:ilvl w:val="1"/>
          <w:numId w:val="10"/>
        </w:numPr>
        <w:rPr>
          <w:bCs/>
          <w:sz w:val="22"/>
          <w:szCs w:val="22"/>
        </w:rPr>
      </w:pPr>
      <w:r w:rsidRPr="005533A0">
        <w:rPr>
          <w:bCs/>
          <w:sz w:val="22"/>
          <w:szCs w:val="22"/>
        </w:rPr>
        <w:t>Неповољне структурне карактеристике незапослених лица (у погледу образовне структуре, старосне структуре, дужини тражења посла/трајању пријаве на евиденцији и радног стажа);</w:t>
      </w:r>
    </w:p>
    <w:p w:rsidR="005533A0" w:rsidRPr="005533A0" w:rsidRDefault="005533A0" w:rsidP="005533A0">
      <w:pPr>
        <w:pStyle w:val="ListParagraph"/>
        <w:numPr>
          <w:ilvl w:val="1"/>
          <w:numId w:val="10"/>
        </w:numPr>
        <w:rPr>
          <w:bCs/>
          <w:sz w:val="22"/>
          <w:szCs w:val="22"/>
        </w:rPr>
      </w:pPr>
      <w:r w:rsidRPr="005533A0">
        <w:rPr>
          <w:bCs/>
          <w:sz w:val="22"/>
          <w:szCs w:val="22"/>
        </w:rPr>
        <w:t xml:space="preserve"> Велик обим незапослености;</w:t>
      </w:r>
    </w:p>
    <w:p w:rsidR="005533A0" w:rsidRPr="005533A0" w:rsidRDefault="005533A0" w:rsidP="005533A0">
      <w:pPr>
        <w:pStyle w:val="ListParagraph"/>
        <w:numPr>
          <w:ilvl w:val="1"/>
          <w:numId w:val="10"/>
        </w:numPr>
        <w:rPr>
          <w:bCs/>
          <w:sz w:val="22"/>
          <w:szCs w:val="22"/>
        </w:rPr>
      </w:pPr>
      <w:r w:rsidRPr="005533A0">
        <w:rPr>
          <w:bCs/>
          <w:sz w:val="22"/>
          <w:szCs w:val="22"/>
        </w:rPr>
        <w:t>Неусклађеност понуде и тражње на тржишту рада;</w:t>
      </w:r>
    </w:p>
    <w:p w:rsidR="005533A0" w:rsidRPr="005533A0" w:rsidRDefault="005533A0" w:rsidP="005533A0">
      <w:pPr>
        <w:pStyle w:val="ListParagraph"/>
        <w:rPr>
          <w:bCs/>
          <w:sz w:val="22"/>
          <w:szCs w:val="22"/>
        </w:rPr>
      </w:pPr>
      <w:r w:rsidRPr="005533A0">
        <w:rPr>
          <w:bCs/>
          <w:sz w:val="22"/>
          <w:szCs w:val="22"/>
        </w:rPr>
        <w:lastRenderedPageBreak/>
        <w:t>4.</w:t>
      </w:r>
      <w:r w:rsidRPr="005533A0">
        <w:rPr>
          <w:bCs/>
          <w:sz w:val="22"/>
          <w:szCs w:val="22"/>
        </w:rPr>
        <w:tab/>
        <w:t>Неповољна демографска структура;</w:t>
      </w:r>
    </w:p>
    <w:p w:rsidR="005533A0" w:rsidRDefault="005533A0" w:rsidP="005533A0">
      <w:pPr>
        <w:pStyle w:val="ListParagraph"/>
        <w:rPr>
          <w:bCs/>
          <w:sz w:val="22"/>
          <w:szCs w:val="22"/>
        </w:rPr>
      </w:pPr>
      <w:r w:rsidRPr="005533A0">
        <w:rPr>
          <w:bCs/>
          <w:sz w:val="22"/>
          <w:szCs w:val="22"/>
        </w:rPr>
        <w:t>5.</w:t>
      </w:r>
      <w:r w:rsidRPr="005533A0">
        <w:rPr>
          <w:bCs/>
          <w:sz w:val="22"/>
          <w:szCs w:val="22"/>
        </w:rPr>
        <w:tab/>
        <w:t>Недовољан број радних мјеста и радних мјеста са додатном вриједношћу.</w:t>
      </w:r>
    </w:p>
    <w:p w:rsidR="006664BA" w:rsidRPr="006664BA" w:rsidRDefault="006664BA" w:rsidP="005533A0">
      <w:pPr>
        <w:pStyle w:val="ListParagraph"/>
        <w:rPr>
          <w:bCs/>
          <w:sz w:val="22"/>
          <w:szCs w:val="22"/>
        </w:rPr>
      </w:pPr>
    </w:p>
    <w:p w:rsidR="005533A0" w:rsidRPr="005533A0" w:rsidRDefault="005533A0" w:rsidP="005533A0">
      <w:pPr>
        <w:pStyle w:val="ListParagraph"/>
        <w:rPr>
          <w:bCs/>
          <w:sz w:val="22"/>
          <w:szCs w:val="22"/>
        </w:rPr>
      </w:pP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70"/>
      </w:tblGrid>
      <w:tr w:rsidR="00632C13" w:rsidRPr="006A529A" w:rsidTr="00BB5974">
        <w:trPr>
          <w:trHeight w:val="402"/>
        </w:trPr>
        <w:tc>
          <w:tcPr>
            <w:tcW w:w="9370" w:type="dxa"/>
            <w:shd w:val="clear" w:color="auto" w:fill="FFFFFF" w:themeFill="background1"/>
          </w:tcPr>
          <w:p w:rsidR="00632C13" w:rsidRPr="006A529A" w:rsidRDefault="004E2225" w:rsidP="000806C3">
            <w:pPr>
              <w:pStyle w:val="Heading1"/>
              <w:numPr>
                <w:ilvl w:val="0"/>
                <w:numId w:val="6"/>
              </w:numPr>
              <w:spacing w:before="0"/>
              <w:ind w:left="318"/>
            </w:pPr>
            <w:bookmarkStart w:id="63" w:name="_Toc74296658"/>
            <w:r>
              <w:t>ВИЗИЈА, ЦИЉЕВИ, ПРИОРИТЕТИ И МЈЕРЕ СТРАТЕГИЈЕ</w:t>
            </w:r>
            <w:r w:rsidR="00632C13" w:rsidRPr="006A529A">
              <w:t xml:space="preserve"> </w:t>
            </w:r>
            <w:r>
              <w:t>ЗАПОШЉАВАЊА</w:t>
            </w:r>
            <w:bookmarkEnd w:id="63"/>
          </w:p>
          <w:p w:rsidR="00632C13" w:rsidRPr="006A529A" w:rsidRDefault="00632C13" w:rsidP="000806C3">
            <w:pPr>
              <w:rPr>
                <w:highlight w:val="yellow"/>
              </w:rPr>
            </w:pPr>
          </w:p>
        </w:tc>
      </w:tr>
    </w:tbl>
    <w:p w:rsidR="001F119D" w:rsidRPr="006A529A" w:rsidRDefault="001F119D" w:rsidP="000806C3">
      <w:pPr>
        <w:rPr>
          <w:rFonts w:cs="Arial"/>
          <w:highlight w:val="yellow"/>
        </w:rPr>
      </w:pPr>
    </w:p>
    <w:p w:rsidR="005E27BC" w:rsidRDefault="006F1132" w:rsidP="00FA59E0">
      <w:pPr>
        <w:pStyle w:val="Heading2"/>
        <w:spacing w:before="0"/>
      </w:pPr>
      <w:bookmarkStart w:id="64" w:name="_Toc52644742"/>
      <w:bookmarkStart w:id="65" w:name="_Toc74296659"/>
      <w:r w:rsidRPr="006A529A">
        <w:t>5</w:t>
      </w:r>
      <w:r w:rsidR="0004779E" w:rsidRPr="006A529A">
        <w:t xml:space="preserve">.1 </w:t>
      </w:r>
      <w:bookmarkEnd w:id="64"/>
      <w:r w:rsidR="00FA59E0" w:rsidRPr="00FA59E0">
        <w:t>Визија општине у погледу запошљавања и развоја радне снаге</w:t>
      </w:r>
      <w:bookmarkEnd w:id="65"/>
    </w:p>
    <w:p w:rsidR="00FA59E0" w:rsidRPr="00FA59E0" w:rsidRDefault="00FA59E0" w:rsidP="00FA59E0"/>
    <w:p w:rsidR="00FA59E0" w:rsidRPr="00FA59E0" w:rsidRDefault="00770360" w:rsidP="00FA59E0">
      <w:pPr>
        <w:pStyle w:val="Heading2"/>
        <w:rPr>
          <w:i/>
          <w:iCs/>
          <w:color w:val="auto"/>
        </w:rPr>
      </w:pPr>
      <w:bookmarkStart w:id="66" w:name="_Toc74296660"/>
      <w:bookmarkStart w:id="67" w:name="_Toc52644743"/>
      <w:r w:rsidRPr="00F83593">
        <w:rPr>
          <w:i/>
          <w:iCs/>
          <w:color w:val="auto"/>
        </w:rPr>
        <w:t>»</w:t>
      </w:r>
      <w:r w:rsidR="00FA59E0" w:rsidRPr="00FA59E0">
        <w:rPr>
          <w:i/>
          <w:iCs/>
          <w:color w:val="auto"/>
        </w:rPr>
        <w:t>Општина са унапријеђеним условима за запошљавање и самозапошљавање,</w:t>
      </w:r>
      <w:bookmarkEnd w:id="66"/>
      <w:r w:rsidR="00FA59E0" w:rsidRPr="00FA59E0">
        <w:rPr>
          <w:i/>
          <w:iCs/>
          <w:color w:val="auto"/>
        </w:rPr>
        <w:t xml:space="preserve"> </w:t>
      </w:r>
    </w:p>
    <w:p w:rsidR="001F0B27" w:rsidRPr="00F83593" w:rsidRDefault="00FA59E0" w:rsidP="00FA59E0">
      <w:pPr>
        <w:pStyle w:val="Heading2"/>
        <w:spacing w:before="0"/>
        <w:jc w:val="center"/>
        <w:rPr>
          <w:color w:val="auto"/>
        </w:rPr>
      </w:pPr>
      <w:bookmarkStart w:id="68" w:name="_Toc74296661"/>
      <w:r w:rsidRPr="00FA59E0">
        <w:rPr>
          <w:i/>
          <w:iCs/>
          <w:color w:val="auto"/>
        </w:rPr>
        <w:t>повољним пословним амбијентом, и радном снагом која знањима и вјештинама подржава привредни развој и социјалну  укљученост становништва</w:t>
      </w:r>
      <w:r w:rsidR="00770360" w:rsidRPr="00F83593">
        <w:rPr>
          <w:i/>
          <w:iCs/>
          <w:color w:val="auto"/>
        </w:rPr>
        <w:t>».</w:t>
      </w:r>
      <w:bookmarkEnd w:id="68"/>
    </w:p>
    <w:p w:rsidR="00770360" w:rsidRDefault="00770360" w:rsidP="000806C3">
      <w:pPr>
        <w:pStyle w:val="Heading2"/>
        <w:spacing w:before="0"/>
      </w:pPr>
    </w:p>
    <w:p w:rsidR="0037465D" w:rsidRPr="00FA59E0" w:rsidRDefault="006F1132" w:rsidP="000806C3">
      <w:pPr>
        <w:pStyle w:val="Heading2"/>
        <w:spacing w:before="0"/>
      </w:pPr>
      <w:bookmarkStart w:id="69" w:name="_Toc74296662"/>
      <w:r w:rsidRPr="006A529A">
        <w:t>5</w:t>
      </w:r>
      <w:r w:rsidR="0037465D" w:rsidRPr="006A529A">
        <w:t xml:space="preserve">.2 </w:t>
      </w:r>
      <w:bookmarkEnd w:id="67"/>
      <w:r w:rsidR="00FA59E0">
        <w:t>Циљеви</w:t>
      </w:r>
      <w:bookmarkEnd w:id="69"/>
    </w:p>
    <w:p w:rsidR="00587278" w:rsidRPr="006A529A" w:rsidRDefault="00587278" w:rsidP="000806C3">
      <w:pPr>
        <w:rPr>
          <w:b/>
          <w:bCs/>
          <w:color w:val="2F5496" w:themeColor="accent1" w:themeShade="BF"/>
          <w:sz w:val="22"/>
          <w:szCs w:val="22"/>
        </w:rPr>
      </w:pPr>
    </w:p>
    <w:tbl>
      <w:tblPr>
        <w:tblStyle w:val="TableGrid"/>
        <w:tblpPr w:leftFromText="141" w:rightFromText="141" w:vertAnchor="text" w:horzAnchor="margin" w:tblpY="61"/>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2405"/>
        <w:gridCol w:w="6826"/>
      </w:tblGrid>
      <w:tr w:rsidR="00587278" w:rsidRPr="006A529A" w:rsidTr="003F38F1">
        <w:tc>
          <w:tcPr>
            <w:tcW w:w="2405" w:type="dxa"/>
            <w:shd w:val="clear" w:color="auto" w:fill="2F5496" w:themeFill="accent1" w:themeFillShade="BF"/>
            <w:hideMark/>
          </w:tcPr>
          <w:p w:rsidR="00587278" w:rsidRPr="00FA59E0" w:rsidRDefault="00FA59E0" w:rsidP="000806C3">
            <w:pPr>
              <w:rPr>
                <w:b/>
                <w:bCs/>
                <w:szCs w:val="20"/>
              </w:rPr>
            </w:pPr>
            <w:r>
              <w:rPr>
                <w:b/>
                <w:bCs/>
                <w:color w:val="FFFFFF" w:themeColor="background1"/>
                <w:szCs w:val="20"/>
              </w:rPr>
              <w:t>Стратешки циљ</w:t>
            </w:r>
          </w:p>
        </w:tc>
        <w:tc>
          <w:tcPr>
            <w:tcW w:w="6826" w:type="dxa"/>
            <w:hideMark/>
          </w:tcPr>
          <w:p w:rsidR="003B1BAD" w:rsidRPr="006A529A" w:rsidRDefault="00FA59E0" w:rsidP="000806C3">
            <w:pPr>
              <w:rPr>
                <w:b/>
                <w:bCs/>
                <w:szCs w:val="20"/>
              </w:rPr>
            </w:pPr>
            <w:r w:rsidRPr="00FA59E0">
              <w:rPr>
                <w:b/>
                <w:bCs/>
                <w:szCs w:val="20"/>
              </w:rPr>
              <w:t>Повећање запослености</w:t>
            </w:r>
          </w:p>
          <w:p w:rsidR="00587278" w:rsidRPr="006A529A" w:rsidRDefault="00587278" w:rsidP="000806C3">
            <w:pPr>
              <w:rPr>
                <w:b/>
                <w:bCs/>
                <w:szCs w:val="20"/>
              </w:rPr>
            </w:pPr>
          </w:p>
        </w:tc>
      </w:tr>
    </w:tbl>
    <w:p w:rsidR="00587278" w:rsidRPr="006A529A" w:rsidRDefault="00587278" w:rsidP="000806C3">
      <w:pPr>
        <w:rPr>
          <w:szCs w:val="2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2405"/>
        <w:gridCol w:w="6826"/>
      </w:tblGrid>
      <w:tr w:rsidR="00587278" w:rsidRPr="006A529A" w:rsidTr="003F38F1">
        <w:tc>
          <w:tcPr>
            <w:tcW w:w="2405" w:type="dxa"/>
            <w:shd w:val="clear" w:color="auto" w:fill="B4C6E7" w:themeFill="accent1" w:themeFillTint="66"/>
            <w:hideMark/>
          </w:tcPr>
          <w:p w:rsidR="00587278" w:rsidRPr="006A529A" w:rsidRDefault="00FA59E0" w:rsidP="000806C3">
            <w:pPr>
              <w:rPr>
                <w:b/>
                <w:bCs/>
                <w:szCs w:val="20"/>
              </w:rPr>
            </w:pPr>
            <w:r>
              <w:rPr>
                <w:b/>
                <w:bCs/>
                <w:szCs w:val="20"/>
              </w:rPr>
              <w:t>Циљ</w:t>
            </w:r>
            <w:r w:rsidR="00587278" w:rsidRPr="006A529A">
              <w:rPr>
                <w:b/>
                <w:bCs/>
                <w:szCs w:val="20"/>
              </w:rPr>
              <w:t xml:space="preserve"> 1</w:t>
            </w:r>
          </w:p>
        </w:tc>
        <w:tc>
          <w:tcPr>
            <w:tcW w:w="6826" w:type="dxa"/>
          </w:tcPr>
          <w:p w:rsidR="003B1BAD" w:rsidRPr="006A529A" w:rsidRDefault="00FA59E0" w:rsidP="000806C3">
            <w:pPr>
              <w:rPr>
                <w:b/>
                <w:bCs/>
                <w:szCs w:val="20"/>
              </w:rPr>
            </w:pPr>
            <w:r w:rsidRPr="00FA59E0">
              <w:rPr>
                <w:b/>
                <w:bCs/>
                <w:szCs w:val="20"/>
              </w:rPr>
              <w:t>Подстицање предузетништва</w:t>
            </w:r>
          </w:p>
        </w:tc>
      </w:tr>
    </w:tbl>
    <w:p w:rsidR="00587278" w:rsidRPr="006A529A" w:rsidRDefault="00587278" w:rsidP="000806C3">
      <w:pPr>
        <w:rPr>
          <w:szCs w:val="20"/>
        </w:rPr>
      </w:pPr>
    </w:p>
    <w:tbl>
      <w:tblPr>
        <w:tblStyle w:val="TableGrid"/>
        <w:tblpPr w:leftFromText="141" w:rightFromText="141" w:vertAnchor="text" w:horzAnchor="margin" w:tblpY="70"/>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2405"/>
        <w:gridCol w:w="6826"/>
      </w:tblGrid>
      <w:tr w:rsidR="00587278" w:rsidRPr="006A529A" w:rsidTr="003F38F1">
        <w:tc>
          <w:tcPr>
            <w:tcW w:w="2405" w:type="dxa"/>
            <w:shd w:val="clear" w:color="auto" w:fill="B4C6E7" w:themeFill="accent1" w:themeFillTint="66"/>
            <w:hideMark/>
          </w:tcPr>
          <w:p w:rsidR="00587278" w:rsidRPr="006A529A" w:rsidRDefault="00FA59E0" w:rsidP="000806C3">
            <w:pPr>
              <w:rPr>
                <w:b/>
                <w:bCs/>
                <w:szCs w:val="20"/>
              </w:rPr>
            </w:pPr>
            <w:r>
              <w:rPr>
                <w:b/>
                <w:bCs/>
                <w:szCs w:val="20"/>
              </w:rPr>
              <w:t>Циљ</w:t>
            </w:r>
            <w:r w:rsidR="00587278" w:rsidRPr="006A529A">
              <w:rPr>
                <w:b/>
                <w:bCs/>
                <w:szCs w:val="20"/>
              </w:rPr>
              <w:t xml:space="preserve"> 2</w:t>
            </w:r>
          </w:p>
        </w:tc>
        <w:tc>
          <w:tcPr>
            <w:tcW w:w="6826" w:type="dxa"/>
          </w:tcPr>
          <w:p w:rsidR="003B1BAD" w:rsidRPr="006A529A" w:rsidRDefault="00FA59E0" w:rsidP="000806C3">
            <w:pPr>
              <w:rPr>
                <w:b/>
                <w:bCs/>
                <w:szCs w:val="20"/>
              </w:rPr>
            </w:pPr>
            <w:r w:rsidRPr="00FA59E0">
              <w:rPr>
                <w:b/>
                <w:bCs/>
                <w:szCs w:val="20"/>
              </w:rPr>
              <w:t>Унапређење компетенција радне снаге</w:t>
            </w:r>
          </w:p>
        </w:tc>
      </w:tr>
    </w:tbl>
    <w:p w:rsidR="00587278" w:rsidRDefault="00587278" w:rsidP="000806C3">
      <w:pPr>
        <w:rPr>
          <w:szCs w:val="20"/>
        </w:rPr>
      </w:pPr>
    </w:p>
    <w:p w:rsidR="003F38F1" w:rsidRPr="006A529A" w:rsidRDefault="003F38F1" w:rsidP="000806C3">
      <w:pPr>
        <w:rPr>
          <w:szCs w:val="20"/>
        </w:rPr>
      </w:pPr>
    </w:p>
    <w:tbl>
      <w:tblPr>
        <w:tblStyle w:val="TableGrid"/>
        <w:tblW w:w="0" w:type="auto"/>
        <w:tblInd w:w="-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3402"/>
        <w:gridCol w:w="3119"/>
        <w:gridCol w:w="2693"/>
      </w:tblGrid>
      <w:tr w:rsidR="00587278" w:rsidRPr="006A529A" w:rsidTr="003F38F1">
        <w:tc>
          <w:tcPr>
            <w:tcW w:w="3402" w:type="dxa"/>
            <w:shd w:val="clear" w:color="auto" w:fill="D9D9D9" w:themeFill="background1" w:themeFillShade="D9"/>
            <w:hideMark/>
          </w:tcPr>
          <w:p w:rsidR="00587278" w:rsidRPr="00FA59E0" w:rsidRDefault="00FA59E0" w:rsidP="000806C3">
            <w:pPr>
              <w:rPr>
                <w:b/>
                <w:bCs/>
                <w:szCs w:val="20"/>
              </w:rPr>
            </w:pPr>
            <w:r>
              <w:rPr>
                <w:b/>
                <w:bCs/>
                <w:szCs w:val="20"/>
              </w:rPr>
              <w:t>Показатељ успјеха</w:t>
            </w:r>
          </w:p>
        </w:tc>
        <w:tc>
          <w:tcPr>
            <w:tcW w:w="3119" w:type="dxa"/>
            <w:shd w:val="clear" w:color="auto" w:fill="D9D9D9" w:themeFill="background1" w:themeFillShade="D9"/>
            <w:hideMark/>
          </w:tcPr>
          <w:p w:rsidR="00587278" w:rsidRPr="006A529A" w:rsidRDefault="00FA59E0" w:rsidP="000806C3">
            <w:pPr>
              <w:rPr>
                <w:b/>
                <w:bCs/>
                <w:szCs w:val="20"/>
              </w:rPr>
            </w:pPr>
            <w:r>
              <w:rPr>
                <w:b/>
                <w:bCs/>
                <w:szCs w:val="20"/>
              </w:rPr>
              <w:t>Полазна вриједност</w:t>
            </w:r>
            <w:r w:rsidR="00587278" w:rsidRPr="006A529A">
              <w:rPr>
                <w:b/>
                <w:bCs/>
                <w:szCs w:val="20"/>
              </w:rPr>
              <w:t xml:space="preserve"> 2019.</w:t>
            </w:r>
          </w:p>
        </w:tc>
        <w:tc>
          <w:tcPr>
            <w:tcW w:w="2693" w:type="dxa"/>
            <w:shd w:val="clear" w:color="auto" w:fill="D9D9D9" w:themeFill="background1" w:themeFillShade="D9"/>
            <w:hideMark/>
          </w:tcPr>
          <w:p w:rsidR="00587278" w:rsidRPr="00FA59E0" w:rsidRDefault="00FA59E0" w:rsidP="000806C3">
            <w:pPr>
              <w:rPr>
                <w:b/>
                <w:bCs/>
                <w:szCs w:val="20"/>
              </w:rPr>
            </w:pPr>
            <w:r>
              <w:rPr>
                <w:b/>
                <w:bCs/>
                <w:szCs w:val="20"/>
              </w:rPr>
              <w:t>Циљана вриједност</w:t>
            </w:r>
            <w:r w:rsidR="00587278" w:rsidRPr="006A529A">
              <w:rPr>
                <w:b/>
                <w:bCs/>
                <w:szCs w:val="20"/>
              </w:rPr>
              <w:t xml:space="preserve"> </w:t>
            </w:r>
            <w:r w:rsidR="001F119D" w:rsidRPr="006A529A">
              <w:rPr>
                <w:b/>
                <w:bCs/>
                <w:szCs w:val="20"/>
              </w:rPr>
              <w:t>202</w:t>
            </w:r>
            <w:r w:rsidR="00FA0D85">
              <w:rPr>
                <w:b/>
                <w:bCs/>
                <w:szCs w:val="20"/>
              </w:rPr>
              <w:t>5</w:t>
            </w:r>
            <w:r>
              <w:rPr>
                <w:b/>
                <w:bCs/>
                <w:szCs w:val="20"/>
              </w:rPr>
              <w:t>.</w:t>
            </w:r>
          </w:p>
        </w:tc>
      </w:tr>
      <w:tr w:rsidR="00587278" w:rsidRPr="006A529A" w:rsidTr="003F38F1">
        <w:trPr>
          <w:trHeight w:val="454"/>
        </w:trPr>
        <w:tc>
          <w:tcPr>
            <w:tcW w:w="3402" w:type="dxa"/>
          </w:tcPr>
          <w:p w:rsidR="00587278" w:rsidRPr="00C57A68" w:rsidRDefault="00587278" w:rsidP="000806C3">
            <w:pPr>
              <w:rPr>
                <w:szCs w:val="20"/>
              </w:rPr>
            </w:pPr>
          </w:p>
          <w:p w:rsidR="00FA0D85" w:rsidRPr="00C57A68" w:rsidRDefault="00FA59E0" w:rsidP="000806C3">
            <w:pPr>
              <w:rPr>
                <w:szCs w:val="20"/>
              </w:rPr>
            </w:pPr>
            <w:r>
              <w:rPr>
                <w:szCs w:val="20"/>
              </w:rPr>
              <w:t>Број запослених</w:t>
            </w:r>
            <w:r w:rsidR="00FA0D85" w:rsidRPr="00C57A68">
              <w:rPr>
                <w:szCs w:val="20"/>
              </w:rPr>
              <w:t xml:space="preserve"> (MONSTAT)</w:t>
            </w:r>
          </w:p>
        </w:tc>
        <w:tc>
          <w:tcPr>
            <w:tcW w:w="3119" w:type="dxa"/>
          </w:tcPr>
          <w:p w:rsidR="00587278" w:rsidRPr="00C57A68" w:rsidRDefault="00FA0D85" w:rsidP="000806C3">
            <w:pPr>
              <w:jc w:val="center"/>
              <w:rPr>
                <w:szCs w:val="20"/>
              </w:rPr>
            </w:pPr>
            <w:r w:rsidRPr="00C57A68">
              <w:rPr>
                <w:szCs w:val="20"/>
              </w:rPr>
              <w:t>5106</w:t>
            </w:r>
          </w:p>
        </w:tc>
        <w:tc>
          <w:tcPr>
            <w:tcW w:w="2693" w:type="dxa"/>
          </w:tcPr>
          <w:p w:rsidR="00587278" w:rsidRPr="006A529A" w:rsidRDefault="00FA59E0" w:rsidP="000806C3">
            <w:pPr>
              <w:jc w:val="center"/>
              <w:rPr>
                <w:szCs w:val="20"/>
              </w:rPr>
            </w:pPr>
            <w:r>
              <w:rPr>
                <w:szCs w:val="20"/>
              </w:rPr>
              <w:t>6000 (повећање за</w:t>
            </w:r>
            <w:r w:rsidR="00DB6044">
              <w:rPr>
                <w:szCs w:val="20"/>
              </w:rPr>
              <w:t xml:space="preserve"> 18%)</w:t>
            </w:r>
          </w:p>
        </w:tc>
      </w:tr>
      <w:tr w:rsidR="00587278" w:rsidRPr="006A529A" w:rsidTr="003F38F1">
        <w:trPr>
          <w:trHeight w:val="480"/>
        </w:trPr>
        <w:tc>
          <w:tcPr>
            <w:tcW w:w="3402" w:type="dxa"/>
          </w:tcPr>
          <w:p w:rsidR="00587278" w:rsidRPr="00C57A68" w:rsidRDefault="00587278" w:rsidP="000806C3">
            <w:pPr>
              <w:rPr>
                <w:szCs w:val="20"/>
              </w:rPr>
            </w:pPr>
          </w:p>
          <w:p w:rsidR="00C57A68" w:rsidRPr="00C57A68" w:rsidRDefault="00FA59E0" w:rsidP="000806C3">
            <w:pPr>
              <w:rPr>
                <w:szCs w:val="20"/>
              </w:rPr>
            </w:pPr>
            <w:r>
              <w:rPr>
                <w:szCs w:val="20"/>
              </w:rPr>
              <w:t>Број привредних субјеката</w:t>
            </w:r>
            <w:r w:rsidR="00F47510">
              <w:rPr>
                <w:rStyle w:val="FootnoteReference"/>
                <w:szCs w:val="20"/>
              </w:rPr>
              <w:footnoteReference w:id="26"/>
            </w:r>
          </w:p>
        </w:tc>
        <w:tc>
          <w:tcPr>
            <w:tcW w:w="3119" w:type="dxa"/>
          </w:tcPr>
          <w:p w:rsidR="00587278" w:rsidRPr="00C57A68" w:rsidRDefault="00C57A68" w:rsidP="000806C3">
            <w:pPr>
              <w:jc w:val="center"/>
              <w:rPr>
                <w:szCs w:val="20"/>
              </w:rPr>
            </w:pPr>
            <w:r w:rsidRPr="00C57A68">
              <w:rPr>
                <w:szCs w:val="20"/>
              </w:rPr>
              <w:t>460</w:t>
            </w:r>
          </w:p>
        </w:tc>
        <w:tc>
          <w:tcPr>
            <w:tcW w:w="2693" w:type="dxa"/>
          </w:tcPr>
          <w:p w:rsidR="00587278" w:rsidRPr="006A529A" w:rsidRDefault="00FA59E0" w:rsidP="000806C3">
            <w:pPr>
              <w:rPr>
                <w:szCs w:val="20"/>
              </w:rPr>
            </w:pPr>
            <w:r>
              <w:rPr>
                <w:szCs w:val="20"/>
              </w:rPr>
              <w:t>Повећање за</w:t>
            </w:r>
            <w:r w:rsidR="001D2719">
              <w:rPr>
                <w:szCs w:val="20"/>
              </w:rPr>
              <w:t xml:space="preserve"> 10%</w:t>
            </w:r>
          </w:p>
        </w:tc>
      </w:tr>
      <w:tr w:rsidR="003B1BAD" w:rsidRPr="006A529A" w:rsidTr="003F38F1">
        <w:trPr>
          <w:trHeight w:val="547"/>
        </w:trPr>
        <w:tc>
          <w:tcPr>
            <w:tcW w:w="3402" w:type="dxa"/>
          </w:tcPr>
          <w:p w:rsidR="003B1BAD" w:rsidRPr="00C57A68" w:rsidRDefault="003B1BAD" w:rsidP="003B1BAD">
            <w:pPr>
              <w:rPr>
                <w:szCs w:val="20"/>
              </w:rPr>
            </w:pPr>
          </w:p>
          <w:p w:rsidR="003B1BAD" w:rsidRPr="00C57A68" w:rsidRDefault="00FA59E0" w:rsidP="003B1BAD">
            <w:pPr>
              <w:rPr>
                <w:szCs w:val="20"/>
              </w:rPr>
            </w:pPr>
            <w:r w:rsidRPr="00FA59E0">
              <w:rPr>
                <w:szCs w:val="20"/>
              </w:rPr>
              <w:t>Број подстицајних мјера за предузетништво</w:t>
            </w:r>
          </w:p>
        </w:tc>
        <w:tc>
          <w:tcPr>
            <w:tcW w:w="3119" w:type="dxa"/>
          </w:tcPr>
          <w:p w:rsidR="00FA59E0" w:rsidRPr="00FA59E0" w:rsidRDefault="00FA59E0" w:rsidP="00FA59E0">
            <w:pPr>
              <w:jc w:val="center"/>
              <w:rPr>
                <w:szCs w:val="20"/>
              </w:rPr>
            </w:pPr>
            <w:r w:rsidRPr="00FA59E0">
              <w:rPr>
                <w:szCs w:val="20"/>
              </w:rPr>
              <w:t>Бесповратна средства – ЗЗЗЦГ-ИПА</w:t>
            </w:r>
          </w:p>
          <w:p w:rsidR="00FA59E0" w:rsidRPr="00FA59E0" w:rsidRDefault="00FA59E0" w:rsidP="00FA59E0">
            <w:pPr>
              <w:jc w:val="center"/>
              <w:rPr>
                <w:szCs w:val="20"/>
              </w:rPr>
            </w:pPr>
            <w:r w:rsidRPr="00FA59E0">
              <w:rPr>
                <w:szCs w:val="20"/>
              </w:rPr>
              <w:t>Јавни позив за бизнис зону</w:t>
            </w:r>
          </w:p>
          <w:p w:rsidR="00FA59E0" w:rsidRPr="00FA59E0" w:rsidRDefault="00FA59E0" w:rsidP="00FA59E0">
            <w:pPr>
              <w:jc w:val="center"/>
              <w:rPr>
                <w:szCs w:val="20"/>
              </w:rPr>
            </w:pPr>
            <w:r w:rsidRPr="00FA59E0">
              <w:rPr>
                <w:szCs w:val="20"/>
              </w:rPr>
              <w:t xml:space="preserve">Мјере подстицаја у пољопривреди </w:t>
            </w:r>
          </w:p>
          <w:p w:rsidR="003B1BAD" w:rsidRPr="00C57A68" w:rsidRDefault="00FA59E0" w:rsidP="00FA59E0">
            <w:pPr>
              <w:jc w:val="center"/>
              <w:rPr>
                <w:szCs w:val="20"/>
              </w:rPr>
            </w:pPr>
            <w:r w:rsidRPr="00FA59E0">
              <w:rPr>
                <w:szCs w:val="20"/>
              </w:rPr>
              <w:t>(3 мјере)</w:t>
            </w:r>
          </w:p>
        </w:tc>
        <w:tc>
          <w:tcPr>
            <w:tcW w:w="2693" w:type="dxa"/>
          </w:tcPr>
          <w:p w:rsidR="00CC1F93" w:rsidRPr="00CC1F93" w:rsidRDefault="00CC1F93" w:rsidP="00CC1F93">
            <w:pPr>
              <w:rPr>
                <w:bCs/>
                <w:szCs w:val="20"/>
                <w:lang w:val="sl-SI"/>
              </w:rPr>
            </w:pPr>
            <w:r w:rsidRPr="00CC1F93">
              <w:rPr>
                <w:bCs/>
                <w:szCs w:val="20"/>
                <w:lang w:val="sl-SI"/>
              </w:rPr>
              <w:t>5  мјера годишње</w:t>
            </w:r>
          </w:p>
          <w:p w:rsidR="00CC1F93" w:rsidRPr="00CC1F93" w:rsidRDefault="00CC1F93" w:rsidP="00CC1F93">
            <w:pPr>
              <w:rPr>
                <w:bCs/>
                <w:szCs w:val="20"/>
                <w:lang w:val="sl-SI"/>
              </w:rPr>
            </w:pPr>
            <w:r w:rsidRPr="00CC1F93">
              <w:rPr>
                <w:bCs/>
                <w:szCs w:val="20"/>
                <w:lang w:val="sl-SI"/>
              </w:rPr>
              <w:t>Бесповратна средства-ЗЗЗЦГ-ИПА</w:t>
            </w:r>
          </w:p>
          <w:p w:rsidR="00CC1F93" w:rsidRPr="00CC1F93" w:rsidRDefault="00CC1F93" w:rsidP="00CC1F93">
            <w:pPr>
              <w:rPr>
                <w:bCs/>
                <w:szCs w:val="20"/>
                <w:lang w:val="sl-SI"/>
              </w:rPr>
            </w:pPr>
            <w:r w:rsidRPr="00CC1F93">
              <w:rPr>
                <w:bCs/>
                <w:szCs w:val="20"/>
                <w:lang w:val="sl-SI"/>
              </w:rPr>
              <w:t xml:space="preserve">Јавни позив за бизнис зону </w:t>
            </w:r>
          </w:p>
          <w:p w:rsidR="00CC1F93" w:rsidRPr="00CC1F93" w:rsidRDefault="00CC1F93" w:rsidP="00CC1F93">
            <w:pPr>
              <w:rPr>
                <w:bCs/>
                <w:szCs w:val="20"/>
                <w:lang w:val="sl-SI"/>
              </w:rPr>
            </w:pPr>
            <w:r w:rsidRPr="00CC1F93">
              <w:rPr>
                <w:bCs/>
                <w:szCs w:val="20"/>
                <w:lang w:val="sl-SI"/>
              </w:rPr>
              <w:t>Мјере подстицаја у пољопривреди</w:t>
            </w:r>
          </w:p>
          <w:p w:rsidR="00CC1F93" w:rsidRPr="00CC1F93" w:rsidRDefault="00CC1F93" w:rsidP="00CC1F93">
            <w:pPr>
              <w:rPr>
                <w:bCs/>
                <w:szCs w:val="20"/>
                <w:lang w:val="sl-SI"/>
              </w:rPr>
            </w:pPr>
            <w:r w:rsidRPr="00CC1F93">
              <w:rPr>
                <w:bCs/>
                <w:szCs w:val="20"/>
                <w:lang w:val="sl-SI"/>
              </w:rPr>
              <w:t>Јавни позив за женско предузетништво</w:t>
            </w:r>
          </w:p>
          <w:p w:rsidR="001D2719" w:rsidRPr="00CC1F93" w:rsidRDefault="00CC1F93" w:rsidP="00CC1F93">
            <w:pPr>
              <w:rPr>
                <w:color w:val="FF0000"/>
                <w:szCs w:val="20"/>
              </w:rPr>
            </w:pPr>
            <w:r w:rsidRPr="00CC1F93">
              <w:rPr>
                <w:bCs/>
                <w:szCs w:val="20"/>
                <w:lang w:val="sl-SI"/>
              </w:rPr>
              <w:t>Јавни позив за омладинско предузетништв</w:t>
            </w:r>
            <w:r>
              <w:rPr>
                <w:bCs/>
                <w:szCs w:val="20"/>
              </w:rPr>
              <w:t>о</w:t>
            </w:r>
          </w:p>
        </w:tc>
      </w:tr>
      <w:tr w:rsidR="003B1BAD" w:rsidRPr="006A529A" w:rsidTr="003F38F1">
        <w:trPr>
          <w:trHeight w:val="547"/>
        </w:trPr>
        <w:tc>
          <w:tcPr>
            <w:tcW w:w="3402" w:type="dxa"/>
          </w:tcPr>
          <w:p w:rsidR="003B1BAD" w:rsidRPr="00C57A68" w:rsidRDefault="00FA59E0" w:rsidP="003B1BAD">
            <w:pPr>
              <w:rPr>
                <w:szCs w:val="20"/>
              </w:rPr>
            </w:pPr>
            <w:r w:rsidRPr="00FA59E0">
              <w:rPr>
                <w:szCs w:val="20"/>
              </w:rPr>
              <w:t>Број незапослених лица укључених у образовање и оспособљавање</w:t>
            </w:r>
            <w:r w:rsidR="00F47510">
              <w:rPr>
                <w:rStyle w:val="FootnoteReference"/>
                <w:szCs w:val="20"/>
              </w:rPr>
              <w:footnoteReference w:id="27"/>
            </w:r>
          </w:p>
        </w:tc>
        <w:tc>
          <w:tcPr>
            <w:tcW w:w="3119" w:type="dxa"/>
          </w:tcPr>
          <w:p w:rsidR="003B1BAD" w:rsidRDefault="003B1BAD" w:rsidP="003B1BAD">
            <w:pPr>
              <w:jc w:val="center"/>
              <w:rPr>
                <w:szCs w:val="20"/>
              </w:rPr>
            </w:pPr>
            <w:r>
              <w:rPr>
                <w:szCs w:val="20"/>
              </w:rPr>
              <w:t>204</w:t>
            </w:r>
          </w:p>
          <w:p w:rsidR="003B1BAD" w:rsidRPr="00C57A68" w:rsidRDefault="003B1BAD" w:rsidP="003B1BAD">
            <w:pPr>
              <w:jc w:val="center"/>
              <w:rPr>
                <w:szCs w:val="20"/>
              </w:rPr>
            </w:pPr>
            <w:r>
              <w:rPr>
                <w:szCs w:val="20"/>
              </w:rPr>
              <w:t xml:space="preserve">(4,7% </w:t>
            </w:r>
            <w:r w:rsidR="00FA59E0" w:rsidRPr="00FA59E0">
              <w:rPr>
                <w:szCs w:val="20"/>
              </w:rPr>
              <w:t>просјечног броја)</w:t>
            </w:r>
          </w:p>
        </w:tc>
        <w:tc>
          <w:tcPr>
            <w:tcW w:w="2693" w:type="dxa"/>
          </w:tcPr>
          <w:p w:rsidR="003B1BAD" w:rsidRPr="00CC1F93" w:rsidRDefault="003B1BAD" w:rsidP="00364EC7">
            <w:pPr>
              <w:rPr>
                <w:color w:val="FF0000"/>
                <w:szCs w:val="20"/>
              </w:rPr>
            </w:pPr>
            <w:r w:rsidRPr="009A3205">
              <w:rPr>
                <w:szCs w:val="20"/>
              </w:rPr>
              <w:t xml:space="preserve">10% </w:t>
            </w:r>
            <w:r w:rsidR="00CC1F93" w:rsidRPr="00FA59E0">
              <w:rPr>
                <w:szCs w:val="20"/>
              </w:rPr>
              <w:t>просјечног броја</w:t>
            </w:r>
            <w:r w:rsidR="00CC1F93" w:rsidRPr="009A3205">
              <w:rPr>
                <w:szCs w:val="20"/>
              </w:rPr>
              <w:t xml:space="preserve"> </w:t>
            </w:r>
            <w:r w:rsidR="00CC1F93">
              <w:rPr>
                <w:szCs w:val="20"/>
              </w:rPr>
              <w:t>НЛ</w:t>
            </w:r>
            <w:r>
              <w:rPr>
                <w:szCs w:val="20"/>
              </w:rPr>
              <w:t xml:space="preserve"> </w:t>
            </w:r>
            <w:r w:rsidR="00CC1F93">
              <w:rPr>
                <w:szCs w:val="20"/>
              </w:rPr>
              <w:t>годишње</w:t>
            </w:r>
          </w:p>
        </w:tc>
      </w:tr>
    </w:tbl>
    <w:p w:rsidR="00587278" w:rsidRPr="006A529A" w:rsidRDefault="00587278" w:rsidP="000806C3">
      <w:pPr>
        <w:rPr>
          <w:szCs w:val="20"/>
        </w:rPr>
      </w:pPr>
    </w:p>
    <w:p w:rsidR="001F119D" w:rsidRPr="006A529A" w:rsidRDefault="001F119D" w:rsidP="000806C3">
      <w:pPr>
        <w:pStyle w:val="Heading2"/>
        <w:spacing w:before="0"/>
      </w:pPr>
      <w:bookmarkStart w:id="70" w:name="_Toc74296663"/>
      <w:bookmarkStart w:id="71" w:name="_Toc57368543"/>
      <w:bookmarkStart w:id="72" w:name="_Toc57975354"/>
      <w:r w:rsidRPr="006A529A">
        <w:t xml:space="preserve">5.3 </w:t>
      </w:r>
      <w:r w:rsidR="00CC1F93">
        <w:t>Активности</w:t>
      </w:r>
      <w:bookmarkEnd w:id="70"/>
      <w:r w:rsidR="00BB5974" w:rsidRPr="006A529A">
        <w:t xml:space="preserve"> </w:t>
      </w:r>
      <w:bookmarkEnd w:id="71"/>
      <w:bookmarkEnd w:id="72"/>
    </w:p>
    <w:p w:rsidR="001F119D" w:rsidRPr="006A529A" w:rsidRDefault="001F119D" w:rsidP="000806C3"/>
    <w:tbl>
      <w:tblPr>
        <w:tblStyle w:val="TableGrid"/>
        <w:tblW w:w="0" w:type="auto"/>
        <w:tblLook w:val="04A0"/>
      </w:tblPr>
      <w:tblGrid>
        <w:gridCol w:w="9231"/>
      </w:tblGrid>
      <w:tr w:rsidR="001F119D" w:rsidRPr="006A529A" w:rsidTr="003F38F1">
        <w:tc>
          <w:tcPr>
            <w:tcW w:w="923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DD6EE" w:themeFill="accent5" w:themeFillTint="66"/>
          </w:tcPr>
          <w:p w:rsidR="001F119D" w:rsidRPr="00CC1F93" w:rsidRDefault="00CC1F93" w:rsidP="000806C3">
            <w:pPr>
              <w:rPr>
                <w:b/>
              </w:rPr>
            </w:pPr>
            <w:r>
              <w:rPr>
                <w:b/>
              </w:rPr>
              <w:t>Цињ</w:t>
            </w:r>
            <w:r w:rsidR="001F119D" w:rsidRPr="006A529A">
              <w:rPr>
                <w:b/>
              </w:rPr>
              <w:t xml:space="preserve"> 1</w:t>
            </w:r>
            <w:r w:rsidR="00F54FF3">
              <w:rPr>
                <w:b/>
              </w:rPr>
              <w:t xml:space="preserve"> </w:t>
            </w:r>
            <w:r>
              <w:rPr>
                <w:b/>
              </w:rPr>
              <w:t>Подстицање предузетништва</w:t>
            </w:r>
          </w:p>
        </w:tc>
      </w:tr>
    </w:tbl>
    <w:p w:rsidR="001F119D" w:rsidRDefault="001F119D" w:rsidP="000806C3"/>
    <w:tbl>
      <w:tblPr>
        <w:tblStyle w:val="TableGrid"/>
        <w:tblW w:w="0" w:type="auto"/>
        <w:tblLook w:val="04A0"/>
      </w:tblPr>
      <w:tblGrid>
        <w:gridCol w:w="894"/>
        <w:gridCol w:w="3348"/>
        <w:gridCol w:w="3124"/>
        <w:gridCol w:w="1865"/>
      </w:tblGrid>
      <w:tr w:rsidR="00F47510" w:rsidRPr="006A529A" w:rsidTr="003F38F1">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2EFD9" w:themeFill="accent6" w:themeFillTint="33"/>
          </w:tcPr>
          <w:p w:rsidR="00F47510" w:rsidRPr="006A529A" w:rsidRDefault="00F47510" w:rsidP="00527782">
            <w:pPr>
              <w:rPr>
                <w:b/>
              </w:rPr>
            </w:pP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2EFD9" w:themeFill="accent6" w:themeFillTint="33"/>
          </w:tcPr>
          <w:p w:rsidR="00F47510" w:rsidRPr="00CC1F93" w:rsidRDefault="00CC1F93" w:rsidP="00527782">
            <w:pPr>
              <w:rPr>
                <w:b/>
              </w:rPr>
            </w:pPr>
            <w:r>
              <w:rPr>
                <w:b/>
              </w:rPr>
              <w:t>Активности</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2EFD9" w:themeFill="accent6" w:themeFillTint="33"/>
          </w:tcPr>
          <w:p w:rsidR="00F47510" w:rsidRPr="00CC1F93" w:rsidRDefault="00CC1F93" w:rsidP="00527782">
            <w:pPr>
              <w:rPr>
                <w:b/>
              </w:rPr>
            </w:pPr>
            <w:r>
              <w:rPr>
                <w:b/>
              </w:rPr>
              <w:t>Циљна група</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2EFD9" w:themeFill="accent6" w:themeFillTint="33"/>
          </w:tcPr>
          <w:p w:rsidR="00F47510" w:rsidRPr="00CC1F93" w:rsidRDefault="00CC1F93" w:rsidP="00527782">
            <w:pPr>
              <w:rPr>
                <w:b/>
              </w:rPr>
            </w:pPr>
            <w:r>
              <w:rPr>
                <w:b/>
              </w:rPr>
              <w:t>Временски оквир</w:t>
            </w:r>
          </w:p>
        </w:tc>
      </w:tr>
      <w:tr w:rsidR="00F47510" w:rsidRPr="006A529A"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903A1F" w:rsidP="00527782">
            <w:r>
              <w:t>1.1.</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D07E4C" w:rsidP="00D07E4C">
            <w:r>
              <w:t xml:space="preserve"> Валоризација бизнис зоне Рудеш </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F54FF3" w:rsidRDefault="00473416" w:rsidP="00527782">
            <w:pPr>
              <w:rPr>
                <w:color w:val="FF0000"/>
              </w:rPr>
            </w:pPr>
            <w:r w:rsidRPr="00473416">
              <w:t>Инвеститори, привредници, почетници у бизнису</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2021-2025</w:t>
            </w:r>
            <w:r w:rsidR="00F4651A">
              <w:t>.</w:t>
            </w:r>
          </w:p>
        </w:tc>
      </w:tr>
      <w:tr w:rsidR="00F47510"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rsidRPr="006A529A">
              <w:lastRenderedPageBreak/>
              <w:t>1.2</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D07E4C">
            <w:r>
              <w:t xml:space="preserve">Формирање нових бизнис зона </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F54FF3" w:rsidRDefault="00473416" w:rsidP="00527782">
            <w:r w:rsidRPr="00473416">
              <w:t>Инвеститори, привредници, почетници у бизнису</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F47510" w:rsidP="00527782">
            <w:r w:rsidRPr="00F54FF3">
              <w:t>2022-2025</w:t>
            </w:r>
            <w:r w:rsidR="00F4651A">
              <w:t>.</w:t>
            </w:r>
          </w:p>
        </w:tc>
      </w:tr>
      <w:tr w:rsidR="00F47510" w:rsidRPr="00F54FF3"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903A1F" w:rsidP="00527782">
            <w:r>
              <w:t>1.3.</w:t>
            </w:r>
            <w:r w:rsidR="00F47510" w:rsidRPr="006A529A">
              <w:t xml:space="preserve">  </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527782">
            <w:r w:rsidRPr="00D07E4C">
              <w:t>Формирање буџетских линија за почетнике у бизнису и омладинско предузетништво</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F54FF3" w:rsidRDefault="00473416" w:rsidP="00527782">
            <w:r w:rsidRPr="00473416">
              <w:t>Почетници у бизнису, млади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F54FF3" w:rsidRDefault="005F64FE" w:rsidP="00527782">
            <w:r w:rsidRPr="00F54FF3">
              <w:t>2022-2025</w:t>
            </w:r>
            <w:r w:rsidR="00F4651A">
              <w:t>.</w:t>
            </w:r>
          </w:p>
        </w:tc>
      </w:tr>
      <w:tr w:rsidR="00F47510" w:rsidRPr="00F54FF3"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rsidRPr="006A529A">
              <w:t>1.4</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527782">
            <w:r w:rsidRPr="00D07E4C">
              <w:t>Подстицаји за запошљавање у пољопривреди (кроз мјере агробуџета)</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373BDD" w:rsidRDefault="00473416" w:rsidP="00527782">
            <w:pPr>
              <w:tabs>
                <w:tab w:val="left" w:pos="510"/>
              </w:tabs>
            </w:pPr>
            <w:r w:rsidRPr="00473416">
              <w:t>Потенцијални пољопривредници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F54FF3" w:rsidRDefault="00F47510" w:rsidP="00527782">
            <w:r w:rsidRPr="00A346D6">
              <w:t>2021-2025</w:t>
            </w:r>
            <w:r w:rsidR="00F4651A">
              <w:t>.</w:t>
            </w:r>
          </w:p>
        </w:tc>
      </w:tr>
      <w:tr w:rsidR="00F47510" w:rsidRPr="00A346D6"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rsidRPr="006A529A">
              <w:t>1.5.</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527782">
            <w:r w:rsidRPr="00D07E4C">
              <w:t>Подршка за израду бизнис планова (РБЦ/ Општина Беране/ЗЗЗЦГ)</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F54FF3" w:rsidRDefault="00473416" w:rsidP="00527782">
            <w:r w:rsidRPr="00473416">
              <w:t>Почетници у бизнису, незапослени, лица на евиденцији ЗЗЗЦГ, млади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A346D6" w:rsidRDefault="00F47510" w:rsidP="00527782">
            <w:r>
              <w:t>2021-2025</w:t>
            </w:r>
            <w:r w:rsidR="00F4651A">
              <w:t>.</w:t>
            </w:r>
          </w:p>
        </w:tc>
      </w:tr>
      <w:tr w:rsidR="00F47510"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rsidRPr="006A529A">
              <w:t>1.6</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527782">
            <w:r w:rsidRPr="00D07E4C">
              <w:t>Подршка постојећим привредним субјектима за отварање нових радних мјеста кроз смањење постојећих локалних даџбина</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473416" w:rsidP="00527782">
            <w:r w:rsidRPr="00473416">
              <w:t>Привредни субјекти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F47510" w:rsidP="00527782">
            <w:r>
              <w:t>2022-2025</w:t>
            </w:r>
            <w:r w:rsidR="00F4651A">
              <w:t>.</w:t>
            </w:r>
          </w:p>
        </w:tc>
      </w:tr>
      <w:tr w:rsidR="00F47510"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1.7</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527782">
            <w:r w:rsidRPr="00D07E4C">
              <w:t>Програми подршке предузетницима</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473416" w:rsidP="00527782">
            <w:r w:rsidRPr="00473416">
              <w:t>Жене, млади, високошколци, почетници у бизису</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5F64FE" w:rsidP="00527782">
            <w:r>
              <w:t>2021</w:t>
            </w:r>
            <w:r w:rsidR="00F47510">
              <w:t>-2025</w:t>
            </w:r>
            <w:r w:rsidR="00F4651A">
              <w:t>.</w:t>
            </w:r>
          </w:p>
        </w:tc>
      </w:tr>
      <w:tr w:rsidR="00F47510" w:rsidRPr="00D91EC5"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1.8</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527782">
            <w:r w:rsidRPr="00D07E4C">
              <w:t>Сајам запошљавања</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F54FF3" w:rsidRDefault="00473416" w:rsidP="00527782">
            <w:r w:rsidRPr="00473416">
              <w:t>Предузетници, послодавци, незапослена лица</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D91EC5" w:rsidRDefault="00F47510" w:rsidP="00527782">
            <w:r w:rsidRPr="00F54FF3">
              <w:t>202</w:t>
            </w:r>
            <w:r>
              <w:t>2</w:t>
            </w:r>
            <w:r w:rsidRPr="00F54FF3">
              <w:t>-2025</w:t>
            </w:r>
            <w:r w:rsidR="00F4651A">
              <w:t>.</w:t>
            </w:r>
          </w:p>
        </w:tc>
      </w:tr>
      <w:tr w:rsidR="00F47510" w:rsidRPr="00F54FF3"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1.9</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527782">
            <w:r w:rsidRPr="00D07E4C">
              <w:t>Подстицаји  за прераду примарних производа (дрвопрерада, пољопривреда)</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473416" w:rsidP="00527782">
            <w:r w:rsidRPr="00473416">
              <w:t>Прерађивачи, пољопривредници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F47510" w:rsidP="00527782"/>
          <w:p w:rsidR="00F47510" w:rsidRPr="00F54FF3" w:rsidRDefault="00A614E6" w:rsidP="00527782">
            <w:r w:rsidRPr="00F54FF3">
              <w:t>202</w:t>
            </w:r>
            <w:r>
              <w:t>2</w:t>
            </w:r>
            <w:r w:rsidRPr="00F54FF3">
              <w:t>-2025</w:t>
            </w:r>
            <w:r w:rsidR="00F4651A">
              <w:t>.</w:t>
            </w:r>
          </w:p>
        </w:tc>
      </w:tr>
      <w:tr w:rsidR="00F47510" w:rsidRPr="00F54FF3" w:rsidTr="003F38F1">
        <w:trPr>
          <w:trHeight w:val="250"/>
        </w:trPr>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1.10</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D07E4C" w:rsidP="00527782">
            <w:r w:rsidRPr="00D07E4C">
              <w:t>Подстицаји за развој туризма</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473416" w:rsidRDefault="00473416" w:rsidP="00527782">
            <w:r w:rsidRPr="00473416">
              <w:t>Сеоска домаћинства, пољопривредниц</w:t>
            </w:r>
            <w:r>
              <w:t>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F54FF3" w:rsidRDefault="00F47510" w:rsidP="00527782">
            <w:r w:rsidRPr="00D91EC5">
              <w:t>2021-2025</w:t>
            </w:r>
            <w:r w:rsidR="00F4651A">
              <w:t>.</w:t>
            </w:r>
          </w:p>
        </w:tc>
      </w:tr>
      <w:tr w:rsidR="00F47510" w:rsidRPr="006A529A" w:rsidTr="003F38F1">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1.11</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D07E4C" w:rsidP="00527782">
            <w:r w:rsidRPr="00D07E4C">
              <w:t>Избор најбоље предузетничке идеје у школама</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473416" w:rsidP="00527782">
            <w:r w:rsidRPr="00473416">
              <w:t>Ученици средњих школа, средње стручне школе</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2</w:t>
            </w:r>
            <w:r w:rsidR="00A614E6">
              <w:t>022-2025</w:t>
            </w:r>
            <w:r w:rsidR="00F4651A">
              <w:t>.</w:t>
            </w:r>
          </w:p>
        </w:tc>
      </w:tr>
      <w:tr w:rsidR="00F47510" w:rsidRPr="006A529A" w:rsidTr="003F38F1">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1.12</w:t>
            </w:r>
            <w:r w:rsidR="00903A1F">
              <w:t>.</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D07E4C" w:rsidP="00527782">
            <w:r w:rsidRPr="00D07E4C">
              <w:t>Организација активности за размјену најбољих пракси (радионице, студијске посјете, менторство, промоција предузетништва и обука за предузетништво) са акцентом на организовању активности на нивоу мјесних заједница</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473416" w:rsidP="00527782">
            <w:r w:rsidRPr="00473416">
              <w:t>Предузетници из општине и региона, почетници у бизнису, пољопривредници, жене, млади, високошколци, незапослени, лица на евиденцији ЗЗЗЦГ, привредни субјекти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903A1F" w:rsidP="00527782">
            <w:r w:rsidRPr="00D91EC5">
              <w:t>2021-2025</w:t>
            </w:r>
            <w:r w:rsidR="00F4651A">
              <w:t>.</w:t>
            </w:r>
          </w:p>
        </w:tc>
      </w:tr>
      <w:tr w:rsidR="00F47510" w:rsidRPr="006A529A" w:rsidTr="003F38F1">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1.1</w:t>
            </w:r>
            <w:r w:rsidR="00903A1F">
              <w:t>3.</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96055C" w:rsidP="00527782">
            <w:r w:rsidRPr="0096055C">
              <w:t>Подршка сезонском запошљавању</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322AEB" w:rsidP="00527782">
            <w:r w:rsidRPr="00322AEB">
              <w:t>Незапослена лица регистрована на евиденцији ЗЗЗЦГ- Бироу рада, студенти, млади, привредни субјекти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2021-2025</w:t>
            </w:r>
            <w:r w:rsidR="00F4651A">
              <w:t>.</w:t>
            </w:r>
          </w:p>
        </w:tc>
      </w:tr>
      <w:tr w:rsidR="00F47510" w:rsidRPr="006A529A" w:rsidTr="003F38F1">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t>1.1</w:t>
            </w:r>
            <w:r w:rsidR="00903A1F">
              <w:t>4.</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Default="0096055C" w:rsidP="00527782">
            <w:r w:rsidRPr="0096055C">
              <w:t>Кредити за самозапошљавање (ЗЗЗЦГ-ЕУ)</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322AEB" w:rsidP="00527782">
            <w:r w:rsidRPr="00322AEB">
              <w:t>Незапослена лица регистрована на евиденцији ЗЗЗЦГ- Бироу рада</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6A529A" w:rsidRDefault="00F47510" w:rsidP="00527782">
            <w:r w:rsidRPr="00D93AB3">
              <w:t>2021-2025</w:t>
            </w:r>
            <w:r w:rsidR="00F4651A">
              <w:t>.</w:t>
            </w:r>
          </w:p>
        </w:tc>
      </w:tr>
      <w:tr w:rsidR="00F47510" w:rsidRPr="0014169F" w:rsidTr="003F38F1">
        <w:tc>
          <w:tcPr>
            <w:tcW w:w="8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903A1F" w:rsidRDefault="00F47510" w:rsidP="00527782">
            <w:r w:rsidRPr="00903A1F">
              <w:t>1.1</w:t>
            </w:r>
            <w:r w:rsidR="00903A1F">
              <w:t>5.</w:t>
            </w:r>
          </w:p>
        </w:tc>
        <w:tc>
          <w:tcPr>
            <w:tcW w:w="33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903A1F" w:rsidRDefault="0096055C" w:rsidP="00527782">
            <w:r w:rsidRPr="0096055C">
              <w:t>Омладинске задруге</w:t>
            </w:r>
          </w:p>
        </w:tc>
        <w:tc>
          <w:tcPr>
            <w:tcW w:w="312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903A1F" w:rsidRDefault="00322AEB" w:rsidP="00527782">
            <w:r w:rsidRPr="00322AEB">
              <w:t>Студенти, високошколци, привредни субјекти</w:t>
            </w:r>
          </w:p>
        </w:tc>
        <w:tc>
          <w:tcPr>
            <w:tcW w:w="186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rsidR="00F47510" w:rsidRPr="0014169F" w:rsidRDefault="00903A1F" w:rsidP="00527782">
            <w:pPr>
              <w:rPr>
                <w:color w:val="C00000"/>
              </w:rPr>
            </w:pPr>
            <w:r w:rsidRPr="00F54FF3">
              <w:t>202</w:t>
            </w:r>
            <w:r>
              <w:t>2</w:t>
            </w:r>
            <w:r w:rsidRPr="00F54FF3">
              <w:t>-2025</w:t>
            </w:r>
            <w:r w:rsidR="00F4651A">
              <w:t>.</w:t>
            </w:r>
          </w:p>
        </w:tc>
      </w:tr>
    </w:tbl>
    <w:p w:rsidR="00F47510" w:rsidRPr="006A529A" w:rsidRDefault="00F47510" w:rsidP="000806C3"/>
    <w:tbl>
      <w:tblPr>
        <w:tblStyle w:val="TableGrid"/>
        <w:tblW w:w="0" w:type="auto"/>
        <w:tblLook w:val="04A0"/>
      </w:tblPr>
      <w:tblGrid>
        <w:gridCol w:w="9217"/>
      </w:tblGrid>
      <w:tr w:rsidR="00F47510" w:rsidRPr="006A529A" w:rsidTr="003F38F1">
        <w:tc>
          <w:tcPr>
            <w:tcW w:w="921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DD6EE" w:themeFill="accent5" w:themeFillTint="66"/>
          </w:tcPr>
          <w:p w:rsidR="00F47510" w:rsidRPr="006A529A" w:rsidRDefault="00322AEB" w:rsidP="00527782">
            <w:pPr>
              <w:rPr>
                <w:b/>
              </w:rPr>
            </w:pPr>
            <w:r>
              <w:rPr>
                <w:b/>
              </w:rPr>
              <w:t>Циљ</w:t>
            </w:r>
            <w:r w:rsidR="00F47510" w:rsidRPr="006A529A">
              <w:rPr>
                <w:b/>
              </w:rPr>
              <w:t xml:space="preserve"> 2 </w:t>
            </w:r>
            <w:r w:rsidRPr="00FA59E0">
              <w:rPr>
                <w:b/>
                <w:bCs/>
                <w:szCs w:val="20"/>
              </w:rPr>
              <w:t>Унапређење компетенција радне снаге</w:t>
            </w:r>
          </w:p>
        </w:tc>
      </w:tr>
    </w:tbl>
    <w:p w:rsidR="00437065" w:rsidRDefault="00437065"/>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tblPr>
      <w:tblGrid>
        <w:gridCol w:w="893"/>
        <w:gridCol w:w="3341"/>
        <w:gridCol w:w="3132"/>
        <w:gridCol w:w="1851"/>
        <w:gridCol w:w="85"/>
      </w:tblGrid>
      <w:tr w:rsidR="00F47510" w:rsidRPr="006A529A" w:rsidTr="00F4651A">
        <w:trPr>
          <w:gridAfter w:val="1"/>
          <w:wAfter w:w="85" w:type="dxa"/>
        </w:trPr>
        <w:tc>
          <w:tcPr>
            <w:tcW w:w="893" w:type="dxa"/>
            <w:shd w:val="clear" w:color="auto" w:fill="E2EFD9" w:themeFill="accent6" w:themeFillTint="33"/>
          </w:tcPr>
          <w:p w:rsidR="00F47510" w:rsidRPr="006A529A" w:rsidRDefault="00F47510" w:rsidP="00527782">
            <w:pPr>
              <w:rPr>
                <w:b/>
              </w:rPr>
            </w:pPr>
          </w:p>
        </w:tc>
        <w:tc>
          <w:tcPr>
            <w:tcW w:w="3341" w:type="dxa"/>
            <w:shd w:val="clear" w:color="auto" w:fill="E2EFD9" w:themeFill="accent6" w:themeFillTint="33"/>
          </w:tcPr>
          <w:p w:rsidR="00F47510" w:rsidRPr="008B1D1B" w:rsidRDefault="008B1D1B" w:rsidP="00527782">
            <w:pPr>
              <w:rPr>
                <w:b/>
              </w:rPr>
            </w:pPr>
            <w:r>
              <w:rPr>
                <w:b/>
              </w:rPr>
              <w:t>Активности</w:t>
            </w:r>
          </w:p>
        </w:tc>
        <w:tc>
          <w:tcPr>
            <w:tcW w:w="3132" w:type="dxa"/>
            <w:shd w:val="clear" w:color="auto" w:fill="E2EFD9" w:themeFill="accent6" w:themeFillTint="33"/>
          </w:tcPr>
          <w:p w:rsidR="00F47510" w:rsidRPr="008B1D1B" w:rsidRDefault="008B1D1B" w:rsidP="00527782">
            <w:pPr>
              <w:rPr>
                <w:b/>
              </w:rPr>
            </w:pPr>
            <w:r>
              <w:rPr>
                <w:b/>
              </w:rPr>
              <w:t>Циљна група</w:t>
            </w:r>
          </w:p>
        </w:tc>
        <w:tc>
          <w:tcPr>
            <w:tcW w:w="1851" w:type="dxa"/>
            <w:shd w:val="clear" w:color="auto" w:fill="E2EFD9" w:themeFill="accent6" w:themeFillTint="33"/>
          </w:tcPr>
          <w:p w:rsidR="00F47510" w:rsidRPr="008B1D1B" w:rsidRDefault="008B1D1B" w:rsidP="00527782">
            <w:pPr>
              <w:rPr>
                <w:b/>
              </w:rPr>
            </w:pPr>
            <w:r>
              <w:rPr>
                <w:b/>
              </w:rPr>
              <w:t>Временски оквир</w:t>
            </w:r>
          </w:p>
        </w:tc>
      </w:tr>
      <w:tr w:rsidR="00F47510" w:rsidRPr="006A529A" w:rsidTr="00F4651A">
        <w:trPr>
          <w:gridAfter w:val="1"/>
          <w:wAfter w:w="85" w:type="dxa"/>
          <w:trHeight w:val="250"/>
        </w:trPr>
        <w:tc>
          <w:tcPr>
            <w:tcW w:w="893" w:type="dxa"/>
          </w:tcPr>
          <w:p w:rsidR="00F47510" w:rsidRPr="006A529A" w:rsidRDefault="00F47510" w:rsidP="00527782">
            <w:r w:rsidRPr="006A529A">
              <w:t>2.1</w:t>
            </w:r>
            <w:r w:rsidR="00903A1F">
              <w:t>.</w:t>
            </w:r>
          </w:p>
        </w:tc>
        <w:tc>
          <w:tcPr>
            <w:tcW w:w="3341" w:type="dxa"/>
          </w:tcPr>
          <w:p w:rsidR="00F47510" w:rsidRPr="006A529A" w:rsidRDefault="008B1D1B" w:rsidP="00527782">
            <w:r w:rsidRPr="008B1D1B">
              <w:t>Образовање и оспособљавање незапослених лица (ЗЗЗЦГ- Биро рада)</w:t>
            </w:r>
          </w:p>
        </w:tc>
        <w:tc>
          <w:tcPr>
            <w:tcW w:w="3132" w:type="dxa"/>
          </w:tcPr>
          <w:p w:rsidR="00F47510" w:rsidRPr="006A529A" w:rsidRDefault="008B1D1B" w:rsidP="00527782">
            <w:r w:rsidRPr="008B1D1B">
              <w:t>Незапослена лица регистрована на евиденцији ЗЗЗЦГ- Бироу рада</w:t>
            </w:r>
          </w:p>
        </w:tc>
        <w:tc>
          <w:tcPr>
            <w:tcW w:w="1851" w:type="dxa"/>
          </w:tcPr>
          <w:p w:rsidR="00F47510" w:rsidRPr="006A529A" w:rsidRDefault="00F47510" w:rsidP="00527782">
            <w:r w:rsidRPr="00271C5E">
              <w:t>2021-2025</w:t>
            </w:r>
            <w:r w:rsidR="00F4651A">
              <w:t>.</w:t>
            </w:r>
          </w:p>
        </w:tc>
      </w:tr>
      <w:tr w:rsidR="00F47510" w:rsidRPr="006A529A" w:rsidTr="00F4651A">
        <w:trPr>
          <w:gridAfter w:val="1"/>
          <w:wAfter w:w="85" w:type="dxa"/>
        </w:trPr>
        <w:tc>
          <w:tcPr>
            <w:tcW w:w="893" w:type="dxa"/>
          </w:tcPr>
          <w:p w:rsidR="00F47510" w:rsidRPr="006A529A" w:rsidRDefault="00F47510" w:rsidP="00527782">
            <w:r w:rsidRPr="006A529A">
              <w:t>2.2</w:t>
            </w:r>
            <w:r w:rsidR="00903A1F">
              <w:t>.</w:t>
            </w:r>
            <w:r w:rsidRPr="006A529A">
              <w:t xml:space="preserve"> </w:t>
            </w:r>
          </w:p>
        </w:tc>
        <w:tc>
          <w:tcPr>
            <w:tcW w:w="3341" w:type="dxa"/>
          </w:tcPr>
          <w:p w:rsidR="00F47510" w:rsidRPr="006A529A" w:rsidRDefault="008B1D1B" w:rsidP="00527782">
            <w:r w:rsidRPr="008B1D1B">
              <w:t>Едукација пољопривредника</w:t>
            </w:r>
          </w:p>
        </w:tc>
        <w:tc>
          <w:tcPr>
            <w:tcW w:w="3132" w:type="dxa"/>
          </w:tcPr>
          <w:p w:rsidR="00F47510" w:rsidRPr="006A529A" w:rsidRDefault="0037436F" w:rsidP="00527782">
            <w:r w:rsidRPr="0037436F">
              <w:t>Пољопривредници</w:t>
            </w:r>
          </w:p>
        </w:tc>
        <w:tc>
          <w:tcPr>
            <w:tcW w:w="1851" w:type="dxa"/>
          </w:tcPr>
          <w:p w:rsidR="00F47510" w:rsidRPr="006A529A" w:rsidRDefault="00F47510" w:rsidP="00527782">
            <w:r w:rsidRPr="00271C5E">
              <w:t>2021-2025</w:t>
            </w:r>
            <w:r w:rsidR="00F4651A">
              <w:t>.</w:t>
            </w:r>
          </w:p>
        </w:tc>
      </w:tr>
      <w:tr w:rsidR="00F47510" w:rsidRPr="006A529A" w:rsidTr="00F4651A">
        <w:trPr>
          <w:gridAfter w:val="1"/>
          <w:wAfter w:w="85" w:type="dxa"/>
        </w:trPr>
        <w:tc>
          <w:tcPr>
            <w:tcW w:w="893" w:type="dxa"/>
          </w:tcPr>
          <w:p w:rsidR="00F47510" w:rsidRPr="006A529A" w:rsidRDefault="00903A1F" w:rsidP="00527782">
            <w:r>
              <w:t>2.3 .</w:t>
            </w:r>
            <w:r w:rsidR="00F47510" w:rsidRPr="006A529A">
              <w:t xml:space="preserve"> </w:t>
            </w:r>
          </w:p>
        </w:tc>
        <w:tc>
          <w:tcPr>
            <w:tcW w:w="3341" w:type="dxa"/>
          </w:tcPr>
          <w:p w:rsidR="00F47510" w:rsidRPr="006A529A" w:rsidRDefault="008B1D1B" w:rsidP="00527782">
            <w:r w:rsidRPr="008B1D1B">
              <w:t>Обука за пружаоце услуга у сеоском туризму</w:t>
            </w:r>
          </w:p>
        </w:tc>
        <w:tc>
          <w:tcPr>
            <w:tcW w:w="3132" w:type="dxa"/>
          </w:tcPr>
          <w:p w:rsidR="00F47510" w:rsidRPr="006A529A" w:rsidRDefault="0037436F" w:rsidP="00527782">
            <w:r>
              <w:t>Пружаоци</w:t>
            </w:r>
            <w:r w:rsidRPr="008B1D1B">
              <w:t xml:space="preserve"> услуга у сеоском туризму</w:t>
            </w:r>
          </w:p>
        </w:tc>
        <w:tc>
          <w:tcPr>
            <w:tcW w:w="1851" w:type="dxa"/>
          </w:tcPr>
          <w:p w:rsidR="00F47510" w:rsidRPr="006A529A" w:rsidRDefault="00F47510" w:rsidP="00527782">
            <w:r>
              <w:t>2022-2025</w:t>
            </w:r>
            <w:r w:rsidR="00F4651A">
              <w:t>.</w:t>
            </w:r>
          </w:p>
        </w:tc>
      </w:tr>
      <w:tr w:rsidR="00F47510" w:rsidRPr="006A529A" w:rsidTr="00F4651A">
        <w:trPr>
          <w:gridAfter w:val="1"/>
          <w:wAfter w:w="85" w:type="dxa"/>
        </w:trPr>
        <w:tc>
          <w:tcPr>
            <w:tcW w:w="893" w:type="dxa"/>
          </w:tcPr>
          <w:p w:rsidR="00F47510" w:rsidRPr="006A529A" w:rsidRDefault="00F47510" w:rsidP="00527782">
            <w:r w:rsidRPr="006A529A">
              <w:t>2.4</w:t>
            </w:r>
            <w:r w:rsidR="00903A1F">
              <w:t>.</w:t>
            </w:r>
          </w:p>
        </w:tc>
        <w:tc>
          <w:tcPr>
            <w:tcW w:w="3341" w:type="dxa"/>
          </w:tcPr>
          <w:p w:rsidR="00F47510" w:rsidRPr="006A529A" w:rsidRDefault="008B1D1B" w:rsidP="00527782">
            <w:r w:rsidRPr="008B1D1B">
              <w:t>Организовање обука на радном мјесту</w:t>
            </w:r>
          </w:p>
        </w:tc>
        <w:tc>
          <w:tcPr>
            <w:tcW w:w="3132" w:type="dxa"/>
          </w:tcPr>
          <w:p w:rsidR="00F47510" w:rsidRPr="00271C5E" w:rsidRDefault="0037436F" w:rsidP="00527782">
            <w:pPr>
              <w:rPr>
                <w:color w:val="FF0000"/>
              </w:rPr>
            </w:pPr>
            <w:r w:rsidRPr="008B1D1B">
              <w:t>Незапослена лица регистрована на евиденцији ЗЗЗЦГ- Бироу рада</w:t>
            </w:r>
          </w:p>
        </w:tc>
        <w:tc>
          <w:tcPr>
            <w:tcW w:w="1851" w:type="dxa"/>
          </w:tcPr>
          <w:p w:rsidR="00F47510" w:rsidRPr="006A529A" w:rsidRDefault="00F47510" w:rsidP="00527782">
            <w:r w:rsidRPr="00271C5E">
              <w:t>2021-2025</w:t>
            </w:r>
            <w:r w:rsidR="00F4651A">
              <w:t>.</w:t>
            </w:r>
          </w:p>
        </w:tc>
      </w:tr>
      <w:tr w:rsidR="00F47510" w:rsidRPr="006A529A" w:rsidTr="00F4651A">
        <w:trPr>
          <w:gridAfter w:val="1"/>
          <w:wAfter w:w="85" w:type="dxa"/>
        </w:trPr>
        <w:tc>
          <w:tcPr>
            <w:tcW w:w="893" w:type="dxa"/>
          </w:tcPr>
          <w:p w:rsidR="00F47510" w:rsidRPr="006A529A" w:rsidRDefault="00F47510" w:rsidP="00527782">
            <w:r w:rsidRPr="006A529A">
              <w:t>2.5</w:t>
            </w:r>
            <w:r w:rsidR="00812BD8">
              <w:t>.</w:t>
            </w:r>
            <w:r w:rsidRPr="006A529A">
              <w:t xml:space="preserve"> </w:t>
            </w:r>
          </w:p>
        </w:tc>
        <w:tc>
          <w:tcPr>
            <w:tcW w:w="3341" w:type="dxa"/>
          </w:tcPr>
          <w:p w:rsidR="00F47510" w:rsidRPr="006A529A" w:rsidRDefault="008B1D1B" w:rsidP="008B1D1B">
            <w:r w:rsidRPr="008B1D1B">
              <w:t xml:space="preserve">Обука за унапређење </w:t>
            </w:r>
            <w:r>
              <w:t xml:space="preserve">IT  </w:t>
            </w:r>
            <w:r w:rsidRPr="008B1D1B">
              <w:t xml:space="preserve">компетенција </w:t>
            </w:r>
          </w:p>
        </w:tc>
        <w:tc>
          <w:tcPr>
            <w:tcW w:w="3132" w:type="dxa"/>
          </w:tcPr>
          <w:p w:rsidR="00F47510" w:rsidRPr="006A529A" w:rsidRDefault="0037436F" w:rsidP="00527782">
            <w:r w:rsidRPr="0037436F">
              <w:t>Незапослена и запослена лица, почетници у бизнису</w:t>
            </w:r>
          </w:p>
        </w:tc>
        <w:tc>
          <w:tcPr>
            <w:tcW w:w="1851" w:type="dxa"/>
          </w:tcPr>
          <w:p w:rsidR="00F47510" w:rsidRPr="00F47510" w:rsidRDefault="00903A1F" w:rsidP="00527782">
            <w:pPr>
              <w:rPr>
                <w:color w:val="FF0000"/>
              </w:rPr>
            </w:pPr>
            <w:r>
              <w:t>2022-2025</w:t>
            </w:r>
            <w:r w:rsidR="00F4651A">
              <w:t>.</w:t>
            </w:r>
          </w:p>
        </w:tc>
      </w:tr>
      <w:tr w:rsidR="00F47510" w:rsidRPr="006A529A" w:rsidTr="00F4651A">
        <w:trPr>
          <w:gridAfter w:val="1"/>
          <w:wAfter w:w="85" w:type="dxa"/>
        </w:trPr>
        <w:tc>
          <w:tcPr>
            <w:tcW w:w="893" w:type="dxa"/>
          </w:tcPr>
          <w:p w:rsidR="00F47510" w:rsidRPr="006A529A" w:rsidRDefault="00F47510" w:rsidP="00F47510">
            <w:r>
              <w:lastRenderedPageBreak/>
              <w:t>2.6</w:t>
            </w:r>
            <w:r w:rsidR="00812BD8">
              <w:t>.</w:t>
            </w:r>
          </w:p>
        </w:tc>
        <w:tc>
          <w:tcPr>
            <w:tcW w:w="3341" w:type="dxa"/>
          </w:tcPr>
          <w:p w:rsidR="00F47510" w:rsidRPr="006A529A" w:rsidRDefault="008B1D1B" w:rsidP="00F47510">
            <w:r w:rsidRPr="008B1D1B">
              <w:t>Јавни радови</w:t>
            </w:r>
          </w:p>
        </w:tc>
        <w:tc>
          <w:tcPr>
            <w:tcW w:w="3132" w:type="dxa"/>
          </w:tcPr>
          <w:p w:rsidR="00F47510" w:rsidRPr="006A529A" w:rsidRDefault="0037436F" w:rsidP="00F47510">
            <w:r>
              <w:t xml:space="preserve"> </w:t>
            </w:r>
            <w:r w:rsidRPr="0037436F">
              <w:t>Незапослена лица, првенствено теже запошљива лица</w:t>
            </w:r>
          </w:p>
        </w:tc>
        <w:tc>
          <w:tcPr>
            <w:tcW w:w="1851" w:type="dxa"/>
          </w:tcPr>
          <w:p w:rsidR="00F47510" w:rsidRPr="006A529A" w:rsidRDefault="00F47510" w:rsidP="00F47510">
            <w:r w:rsidRPr="00A346D6">
              <w:t>2021-2025</w:t>
            </w:r>
            <w:r w:rsidR="00F4651A">
              <w:t>.</w:t>
            </w:r>
          </w:p>
        </w:tc>
      </w:tr>
      <w:tr w:rsidR="00F47510" w:rsidRPr="00A346D6" w:rsidTr="00F4651A">
        <w:trPr>
          <w:gridAfter w:val="1"/>
          <w:wAfter w:w="85" w:type="dxa"/>
        </w:trPr>
        <w:tc>
          <w:tcPr>
            <w:tcW w:w="893" w:type="dxa"/>
          </w:tcPr>
          <w:p w:rsidR="00F47510" w:rsidRDefault="00F47510" w:rsidP="00F47510">
            <w:r>
              <w:t>2.7</w:t>
            </w:r>
            <w:r w:rsidR="00812BD8">
              <w:t>.</w:t>
            </w:r>
          </w:p>
        </w:tc>
        <w:tc>
          <w:tcPr>
            <w:tcW w:w="3341" w:type="dxa"/>
          </w:tcPr>
          <w:p w:rsidR="00F47510" w:rsidRDefault="008B1D1B" w:rsidP="00F47510">
            <w:r w:rsidRPr="008B1D1B">
              <w:t>Образовање и оспособљавање за дефицитарна занимања (ИПА)**</w:t>
            </w:r>
          </w:p>
        </w:tc>
        <w:tc>
          <w:tcPr>
            <w:tcW w:w="3132" w:type="dxa"/>
          </w:tcPr>
          <w:p w:rsidR="00F47510" w:rsidRDefault="0037436F" w:rsidP="00F47510">
            <w:r w:rsidRPr="0037436F">
              <w:t>Радна снага</w:t>
            </w:r>
          </w:p>
        </w:tc>
        <w:tc>
          <w:tcPr>
            <w:tcW w:w="1851" w:type="dxa"/>
          </w:tcPr>
          <w:p w:rsidR="00F47510" w:rsidRPr="00A346D6" w:rsidRDefault="00F47510" w:rsidP="00F47510">
            <w:r w:rsidRPr="00F51578">
              <w:t>2022-2023</w:t>
            </w:r>
            <w:r w:rsidR="00F4651A">
              <w:t>.</w:t>
            </w:r>
          </w:p>
        </w:tc>
      </w:tr>
      <w:tr w:rsidR="00F47510" w:rsidRPr="00F51578" w:rsidTr="00F4651A">
        <w:trPr>
          <w:gridAfter w:val="1"/>
          <w:wAfter w:w="85" w:type="dxa"/>
        </w:trPr>
        <w:tc>
          <w:tcPr>
            <w:tcW w:w="893" w:type="dxa"/>
          </w:tcPr>
          <w:p w:rsidR="00F47510" w:rsidRPr="00812BD8" w:rsidRDefault="00F47510" w:rsidP="00F47510">
            <w:r w:rsidRPr="00812BD8">
              <w:t>2.8</w:t>
            </w:r>
            <w:r w:rsidR="00812BD8" w:rsidRPr="00812BD8">
              <w:t>.</w:t>
            </w:r>
          </w:p>
        </w:tc>
        <w:tc>
          <w:tcPr>
            <w:tcW w:w="3341" w:type="dxa"/>
          </w:tcPr>
          <w:p w:rsidR="00F47510" w:rsidRPr="00812BD8" w:rsidRDefault="008B1D1B" w:rsidP="00F47510">
            <w:r w:rsidRPr="008B1D1B">
              <w:t>Промоција лиценцираних програма образовања одраслих</w:t>
            </w:r>
          </w:p>
        </w:tc>
        <w:tc>
          <w:tcPr>
            <w:tcW w:w="3132" w:type="dxa"/>
          </w:tcPr>
          <w:p w:rsidR="00F47510" w:rsidRPr="00812BD8" w:rsidRDefault="0037436F" w:rsidP="00F47510">
            <w:r w:rsidRPr="0037436F">
              <w:t>Организатори обука одраслих, незапослена лица-првенствено теже запошљива лица</w:t>
            </w:r>
          </w:p>
        </w:tc>
        <w:tc>
          <w:tcPr>
            <w:tcW w:w="1851" w:type="dxa"/>
          </w:tcPr>
          <w:p w:rsidR="00F47510" w:rsidRPr="00F51578" w:rsidRDefault="00812BD8" w:rsidP="00F47510">
            <w:r>
              <w:t>2021-2025</w:t>
            </w:r>
            <w:r w:rsidR="00F4651A">
              <w:t>.</w:t>
            </w:r>
          </w:p>
        </w:tc>
      </w:tr>
      <w:tr w:rsidR="00F47510" w:rsidRPr="006A529A" w:rsidTr="00F4651A">
        <w:trPr>
          <w:gridAfter w:val="1"/>
          <w:wAfter w:w="85" w:type="dxa"/>
        </w:trPr>
        <w:tc>
          <w:tcPr>
            <w:tcW w:w="893" w:type="dxa"/>
          </w:tcPr>
          <w:p w:rsidR="00F47510" w:rsidRPr="00812BD8" w:rsidRDefault="00F47510" w:rsidP="00F47510">
            <w:r w:rsidRPr="00812BD8">
              <w:t>2.9</w:t>
            </w:r>
            <w:r w:rsidR="00812BD8" w:rsidRPr="00812BD8">
              <w:t>.</w:t>
            </w:r>
          </w:p>
        </w:tc>
        <w:tc>
          <w:tcPr>
            <w:tcW w:w="3341" w:type="dxa"/>
          </w:tcPr>
          <w:p w:rsidR="00F47510" w:rsidRPr="00812BD8" w:rsidRDefault="008B1D1B" w:rsidP="00F47510">
            <w:r w:rsidRPr="008B1D1B">
              <w:t>Мотивациони семинари за незапослене</w:t>
            </w:r>
          </w:p>
        </w:tc>
        <w:tc>
          <w:tcPr>
            <w:tcW w:w="3132" w:type="dxa"/>
          </w:tcPr>
          <w:p w:rsidR="00F47510" w:rsidRPr="00812BD8" w:rsidRDefault="0037436F" w:rsidP="00F47510">
            <w:r w:rsidRPr="008B1D1B">
              <w:t>Незапослена лица регистрована на евиденцији ЗЗЗЦГ- Бироу рада</w:t>
            </w:r>
          </w:p>
        </w:tc>
        <w:tc>
          <w:tcPr>
            <w:tcW w:w="1851" w:type="dxa"/>
          </w:tcPr>
          <w:p w:rsidR="00F47510" w:rsidRPr="006A529A" w:rsidRDefault="00812BD8" w:rsidP="00F47510">
            <w:r>
              <w:t>2021-2025</w:t>
            </w:r>
            <w:r w:rsidR="00F4651A">
              <w:t>.</w:t>
            </w:r>
          </w:p>
        </w:tc>
      </w:tr>
      <w:tr w:rsidR="00F47510" w:rsidRPr="006A529A" w:rsidTr="00F4651A">
        <w:trPr>
          <w:gridAfter w:val="1"/>
          <w:wAfter w:w="85" w:type="dxa"/>
        </w:trPr>
        <w:tc>
          <w:tcPr>
            <w:tcW w:w="893" w:type="dxa"/>
          </w:tcPr>
          <w:p w:rsidR="00F47510" w:rsidRPr="00812BD8" w:rsidRDefault="00F47510" w:rsidP="00F47510">
            <w:r w:rsidRPr="00812BD8">
              <w:t>2.10</w:t>
            </w:r>
            <w:r w:rsidR="00812BD8" w:rsidRPr="00812BD8">
              <w:t>.</w:t>
            </w:r>
          </w:p>
        </w:tc>
        <w:tc>
          <w:tcPr>
            <w:tcW w:w="3341" w:type="dxa"/>
          </w:tcPr>
          <w:p w:rsidR="00F47510" w:rsidRPr="00812BD8" w:rsidRDefault="008B1D1B" w:rsidP="00F47510">
            <w:r w:rsidRPr="008B1D1B">
              <w:t>Клубови за тражење посла</w:t>
            </w:r>
          </w:p>
        </w:tc>
        <w:tc>
          <w:tcPr>
            <w:tcW w:w="3132" w:type="dxa"/>
          </w:tcPr>
          <w:p w:rsidR="00F47510" w:rsidRPr="00812BD8" w:rsidRDefault="0037436F" w:rsidP="00F47510">
            <w:r w:rsidRPr="008B1D1B">
              <w:t>Незапослена лица</w:t>
            </w:r>
          </w:p>
        </w:tc>
        <w:tc>
          <w:tcPr>
            <w:tcW w:w="1851" w:type="dxa"/>
          </w:tcPr>
          <w:p w:rsidR="00F47510" w:rsidRPr="006A529A" w:rsidRDefault="00812BD8" w:rsidP="00F47510">
            <w:r>
              <w:t>2022-2025</w:t>
            </w:r>
            <w:r w:rsidR="00F4651A">
              <w:t>.</w:t>
            </w:r>
          </w:p>
        </w:tc>
      </w:tr>
      <w:tr w:rsidR="00632C13" w:rsidRPr="00A739FF" w:rsidTr="00F4651A">
        <w:tblPrEx>
          <w:tblBorders>
            <w:top w:val="dotted" w:sz="4" w:space="0" w:color="FFFF66"/>
            <w:left w:val="dotted" w:sz="4" w:space="0" w:color="FFFF66"/>
            <w:bottom w:val="dotted" w:sz="4" w:space="0" w:color="FFFF66"/>
            <w:right w:val="dotted" w:sz="4" w:space="0" w:color="FFFF66"/>
            <w:insideH w:val="dotted" w:sz="4" w:space="0" w:color="FFFF66"/>
            <w:insideV w:val="dotted" w:sz="4" w:space="0" w:color="FFFF66"/>
          </w:tblBorders>
        </w:tblPrEx>
        <w:trPr>
          <w:trHeight w:val="575"/>
        </w:trPr>
        <w:tc>
          <w:tcPr>
            <w:tcW w:w="9302" w:type="dxa"/>
            <w:gridSpan w:val="5"/>
            <w:tcBorders>
              <w:top w:val="nil"/>
              <w:left w:val="nil"/>
              <w:bottom w:val="nil"/>
              <w:right w:val="nil"/>
            </w:tcBorders>
            <w:shd w:val="clear" w:color="auto" w:fill="FFFFFF" w:themeFill="background1"/>
          </w:tcPr>
          <w:p w:rsidR="00632C13" w:rsidRPr="00A739FF" w:rsidRDefault="0037436F" w:rsidP="00A739FF">
            <w:pPr>
              <w:pStyle w:val="Heading1"/>
              <w:numPr>
                <w:ilvl w:val="0"/>
                <w:numId w:val="6"/>
              </w:numPr>
              <w:ind w:left="318"/>
            </w:pPr>
            <w:bookmarkStart w:id="73" w:name="_Toc74296664"/>
            <w:r>
              <w:t>УПРАВЉАЊЕ, ПРАЋЕЊЕ,  ИЗВЈЕШТАВАЊЕ И ПРОМОЦИЈА</w:t>
            </w:r>
            <w:bookmarkEnd w:id="73"/>
          </w:p>
        </w:tc>
      </w:tr>
    </w:tbl>
    <w:p w:rsidR="006664BA" w:rsidRPr="006664BA" w:rsidRDefault="006664BA" w:rsidP="0037436F">
      <w:pPr>
        <w:jc w:val="both"/>
        <w:rPr>
          <w:rFonts w:cs="Arial"/>
        </w:rPr>
      </w:pPr>
    </w:p>
    <w:p w:rsidR="0037436F" w:rsidRPr="0037436F" w:rsidRDefault="0037436F" w:rsidP="0037436F">
      <w:pPr>
        <w:jc w:val="both"/>
        <w:rPr>
          <w:sz w:val="22"/>
          <w:szCs w:val="22"/>
        </w:rPr>
      </w:pPr>
      <w:r w:rsidRPr="0037436F">
        <w:rPr>
          <w:sz w:val="22"/>
          <w:szCs w:val="22"/>
        </w:rPr>
        <w:t>УПРАВЉАЊЕ</w:t>
      </w:r>
    </w:p>
    <w:p w:rsidR="0037436F" w:rsidRPr="0037436F" w:rsidRDefault="0037436F" w:rsidP="0037436F">
      <w:pPr>
        <w:jc w:val="both"/>
        <w:rPr>
          <w:sz w:val="22"/>
          <w:szCs w:val="22"/>
        </w:rPr>
      </w:pPr>
    </w:p>
    <w:p w:rsidR="0037436F" w:rsidRPr="0037436F" w:rsidRDefault="0037436F" w:rsidP="0037436F">
      <w:pPr>
        <w:jc w:val="both"/>
        <w:rPr>
          <w:sz w:val="22"/>
          <w:szCs w:val="22"/>
        </w:rPr>
      </w:pPr>
      <w:r w:rsidRPr="0037436F">
        <w:rPr>
          <w:sz w:val="22"/>
          <w:szCs w:val="22"/>
        </w:rPr>
        <w:t>За координацију спровођења Стратегије запошљавања биће одговоран Менаџер општине.</w:t>
      </w:r>
    </w:p>
    <w:p w:rsidR="0037436F" w:rsidRPr="0037436F" w:rsidRDefault="0037436F" w:rsidP="0037436F">
      <w:pPr>
        <w:jc w:val="both"/>
        <w:rPr>
          <w:sz w:val="22"/>
          <w:szCs w:val="22"/>
        </w:rPr>
      </w:pPr>
      <w:r w:rsidRPr="0037436F">
        <w:rPr>
          <w:sz w:val="22"/>
          <w:szCs w:val="22"/>
        </w:rPr>
        <w:t xml:space="preserve">Стратегија се имплементира и прати кроз годишње акционе планове запошљавања, који дефинишу активности које се спроводе на годишњем нивоу, а за сваку активност дефинишу се циљне групе, број укључених, очекивани резултати, оквирна финансијска средства, извори финансирања и одговорне институције за спровођење.  </w:t>
      </w:r>
    </w:p>
    <w:p w:rsidR="0037436F" w:rsidRPr="0037436F" w:rsidRDefault="0037436F" w:rsidP="0037436F">
      <w:pPr>
        <w:jc w:val="both"/>
        <w:rPr>
          <w:sz w:val="22"/>
          <w:szCs w:val="22"/>
        </w:rPr>
      </w:pPr>
    </w:p>
    <w:p w:rsidR="001F119D" w:rsidRDefault="0037436F" w:rsidP="0037436F">
      <w:pPr>
        <w:jc w:val="both"/>
        <w:rPr>
          <w:sz w:val="22"/>
          <w:szCs w:val="22"/>
        </w:rPr>
      </w:pPr>
      <w:r w:rsidRPr="0037436F">
        <w:rPr>
          <w:sz w:val="22"/>
          <w:szCs w:val="22"/>
        </w:rPr>
        <w:t>За припрему годишњег акционог плана одговоран је Менаџер општине у сарадњи са локалном партнерском групом за запошљавање.</w:t>
      </w:r>
    </w:p>
    <w:p w:rsidR="0037436F" w:rsidRPr="0037436F" w:rsidRDefault="0037436F" w:rsidP="0037436F">
      <w:pPr>
        <w:rPr>
          <w:rFonts w:cs="Arial"/>
          <w:sz w:val="22"/>
          <w:szCs w:val="22"/>
        </w:rPr>
      </w:pPr>
    </w:p>
    <w:p w:rsidR="0037436F" w:rsidRPr="0037436F" w:rsidRDefault="0037436F" w:rsidP="0037436F">
      <w:pPr>
        <w:jc w:val="both"/>
        <w:rPr>
          <w:sz w:val="22"/>
          <w:szCs w:val="22"/>
        </w:rPr>
      </w:pPr>
      <w:r w:rsidRPr="0037436F">
        <w:rPr>
          <w:sz w:val="22"/>
          <w:szCs w:val="22"/>
        </w:rPr>
        <w:t>ПРАЋЕЊЕ</w:t>
      </w:r>
    </w:p>
    <w:p w:rsidR="0037436F" w:rsidRPr="0037436F" w:rsidRDefault="0037436F" w:rsidP="0037436F">
      <w:pPr>
        <w:jc w:val="both"/>
        <w:rPr>
          <w:sz w:val="22"/>
          <w:szCs w:val="22"/>
        </w:rPr>
      </w:pPr>
    </w:p>
    <w:p w:rsidR="0037436F" w:rsidRPr="0037436F" w:rsidRDefault="0037436F" w:rsidP="0037436F">
      <w:pPr>
        <w:jc w:val="both"/>
        <w:rPr>
          <w:sz w:val="22"/>
          <w:szCs w:val="22"/>
        </w:rPr>
      </w:pPr>
      <w:r w:rsidRPr="0037436F">
        <w:rPr>
          <w:sz w:val="22"/>
          <w:szCs w:val="22"/>
        </w:rPr>
        <w:t xml:space="preserve">Са циљем праћења реализације Стратегије запошљавања дефинисан је мониторинг систем који укључује индикаторе (показатеље) успјешности за стратешки циљ и оперативне циљеве, уз дефинисану полазну основу и планиране резултате. </w:t>
      </w:r>
    </w:p>
    <w:p w:rsidR="0037436F" w:rsidRPr="0037436F" w:rsidRDefault="0037436F" w:rsidP="0037436F">
      <w:pPr>
        <w:jc w:val="both"/>
        <w:rPr>
          <w:sz w:val="22"/>
          <w:szCs w:val="22"/>
        </w:rPr>
      </w:pPr>
    </w:p>
    <w:p w:rsidR="0037436F" w:rsidRPr="0037436F" w:rsidRDefault="0037436F" w:rsidP="0037436F">
      <w:pPr>
        <w:jc w:val="both"/>
        <w:rPr>
          <w:sz w:val="22"/>
          <w:szCs w:val="22"/>
        </w:rPr>
      </w:pPr>
      <w:r w:rsidRPr="0037436F">
        <w:rPr>
          <w:sz w:val="22"/>
          <w:szCs w:val="22"/>
        </w:rPr>
        <w:t xml:space="preserve">За редовно и континуирано праћење спровођења ове Стратегије и акционог плана стараће се Менаџер општине и локална партнерска група за запошљавање. </w:t>
      </w:r>
    </w:p>
    <w:p w:rsidR="0037436F" w:rsidRPr="0037436F" w:rsidRDefault="0037436F" w:rsidP="0037436F">
      <w:pPr>
        <w:jc w:val="both"/>
        <w:rPr>
          <w:sz w:val="22"/>
          <w:szCs w:val="22"/>
        </w:rPr>
      </w:pPr>
    </w:p>
    <w:p w:rsidR="0037436F" w:rsidRPr="0037436F" w:rsidRDefault="0037436F" w:rsidP="0037436F">
      <w:pPr>
        <w:jc w:val="both"/>
        <w:rPr>
          <w:sz w:val="22"/>
          <w:szCs w:val="22"/>
        </w:rPr>
      </w:pPr>
      <w:r w:rsidRPr="0037436F">
        <w:rPr>
          <w:sz w:val="22"/>
          <w:szCs w:val="22"/>
        </w:rPr>
        <w:t>ИЗВЈЕШТАВАЊЕ</w:t>
      </w:r>
    </w:p>
    <w:p w:rsidR="0037436F" w:rsidRPr="0037436F" w:rsidRDefault="0037436F" w:rsidP="0037436F">
      <w:pPr>
        <w:jc w:val="both"/>
        <w:rPr>
          <w:sz w:val="22"/>
          <w:szCs w:val="22"/>
        </w:rPr>
      </w:pPr>
    </w:p>
    <w:p w:rsidR="0037436F" w:rsidRPr="0037436F" w:rsidRDefault="0037436F" w:rsidP="0037436F">
      <w:pPr>
        <w:jc w:val="both"/>
        <w:rPr>
          <w:sz w:val="22"/>
          <w:szCs w:val="22"/>
        </w:rPr>
      </w:pPr>
      <w:r w:rsidRPr="0037436F">
        <w:rPr>
          <w:sz w:val="22"/>
          <w:szCs w:val="22"/>
        </w:rPr>
        <w:t>Менаџер општине ће у сарадњи са локалном партнерском групом једном годишње припремити извјештај о спровођењу стратегије запошљавања и акционог плана, који се просљеђује скупштини.</w:t>
      </w:r>
    </w:p>
    <w:p w:rsidR="0037436F" w:rsidRPr="0037436F" w:rsidRDefault="0037436F" w:rsidP="0037436F">
      <w:pPr>
        <w:jc w:val="both"/>
        <w:rPr>
          <w:sz w:val="22"/>
          <w:szCs w:val="22"/>
        </w:rPr>
      </w:pPr>
    </w:p>
    <w:p w:rsidR="0037436F" w:rsidRPr="0037436F" w:rsidRDefault="0037436F" w:rsidP="0037436F">
      <w:pPr>
        <w:jc w:val="both"/>
        <w:rPr>
          <w:sz w:val="22"/>
          <w:szCs w:val="22"/>
        </w:rPr>
      </w:pPr>
      <w:r w:rsidRPr="0037436F">
        <w:rPr>
          <w:sz w:val="22"/>
          <w:szCs w:val="22"/>
        </w:rPr>
        <w:t>ПРОМОЦИЈА</w:t>
      </w:r>
    </w:p>
    <w:p w:rsidR="0037436F" w:rsidRPr="0037436F" w:rsidRDefault="0037436F" w:rsidP="0037436F">
      <w:pPr>
        <w:jc w:val="both"/>
        <w:rPr>
          <w:sz w:val="22"/>
          <w:szCs w:val="22"/>
        </w:rPr>
      </w:pPr>
    </w:p>
    <w:p w:rsidR="001F119D" w:rsidRPr="006A529A" w:rsidRDefault="0037436F" w:rsidP="0037436F">
      <w:pPr>
        <w:jc w:val="both"/>
        <w:rPr>
          <w:rFonts w:cs="Arial"/>
          <w:szCs w:val="22"/>
        </w:rPr>
      </w:pPr>
      <w:r w:rsidRPr="0037436F">
        <w:rPr>
          <w:sz w:val="22"/>
          <w:szCs w:val="22"/>
        </w:rPr>
        <w:t>За промоцију ће се користити различити канали информисања и промоције, првенствено сајт општине.</w:t>
      </w:r>
    </w:p>
    <w:p w:rsidR="00DC7542" w:rsidRPr="003B12AC" w:rsidRDefault="00DC7542" w:rsidP="000806C3">
      <w:pPr>
        <w:rPr>
          <w:rFonts w:cs="Arial"/>
          <w:sz w:val="22"/>
          <w:szCs w:val="22"/>
        </w:rPr>
        <w:sectPr w:rsidR="00DC7542" w:rsidRPr="003B12AC" w:rsidSect="003C527A">
          <w:headerReference w:type="default" r:id="rId55"/>
          <w:footerReference w:type="default" r:id="rId56"/>
          <w:type w:val="continuous"/>
          <w:pgSz w:w="11906" w:h="16838"/>
          <w:pgMar w:top="1304" w:right="1304" w:bottom="1418" w:left="1361"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FD6BED" w:rsidRDefault="00926C1C" w:rsidP="00740761">
      <w:pPr>
        <w:pStyle w:val="Heading1"/>
        <w:numPr>
          <w:ilvl w:val="0"/>
          <w:numId w:val="0"/>
        </w:numPr>
      </w:pPr>
      <w:bookmarkStart w:id="74" w:name="_Toc74296665"/>
      <w:r>
        <w:lastRenderedPageBreak/>
        <w:t>Прилог</w:t>
      </w:r>
      <w:r w:rsidR="00E0199F">
        <w:t xml:space="preserve"> 1</w:t>
      </w:r>
      <w:r>
        <w:t>: ОРГАНИЗАТОРИ ОБРАЗОВАЊА ОДРАСЛИХ И ПРОГРАМИ</w:t>
      </w:r>
      <w:r w:rsidR="00C43791">
        <w:rPr>
          <w:rStyle w:val="FootnoteReference"/>
          <w:rFonts w:cs="Arial"/>
          <w:sz w:val="22"/>
          <w:szCs w:val="22"/>
        </w:rPr>
        <w:footnoteReference w:id="28"/>
      </w:r>
      <w:bookmarkEnd w:id="74"/>
    </w:p>
    <w:p w:rsidR="00DC7542" w:rsidRDefault="00DC7542" w:rsidP="000806C3">
      <w:pPr>
        <w:rPr>
          <w:rFonts w:cs="Arial"/>
          <w:sz w:val="22"/>
          <w:szCs w:val="22"/>
        </w:rPr>
      </w:pPr>
    </w:p>
    <w:tbl>
      <w:tblPr>
        <w:tblW w:w="138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4A0"/>
      </w:tblPr>
      <w:tblGrid>
        <w:gridCol w:w="3715"/>
        <w:gridCol w:w="5640"/>
        <w:gridCol w:w="4524"/>
      </w:tblGrid>
      <w:tr w:rsidR="00C43791" w:rsidRPr="00C43791" w:rsidTr="00740761">
        <w:trPr>
          <w:trHeight w:val="267"/>
        </w:trPr>
        <w:tc>
          <w:tcPr>
            <w:tcW w:w="3715"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Ауто школа Викторија</w:t>
            </w:r>
          </w:p>
        </w:tc>
        <w:tc>
          <w:tcPr>
            <w:tcW w:w="5640"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Руковалац грађевинским машинама - Багер</w:t>
            </w:r>
          </w:p>
        </w:tc>
      </w:tr>
      <w:tr w:rsidR="00C43791" w:rsidRPr="00C43791" w:rsidTr="00740761">
        <w:trPr>
          <w:trHeight w:val="267"/>
        </w:trPr>
        <w:tc>
          <w:tcPr>
            <w:tcW w:w="3715"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Ауто школа Викторија</w:t>
            </w:r>
          </w:p>
        </w:tc>
        <w:tc>
          <w:tcPr>
            <w:tcW w:w="5640"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610688" w:rsidRDefault="00610688" w:rsidP="00C43791">
            <w:pPr>
              <w:rPr>
                <w:rFonts w:eastAsia="Times New Roman" w:cs="Calibri"/>
                <w:color w:val="000000"/>
                <w:sz w:val="18"/>
                <w:lang w:eastAsia="sl-SI"/>
              </w:rPr>
            </w:pPr>
            <w:r w:rsidRPr="00610688">
              <w:rPr>
                <w:rFonts w:eastAsia="Times New Roman" w:cs="Calibri"/>
                <w:color w:val="000000"/>
                <w:sz w:val="18"/>
                <w:lang w:val="sl-SI" w:eastAsia="sl-SI"/>
              </w:rPr>
              <w:t>Руковал</w:t>
            </w:r>
            <w:r>
              <w:rPr>
                <w:rFonts w:eastAsia="Times New Roman" w:cs="Calibri"/>
                <w:color w:val="000000"/>
                <w:sz w:val="18"/>
                <w:lang w:val="sl-SI" w:eastAsia="sl-SI"/>
              </w:rPr>
              <w:t xml:space="preserve">ац грађевинским машинама – </w:t>
            </w:r>
            <w:r>
              <w:rPr>
                <w:rFonts w:eastAsia="Times New Roman" w:cs="Calibri"/>
                <w:color w:val="000000"/>
                <w:sz w:val="18"/>
                <w:lang w:eastAsia="sl-SI"/>
              </w:rPr>
              <w:t>Дозер</w:t>
            </w:r>
          </w:p>
        </w:tc>
      </w:tr>
      <w:tr w:rsidR="00C43791" w:rsidRPr="00C43791" w:rsidTr="00740761">
        <w:trPr>
          <w:trHeight w:val="267"/>
        </w:trPr>
        <w:tc>
          <w:tcPr>
            <w:tcW w:w="3715"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Ауто школа Викторија</w:t>
            </w:r>
          </w:p>
        </w:tc>
        <w:tc>
          <w:tcPr>
            <w:tcW w:w="5640"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610688" w:rsidRDefault="00610688" w:rsidP="00C43791">
            <w:pPr>
              <w:rPr>
                <w:rFonts w:eastAsia="Times New Roman" w:cs="Calibri"/>
                <w:color w:val="000000"/>
                <w:sz w:val="18"/>
                <w:lang w:eastAsia="sl-SI"/>
              </w:rPr>
            </w:pPr>
            <w:r w:rsidRPr="00610688">
              <w:rPr>
                <w:rFonts w:eastAsia="Times New Roman" w:cs="Calibri"/>
                <w:color w:val="000000"/>
                <w:sz w:val="18"/>
                <w:lang w:val="sl-SI" w:eastAsia="sl-SI"/>
              </w:rPr>
              <w:t>Руковал</w:t>
            </w:r>
            <w:r>
              <w:rPr>
                <w:rFonts w:eastAsia="Times New Roman" w:cs="Calibri"/>
                <w:color w:val="000000"/>
                <w:sz w:val="18"/>
                <w:lang w:val="sl-SI" w:eastAsia="sl-SI"/>
              </w:rPr>
              <w:t xml:space="preserve">ац грађевинским машинама - </w:t>
            </w:r>
            <w:r>
              <w:rPr>
                <w:rFonts w:eastAsia="Times New Roman" w:cs="Calibri"/>
                <w:color w:val="000000"/>
                <w:sz w:val="18"/>
                <w:lang w:eastAsia="sl-SI"/>
              </w:rPr>
              <w:t>Утоваривач</w:t>
            </w:r>
          </w:p>
        </w:tc>
      </w:tr>
      <w:tr w:rsidR="00C43791" w:rsidRPr="00C43791" w:rsidTr="00740761">
        <w:trPr>
          <w:trHeight w:val="267"/>
        </w:trPr>
        <w:tc>
          <w:tcPr>
            <w:tcW w:w="3715"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Ауто школа Викторија</w:t>
            </w:r>
          </w:p>
        </w:tc>
        <w:tc>
          <w:tcPr>
            <w:tcW w:w="5640"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610688" w:rsidRDefault="00610688" w:rsidP="00C43791">
            <w:pPr>
              <w:rPr>
                <w:rFonts w:eastAsia="Times New Roman" w:cs="Calibri"/>
                <w:color w:val="000000"/>
                <w:sz w:val="18"/>
                <w:lang w:eastAsia="sl-SI"/>
              </w:rPr>
            </w:pPr>
            <w:r w:rsidRPr="00610688">
              <w:rPr>
                <w:rFonts w:eastAsia="Times New Roman" w:cs="Calibri"/>
                <w:color w:val="000000"/>
                <w:sz w:val="18"/>
                <w:lang w:val="sl-SI" w:eastAsia="sl-SI"/>
              </w:rPr>
              <w:t>Руковал</w:t>
            </w:r>
            <w:r>
              <w:rPr>
                <w:rFonts w:eastAsia="Times New Roman" w:cs="Calibri"/>
                <w:color w:val="000000"/>
                <w:sz w:val="18"/>
                <w:lang w:val="sl-SI" w:eastAsia="sl-SI"/>
              </w:rPr>
              <w:t xml:space="preserve">ац грађевинским машинама - </w:t>
            </w:r>
            <w:r>
              <w:rPr>
                <w:rFonts w:eastAsia="Times New Roman" w:cs="Calibri"/>
                <w:color w:val="000000"/>
                <w:sz w:val="18"/>
                <w:lang w:eastAsia="sl-SI"/>
              </w:rPr>
              <w:t>Ваљак</w:t>
            </w:r>
          </w:p>
        </w:tc>
      </w:tr>
      <w:tr w:rsidR="00C43791" w:rsidRPr="00C43791" w:rsidTr="00740761">
        <w:trPr>
          <w:trHeight w:val="267"/>
        </w:trPr>
        <w:tc>
          <w:tcPr>
            <w:tcW w:w="3715"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Ауто школа Викторија</w:t>
            </w:r>
          </w:p>
        </w:tc>
        <w:tc>
          <w:tcPr>
            <w:tcW w:w="5640" w:type="dxa"/>
            <w:shd w:val="clear" w:color="auto" w:fill="auto"/>
            <w:noWrap/>
            <w:vAlign w:val="bottom"/>
            <w:hideMark/>
          </w:tcPr>
          <w:p w:rsidR="00C43791" w:rsidRPr="00C43791" w:rsidRDefault="00610688"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610688" w:rsidRDefault="00610688" w:rsidP="00C43791">
            <w:pPr>
              <w:rPr>
                <w:rFonts w:eastAsia="Times New Roman" w:cs="Calibri"/>
                <w:color w:val="000000"/>
                <w:sz w:val="18"/>
                <w:lang w:eastAsia="sl-SI"/>
              </w:rPr>
            </w:pPr>
            <w:r w:rsidRPr="00610688">
              <w:rPr>
                <w:rFonts w:eastAsia="Times New Roman" w:cs="Calibri"/>
                <w:color w:val="000000"/>
                <w:sz w:val="18"/>
                <w:lang w:val="sl-SI" w:eastAsia="sl-SI"/>
              </w:rPr>
              <w:t>Руковал</w:t>
            </w:r>
            <w:r>
              <w:rPr>
                <w:rFonts w:eastAsia="Times New Roman" w:cs="Calibri"/>
                <w:color w:val="000000"/>
                <w:sz w:val="18"/>
                <w:lang w:val="sl-SI" w:eastAsia="sl-SI"/>
              </w:rPr>
              <w:t xml:space="preserve">ац грађевинским машинама - </w:t>
            </w:r>
            <w:r>
              <w:rPr>
                <w:rFonts w:eastAsia="Times New Roman" w:cs="Calibri"/>
                <w:color w:val="000000"/>
                <w:sz w:val="18"/>
                <w:lang w:eastAsia="sl-SI"/>
              </w:rPr>
              <w:t>Грејдер</w:t>
            </w:r>
          </w:p>
        </w:tc>
      </w:tr>
      <w:tr w:rsidR="00C43791" w:rsidRPr="00C43791" w:rsidTr="00740761">
        <w:trPr>
          <w:trHeight w:val="267"/>
        </w:trPr>
        <w:tc>
          <w:tcPr>
            <w:tcW w:w="3715" w:type="dxa"/>
            <w:shd w:val="clear" w:color="auto" w:fill="auto"/>
            <w:noWrap/>
            <w:vAlign w:val="bottom"/>
            <w:hideMark/>
          </w:tcPr>
          <w:p w:rsidR="00C43791" w:rsidRPr="00C43791" w:rsidRDefault="00B66D81" w:rsidP="00C43791">
            <w:pPr>
              <w:rPr>
                <w:rFonts w:eastAsia="Times New Roman" w:cs="Calibri"/>
                <w:color w:val="000000"/>
                <w:sz w:val="18"/>
                <w:lang w:val="sl-SI" w:eastAsia="sl-SI"/>
              </w:rPr>
            </w:pPr>
            <w:r w:rsidRPr="00B66D81">
              <w:rPr>
                <w:rFonts w:eastAsia="Times New Roman" w:cs="Calibri"/>
                <w:color w:val="000000"/>
                <w:sz w:val="18"/>
                <w:lang w:val="sl-SI" w:eastAsia="sl-SI"/>
              </w:rPr>
              <w:t>Едукативни центар "Елоксир плус"</w:t>
            </w:r>
          </w:p>
        </w:tc>
        <w:tc>
          <w:tcPr>
            <w:tcW w:w="5640" w:type="dxa"/>
            <w:shd w:val="clear" w:color="auto" w:fill="auto"/>
            <w:noWrap/>
            <w:vAlign w:val="bottom"/>
            <w:hideMark/>
          </w:tcPr>
          <w:p w:rsidR="00C43791" w:rsidRPr="00C43791" w:rsidRDefault="00B66D8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B66D81" w:rsidP="00C43791">
            <w:pPr>
              <w:rPr>
                <w:rFonts w:eastAsia="Times New Roman" w:cs="Calibri"/>
                <w:color w:val="000000"/>
                <w:sz w:val="18"/>
                <w:lang w:val="sl-SI" w:eastAsia="sl-SI"/>
              </w:rPr>
            </w:pPr>
            <w:r>
              <w:rPr>
                <w:rFonts w:eastAsia="Times New Roman" w:cs="Calibri"/>
                <w:color w:val="000000"/>
                <w:sz w:val="18"/>
                <w:lang w:eastAsia="sl-SI"/>
              </w:rPr>
              <w:t>Грађевински столар</w:t>
            </w:r>
            <w:r>
              <w:rPr>
                <w:rFonts w:eastAsia="Times New Roman" w:cs="Calibri"/>
                <w:color w:val="000000"/>
                <w:sz w:val="18"/>
                <w:lang w:val="sl-SI" w:eastAsia="sl-SI"/>
              </w:rPr>
              <w:t>/</w:t>
            </w:r>
            <w:r>
              <w:rPr>
                <w:rFonts w:eastAsia="Times New Roman" w:cs="Calibri"/>
                <w:color w:val="000000"/>
                <w:sz w:val="18"/>
                <w:lang w:eastAsia="sl-SI"/>
              </w:rPr>
              <w:t>к</w:t>
            </w:r>
            <w:r w:rsidR="00C43791" w:rsidRPr="00C43791">
              <w:rPr>
                <w:rFonts w:eastAsia="Times New Roman" w:cs="Calibri"/>
                <w:color w:val="000000"/>
                <w:sz w:val="18"/>
                <w:lang w:val="sl-SI" w:eastAsia="sl-SI"/>
              </w:rPr>
              <w:t>a</w:t>
            </w:r>
          </w:p>
        </w:tc>
      </w:tr>
      <w:tr w:rsidR="00C43791" w:rsidRPr="00C43791" w:rsidTr="00740761">
        <w:trPr>
          <w:trHeight w:val="267"/>
        </w:trPr>
        <w:tc>
          <w:tcPr>
            <w:tcW w:w="3715" w:type="dxa"/>
            <w:shd w:val="clear" w:color="auto" w:fill="auto"/>
            <w:noWrap/>
            <w:vAlign w:val="bottom"/>
            <w:hideMark/>
          </w:tcPr>
          <w:p w:rsidR="00C43791" w:rsidRPr="00C43791" w:rsidRDefault="00B66D81" w:rsidP="00C43791">
            <w:pPr>
              <w:rPr>
                <w:rFonts w:eastAsia="Times New Roman" w:cs="Calibri"/>
                <w:color w:val="000000"/>
                <w:sz w:val="18"/>
                <w:lang w:val="sl-SI" w:eastAsia="sl-SI"/>
              </w:rPr>
            </w:pPr>
            <w:r w:rsidRPr="00B66D81">
              <w:rPr>
                <w:rFonts w:eastAsia="Times New Roman" w:cs="Calibri"/>
                <w:color w:val="000000"/>
                <w:sz w:val="18"/>
                <w:lang w:val="sl-SI" w:eastAsia="sl-SI"/>
              </w:rPr>
              <w:t>Едукативни центар "Елоксир плус"</w:t>
            </w:r>
          </w:p>
        </w:tc>
        <w:tc>
          <w:tcPr>
            <w:tcW w:w="5640" w:type="dxa"/>
            <w:shd w:val="clear" w:color="auto" w:fill="auto"/>
            <w:noWrap/>
            <w:vAlign w:val="bottom"/>
            <w:hideMark/>
          </w:tcPr>
          <w:p w:rsidR="00C43791" w:rsidRPr="00C43791" w:rsidRDefault="00B66D8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B66D81" w:rsidRDefault="00B66D81" w:rsidP="00C43791">
            <w:pPr>
              <w:rPr>
                <w:rFonts w:eastAsia="Times New Roman" w:cs="Calibri"/>
                <w:color w:val="000000"/>
                <w:sz w:val="18"/>
                <w:lang w:eastAsia="sl-SI"/>
              </w:rPr>
            </w:pPr>
            <w:r>
              <w:rPr>
                <w:rFonts w:eastAsia="Times New Roman" w:cs="Calibri"/>
                <w:color w:val="000000"/>
                <w:sz w:val="18"/>
                <w:lang w:eastAsia="sl-SI"/>
              </w:rPr>
              <w:t>Застакљивач</w:t>
            </w:r>
            <w:r>
              <w:rPr>
                <w:rFonts w:eastAsia="Times New Roman" w:cs="Calibri"/>
                <w:color w:val="000000"/>
                <w:sz w:val="18"/>
                <w:lang w:val="sl-SI" w:eastAsia="sl-SI"/>
              </w:rPr>
              <w:t>/</w:t>
            </w:r>
            <w:r>
              <w:rPr>
                <w:rFonts w:eastAsia="Times New Roman" w:cs="Calibri"/>
                <w:color w:val="000000"/>
                <w:sz w:val="18"/>
                <w:lang w:eastAsia="sl-SI"/>
              </w:rPr>
              <w:t>ица</w:t>
            </w:r>
          </w:p>
        </w:tc>
      </w:tr>
      <w:tr w:rsidR="00C43791" w:rsidRPr="00C43791" w:rsidTr="00740761">
        <w:trPr>
          <w:trHeight w:val="524"/>
        </w:trPr>
        <w:tc>
          <w:tcPr>
            <w:tcW w:w="3715" w:type="dxa"/>
            <w:shd w:val="clear" w:color="auto" w:fill="auto"/>
            <w:noWrap/>
            <w:vAlign w:val="center"/>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vAlign w:val="center"/>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Програми образовања за стицање и унапријеђење кључних компентенција - предузетништво</w:t>
            </w:r>
          </w:p>
        </w:tc>
        <w:tc>
          <w:tcPr>
            <w:tcW w:w="4524" w:type="dxa"/>
            <w:shd w:val="clear" w:color="auto" w:fill="auto"/>
            <w:vAlign w:val="bottom"/>
            <w:hideMark/>
          </w:tcPr>
          <w:p w:rsidR="00C43791" w:rsidRPr="00C43791" w:rsidRDefault="00E03D5D" w:rsidP="00C43791">
            <w:pPr>
              <w:rPr>
                <w:rFonts w:eastAsia="Times New Roman" w:cs="Calibri"/>
                <w:color w:val="000000"/>
                <w:sz w:val="18"/>
                <w:lang w:val="sl-SI" w:eastAsia="sl-SI"/>
              </w:rPr>
            </w:pPr>
            <w:r w:rsidRPr="00E03D5D">
              <w:rPr>
                <w:rFonts w:eastAsia="Times New Roman" w:cs="Calibri"/>
                <w:color w:val="000000"/>
                <w:sz w:val="18"/>
                <w:lang w:val="sl-SI" w:eastAsia="sl-SI"/>
              </w:rPr>
              <w:t>Програм образовања за стицање основних предузетничких знања и вјештина - Крени у бизнис</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E03D5D" w:rsidP="00C43791">
            <w:pPr>
              <w:rPr>
                <w:rFonts w:eastAsia="Times New Roman" w:cs="Calibri"/>
                <w:color w:val="000000"/>
                <w:sz w:val="18"/>
                <w:lang w:val="sl-SI" w:eastAsia="sl-SI"/>
              </w:rPr>
            </w:pPr>
            <w:r>
              <w:rPr>
                <w:rFonts w:eastAsia="Times New Roman" w:cs="Calibri"/>
                <w:color w:val="000000"/>
                <w:sz w:val="18"/>
                <w:lang w:eastAsia="sl-SI"/>
              </w:rPr>
              <w:t>Грађевински столар</w:t>
            </w:r>
            <w:r>
              <w:rPr>
                <w:rFonts w:eastAsia="Times New Roman" w:cs="Calibri"/>
                <w:color w:val="000000"/>
                <w:sz w:val="18"/>
                <w:lang w:val="sl-SI" w:eastAsia="sl-SI"/>
              </w:rPr>
              <w:t>/</w:t>
            </w:r>
            <w:r>
              <w:rPr>
                <w:rFonts w:eastAsia="Times New Roman" w:cs="Calibri"/>
                <w:color w:val="000000"/>
                <w:sz w:val="18"/>
                <w:lang w:eastAsia="sl-SI"/>
              </w:rPr>
              <w:t>к</w:t>
            </w:r>
            <w:r w:rsidRPr="00C43791">
              <w:rPr>
                <w:rFonts w:eastAsia="Times New Roman" w:cs="Calibri"/>
                <w:color w:val="000000"/>
                <w:sz w:val="18"/>
                <w:lang w:val="sl-SI" w:eastAsia="sl-SI"/>
              </w:rPr>
              <w:t>a</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E03D5D" w:rsidP="00C43791">
            <w:pPr>
              <w:rPr>
                <w:rFonts w:eastAsia="Times New Roman" w:cs="Calibri"/>
                <w:color w:val="000000"/>
                <w:sz w:val="18"/>
                <w:lang w:val="sl-SI" w:eastAsia="sl-SI"/>
              </w:rPr>
            </w:pPr>
            <w:r w:rsidRPr="00E03D5D">
              <w:rPr>
                <w:rFonts w:eastAsia="Times New Roman" w:cs="Calibri"/>
                <w:color w:val="000000"/>
                <w:sz w:val="18"/>
                <w:lang w:val="sl-SI" w:eastAsia="sl-SI"/>
              </w:rPr>
              <w:t>Хидротермичар/ка дрвета</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E03D5D" w:rsidP="00C43791">
            <w:pPr>
              <w:rPr>
                <w:rFonts w:eastAsia="Times New Roman" w:cs="Calibri"/>
                <w:color w:val="000000"/>
                <w:sz w:val="18"/>
                <w:lang w:val="sl-SI" w:eastAsia="sl-SI"/>
              </w:rPr>
            </w:pPr>
            <w:r w:rsidRPr="00E03D5D">
              <w:rPr>
                <w:rFonts w:eastAsia="Times New Roman" w:cs="Calibri"/>
                <w:color w:val="000000"/>
                <w:sz w:val="18"/>
                <w:lang w:val="sl-SI" w:eastAsia="sl-SI"/>
              </w:rPr>
              <w:t>Израђивач/ица једноставних украсних предмета и накита</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E03D5D" w:rsidRDefault="00E03D5D" w:rsidP="00C43791">
            <w:pPr>
              <w:rPr>
                <w:rFonts w:eastAsia="Times New Roman" w:cs="Calibri"/>
                <w:color w:val="000000"/>
                <w:sz w:val="18"/>
                <w:lang w:eastAsia="sl-SI"/>
              </w:rPr>
            </w:pPr>
            <w:r>
              <w:rPr>
                <w:rFonts w:eastAsia="Times New Roman" w:cs="Calibri"/>
                <w:color w:val="000000"/>
                <w:sz w:val="18"/>
                <w:lang w:eastAsia="sl-SI"/>
              </w:rPr>
              <w:t>Конобар</w:t>
            </w:r>
            <w:r>
              <w:rPr>
                <w:rFonts w:eastAsia="Times New Roman" w:cs="Calibri"/>
                <w:color w:val="000000"/>
                <w:sz w:val="18"/>
                <w:lang w:val="sl-SI" w:eastAsia="sl-SI"/>
              </w:rPr>
              <w:t xml:space="preserve"> /</w:t>
            </w:r>
            <w:r>
              <w:rPr>
                <w:rFonts w:eastAsia="Times New Roman" w:cs="Calibri"/>
                <w:color w:val="000000"/>
                <w:sz w:val="18"/>
                <w:lang w:eastAsia="sl-SI"/>
              </w:rPr>
              <w:t>ица</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E03D5D" w:rsidRDefault="00E03D5D" w:rsidP="00C43791">
            <w:pPr>
              <w:rPr>
                <w:rFonts w:eastAsia="Times New Roman" w:cs="Calibri"/>
                <w:color w:val="000000"/>
                <w:sz w:val="18"/>
                <w:lang w:eastAsia="sl-SI"/>
              </w:rPr>
            </w:pPr>
            <w:r>
              <w:rPr>
                <w:rFonts w:eastAsia="Times New Roman" w:cs="Calibri"/>
                <w:color w:val="000000"/>
                <w:sz w:val="18"/>
                <w:lang w:val="sl-SI" w:eastAsia="sl-SI"/>
              </w:rPr>
              <w:t>K</w:t>
            </w:r>
            <w:r>
              <w:rPr>
                <w:rFonts w:eastAsia="Times New Roman" w:cs="Calibri"/>
                <w:color w:val="000000"/>
                <w:sz w:val="18"/>
                <w:lang w:eastAsia="sl-SI"/>
              </w:rPr>
              <w:t>увар</w:t>
            </w:r>
            <w:r>
              <w:rPr>
                <w:rFonts w:eastAsia="Times New Roman" w:cs="Calibri"/>
                <w:color w:val="000000"/>
                <w:sz w:val="18"/>
                <w:lang w:val="sl-SI" w:eastAsia="sl-SI"/>
              </w:rPr>
              <w:t>/</w:t>
            </w:r>
            <w:r>
              <w:rPr>
                <w:rFonts w:eastAsia="Times New Roman" w:cs="Calibri"/>
                <w:color w:val="000000"/>
                <w:sz w:val="18"/>
                <w:lang w:eastAsia="sl-SI"/>
              </w:rPr>
              <w:t>ица</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E03D5D" w:rsidRDefault="00E03D5D" w:rsidP="00C43791">
            <w:pPr>
              <w:rPr>
                <w:rFonts w:eastAsia="Times New Roman" w:cs="Calibri"/>
                <w:color w:val="000000"/>
                <w:sz w:val="18"/>
                <w:lang w:eastAsia="sl-SI"/>
              </w:rPr>
            </w:pPr>
            <w:r>
              <w:rPr>
                <w:rFonts w:eastAsia="Times New Roman" w:cs="Calibri"/>
                <w:color w:val="000000"/>
                <w:sz w:val="18"/>
                <w:lang w:eastAsia="sl-SI"/>
              </w:rPr>
              <w:t>Помоћни</w:t>
            </w:r>
            <w:r>
              <w:rPr>
                <w:rFonts w:eastAsia="Times New Roman" w:cs="Calibri"/>
                <w:color w:val="000000"/>
                <w:sz w:val="18"/>
                <w:lang w:val="sl-SI" w:eastAsia="sl-SI"/>
              </w:rPr>
              <w:t>/</w:t>
            </w:r>
            <w:r>
              <w:rPr>
                <w:rFonts w:eastAsia="Times New Roman" w:cs="Calibri"/>
                <w:color w:val="000000"/>
                <w:sz w:val="18"/>
                <w:lang w:eastAsia="sl-SI"/>
              </w:rPr>
              <w:t>а</w:t>
            </w:r>
            <w:r>
              <w:rPr>
                <w:rFonts w:eastAsia="Times New Roman" w:cs="Calibri"/>
                <w:color w:val="000000"/>
                <w:sz w:val="18"/>
                <w:lang w:val="sl-SI" w:eastAsia="sl-SI"/>
              </w:rPr>
              <w:t xml:space="preserve"> </w:t>
            </w:r>
            <w:r>
              <w:rPr>
                <w:rFonts w:eastAsia="Times New Roman" w:cs="Calibri"/>
                <w:color w:val="000000"/>
                <w:sz w:val="18"/>
                <w:lang w:eastAsia="sl-SI"/>
              </w:rPr>
              <w:t>кувар</w:t>
            </w:r>
            <w:r>
              <w:rPr>
                <w:rFonts w:eastAsia="Times New Roman" w:cs="Calibri"/>
                <w:color w:val="000000"/>
                <w:sz w:val="18"/>
                <w:lang w:val="sl-SI" w:eastAsia="sl-SI"/>
              </w:rPr>
              <w:t>/</w:t>
            </w:r>
            <w:r>
              <w:rPr>
                <w:rFonts w:eastAsia="Times New Roman" w:cs="Calibri"/>
                <w:color w:val="000000"/>
                <w:sz w:val="18"/>
                <w:lang w:eastAsia="sl-SI"/>
              </w:rPr>
              <w:t>ица</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E03D5D" w:rsidRDefault="00E03D5D" w:rsidP="00C43791">
            <w:pPr>
              <w:rPr>
                <w:rFonts w:eastAsia="Times New Roman" w:cs="Calibri"/>
                <w:color w:val="000000"/>
                <w:sz w:val="18"/>
                <w:lang w:eastAsia="sl-SI"/>
              </w:rPr>
            </w:pPr>
            <w:r>
              <w:rPr>
                <w:rFonts w:eastAsia="Times New Roman" w:cs="Calibri"/>
                <w:color w:val="000000"/>
                <w:sz w:val="18"/>
                <w:lang w:eastAsia="sl-SI"/>
              </w:rPr>
              <w:t>Помоћни</w:t>
            </w:r>
            <w:r>
              <w:rPr>
                <w:rFonts w:eastAsia="Times New Roman" w:cs="Calibri"/>
                <w:color w:val="000000"/>
                <w:sz w:val="18"/>
                <w:lang w:val="sl-SI" w:eastAsia="sl-SI"/>
              </w:rPr>
              <w:t xml:space="preserve">/a </w:t>
            </w:r>
            <w:r>
              <w:rPr>
                <w:rFonts w:eastAsia="Times New Roman" w:cs="Calibri"/>
                <w:color w:val="000000"/>
                <w:sz w:val="18"/>
                <w:lang w:eastAsia="sl-SI"/>
              </w:rPr>
              <w:t>столар</w:t>
            </w:r>
            <w:r>
              <w:rPr>
                <w:rFonts w:eastAsia="Times New Roman" w:cs="Calibri"/>
                <w:color w:val="000000"/>
                <w:sz w:val="18"/>
                <w:lang w:val="sl-SI" w:eastAsia="sl-SI"/>
              </w:rPr>
              <w:t>/</w:t>
            </w:r>
            <w:r>
              <w:rPr>
                <w:rFonts w:eastAsia="Times New Roman" w:cs="Calibri"/>
                <w:color w:val="000000"/>
                <w:sz w:val="18"/>
                <w:lang w:eastAsia="sl-SI"/>
              </w:rPr>
              <w:t>ка</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E03D5D" w:rsidRDefault="00E03D5D" w:rsidP="00C43791">
            <w:pPr>
              <w:rPr>
                <w:rFonts w:eastAsia="Times New Roman" w:cs="Calibri"/>
                <w:color w:val="000000"/>
                <w:sz w:val="18"/>
                <w:lang w:eastAsia="sl-SI"/>
              </w:rPr>
            </w:pPr>
            <w:r>
              <w:rPr>
                <w:rFonts w:eastAsia="Times New Roman" w:cs="Calibri"/>
                <w:color w:val="000000"/>
                <w:sz w:val="18"/>
                <w:lang w:eastAsia="sl-SI"/>
              </w:rPr>
              <w:t>Помоћник</w:t>
            </w:r>
            <w:r>
              <w:rPr>
                <w:rFonts w:eastAsia="Times New Roman" w:cs="Calibri"/>
                <w:color w:val="000000"/>
                <w:sz w:val="18"/>
                <w:lang w:val="sl-SI" w:eastAsia="sl-SI"/>
              </w:rPr>
              <w:t>/</w:t>
            </w:r>
            <w:r>
              <w:rPr>
                <w:rFonts w:eastAsia="Times New Roman" w:cs="Calibri"/>
                <w:color w:val="000000"/>
                <w:sz w:val="18"/>
                <w:lang w:eastAsia="sl-SI"/>
              </w:rPr>
              <w:t>ца у</w:t>
            </w:r>
            <w:r>
              <w:rPr>
                <w:rFonts w:eastAsia="Times New Roman" w:cs="Calibri"/>
                <w:color w:val="000000"/>
                <w:sz w:val="18"/>
                <w:lang w:val="sl-SI" w:eastAsia="sl-SI"/>
              </w:rPr>
              <w:t xml:space="preserve"> </w:t>
            </w:r>
            <w:r>
              <w:rPr>
                <w:rFonts w:eastAsia="Times New Roman" w:cs="Calibri"/>
                <w:color w:val="000000"/>
                <w:sz w:val="18"/>
                <w:lang w:eastAsia="sl-SI"/>
              </w:rPr>
              <w:t>преради дрвета</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E03D5D" w:rsidRDefault="00E03D5D" w:rsidP="00C43791">
            <w:pPr>
              <w:rPr>
                <w:rFonts w:eastAsia="Times New Roman" w:cs="Calibri"/>
                <w:color w:val="000000"/>
                <w:sz w:val="18"/>
                <w:lang w:eastAsia="sl-SI"/>
              </w:rPr>
            </w:pPr>
            <w:r>
              <w:rPr>
                <w:rFonts w:eastAsia="Times New Roman" w:cs="Calibri"/>
                <w:color w:val="000000"/>
                <w:sz w:val="18"/>
                <w:lang w:eastAsia="sl-SI"/>
              </w:rPr>
              <w:t>Произвођач резане грађе</w:t>
            </w:r>
          </w:p>
        </w:tc>
      </w:tr>
      <w:tr w:rsidR="00C43791" w:rsidRPr="00C43791" w:rsidTr="00740761">
        <w:trPr>
          <w:trHeight w:val="267"/>
        </w:trPr>
        <w:tc>
          <w:tcPr>
            <w:tcW w:w="3715"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EA2BDC"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E03D5D" w:rsidRDefault="00E03D5D" w:rsidP="00C43791">
            <w:pPr>
              <w:rPr>
                <w:rFonts w:eastAsia="Times New Roman" w:cs="Calibri"/>
                <w:color w:val="000000"/>
                <w:sz w:val="18"/>
                <w:lang w:eastAsia="sl-SI"/>
              </w:rPr>
            </w:pPr>
            <w:r>
              <w:rPr>
                <w:rFonts w:eastAsia="Times New Roman" w:cs="Calibri"/>
                <w:color w:val="000000"/>
                <w:sz w:val="18"/>
                <w:lang w:eastAsia="sl-SI"/>
              </w:rPr>
              <w:t>Столар</w:t>
            </w:r>
            <w:r>
              <w:rPr>
                <w:rFonts w:eastAsia="Times New Roman" w:cs="Calibri"/>
                <w:color w:val="000000"/>
                <w:sz w:val="18"/>
                <w:lang w:val="sl-SI" w:eastAsia="sl-SI"/>
              </w:rPr>
              <w:t>/</w:t>
            </w:r>
            <w:r>
              <w:rPr>
                <w:rFonts w:eastAsia="Times New Roman" w:cs="Calibri"/>
                <w:color w:val="000000"/>
                <w:sz w:val="18"/>
                <w:lang w:eastAsia="sl-SI"/>
              </w:rPr>
              <w:t>ка за намјештај</w:t>
            </w:r>
            <w:r>
              <w:rPr>
                <w:rFonts w:eastAsia="Times New Roman" w:cs="Calibri"/>
                <w:color w:val="000000"/>
                <w:sz w:val="18"/>
                <w:lang w:val="sl-SI" w:eastAsia="sl-SI"/>
              </w:rPr>
              <w:t xml:space="preserve"> za </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EA2BDC">
              <w:rPr>
                <w:rFonts w:eastAsia="Times New Roman" w:cs="Calibri"/>
                <w:color w:val="000000"/>
                <w:sz w:val="18"/>
                <w:lang w:val="sl-SI" w:eastAsia="sl-SI"/>
              </w:rPr>
              <w:lastRenderedPageBreak/>
              <w:t>ЈУ Средња стручна школа "Вукадин Вукадиновић"</w:t>
            </w:r>
          </w:p>
        </w:tc>
        <w:tc>
          <w:tcPr>
            <w:tcW w:w="5640"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D81279" w:rsidRDefault="00D81279" w:rsidP="00C43791">
            <w:pPr>
              <w:rPr>
                <w:rFonts w:eastAsia="Times New Roman" w:cs="Calibri"/>
                <w:color w:val="000000"/>
                <w:sz w:val="18"/>
                <w:lang w:eastAsia="sl-SI"/>
              </w:rPr>
            </w:pPr>
            <w:r>
              <w:rPr>
                <w:rFonts w:eastAsia="Times New Roman" w:cs="Calibri"/>
                <w:color w:val="000000"/>
                <w:sz w:val="18"/>
                <w:lang w:eastAsia="sl-SI"/>
              </w:rPr>
              <w:t>Тапетар</w:t>
            </w:r>
            <w:r>
              <w:rPr>
                <w:rFonts w:eastAsia="Times New Roman" w:cs="Calibri"/>
                <w:color w:val="000000"/>
                <w:sz w:val="18"/>
                <w:lang w:val="sl-SI" w:eastAsia="sl-SI"/>
              </w:rPr>
              <w:t>/</w:t>
            </w:r>
            <w:r>
              <w:rPr>
                <w:rFonts w:eastAsia="Times New Roman" w:cs="Calibri"/>
                <w:color w:val="000000"/>
                <w:sz w:val="18"/>
                <w:lang w:eastAsia="sl-SI"/>
              </w:rPr>
              <w:t>ка</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Узгајивач/ица љековитог биља</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EA2BDC">
              <w:rPr>
                <w:rFonts w:eastAsia="Times New Roman" w:cs="Calibri"/>
                <w:color w:val="000000"/>
                <w:sz w:val="18"/>
                <w:lang w:val="sl-SI" w:eastAsia="sl-SI"/>
              </w:rPr>
              <w:t>ЈУ Средња стручна школа "Вукадин Вукадиновић"</w:t>
            </w:r>
          </w:p>
        </w:tc>
        <w:tc>
          <w:tcPr>
            <w:tcW w:w="5640"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D81279" w:rsidRDefault="00D81279" w:rsidP="00C43791">
            <w:pPr>
              <w:rPr>
                <w:rFonts w:eastAsia="Times New Roman" w:cs="Calibri"/>
                <w:color w:val="000000"/>
                <w:sz w:val="18"/>
                <w:lang w:eastAsia="sl-SI"/>
              </w:rPr>
            </w:pPr>
            <w:r>
              <w:rPr>
                <w:rFonts w:eastAsia="Times New Roman" w:cs="Calibri"/>
                <w:color w:val="000000"/>
                <w:sz w:val="18"/>
                <w:lang w:eastAsia="sl-SI"/>
              </w:rPr>
              <w:t>Воћар</w:t>
            </w:r>
            <w:r>
              <w:rPr>
                <w:rFonts w:eastAsia="Times New Roman" w:cs="Calibri"/>
                <w:color w:val="000000"/>
                <w:sz w:val="18"/>
                <w:lang w:val="sl-SI" w:eastAsia="sl-SI"/>
              </w:rPr>
              <w:t>/</w:t>
            </w:r>
            <w:r>
              <w:rPr>
                <w:rFonts w:eastAsia="Times New Roman" w:cs="Calibri"/>
                <w:color w:val="000000"/>
                <w:sz w:val="18"/>
                <w:lang w:eastAsia="sl-SI"/>
              </w:rPr>
              <w:t>ка</w:t>
            </w:r>
          </w:p>
        </w:tc>
      </w:tr>
      <w:tr w:rsidR="00C43791" w:rsidRPr="00C43791" w:rsidTr="00740761">
        <w:trPr>
          <w:trHeight w:val="446"/>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Програми образовања за стицање и унапријеђење кључних компентенција - дигитална писменост (информационо-комуникационе технологије)</w:t>
            </w:r>
          </w:p>
        </w:tc>
        <w:tc>
          <w:tcPr>
            <w:tcW w:w="4524"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Рад на рачунару - Завод за запошљавање Црне Горе</w:t>
            </w:r>
          </w:p>
        </w:tc>
      </w:tr>
      <w:tr w:rsidR="00C43791" w:rsidRPr="00C43791" w:rsidTr="00740761">
        <w:trPr>
          <w:trHeight w:val="446"/>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Програми образовања за стицање и унапријеђење кључних компентенција - страни језици</w:t>
            </w:r>
          </w:p>
        </w:tc>
        <w:tc>
          <w:tcPr>
            <w:tcW w:w="4524"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Енглески језик - Центар за образовање и одгој Дон Боско</w:t>
            </w:r>
          </w:p>
        </w:tc>
      </w:tr>
      <w:tr w:rsidR="00C43791" w:rsidRPr="00C43791" w:rsidTr="00740761">
        <w:trPr>
          <w:trHeight w:val="446"/>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Програми образовања за стицање и унапријеђење кључних компентенција - страни језици</w:t>
            </w:r>
          </w:p>
        </w:tc>
        <w:tc>
          <w:tcPr>
            <w:tcW w:w="4524"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Pr>
                <w:rFonts w:eastAsia="Times New Roman" w:cs="Calibri"/>
                <w:color w:val="000000"/>
                <w:sz w:val="18"/>
                <w:lang w:eastAsia="sl-SI"/>
              </w:rPr>
              <w:t>Њемачки</w:t>
            </w:r>
            <w:r w:rsidRPr="001874B5">
              <w:rPr>
                <w:rFonts w:eastAsia="Times New Roman" w:cs="Calibri"/>
                <w:color w:val="000000"/>
                <w:sz w:val="18"/>
                <w:lang w:val="sl-SI" w:eastAsia="sl-SI"/>
              </w:rPr>
              <w:t xml:space="preserve"> језик - Центар за образовање и одгој Дон Боско</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r w:rsidR="00C43791" w:rsidRPr="00C43791">
              <w:rPr>
                <w:rFonts w:eastAsia="Times New Roman" w:cs="Calibri"/>
                <w:color w:val="000000"/>
                <w:sz w:val="18"/>
                <w:lang w:val="sl-SI" w:eastAsia="sl-SI"/>
              </w:rPr>
              <w:t>"</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w:t>
            </w:r>
          </w:p>
        </w:tc>
        <w:tc>
          <w:tcPr>
            <w:tcW w:w="4524"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Пословно-тахнички/а секретар/ка</w:t>
            </w:r>
          </w:p>
        </w:tc>
      </w:tr>
      <w:tr w:rsidR="00C43791" w:rsidRPr="00C43791" w:rsidTr="00740761">
        <w:trPr>
          <w:trHeight w:val="401"/>
        </w:trPr>
        <w:tc>
          <w:tcPr>
            <w:tcW w:w="3715" w:type="dxa"/>
            <w:shd w:val="clear" w:color="auto" w:fill="auto"/>
            <w:noWrap/>
            <w:vAlign w:val="center"/>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noWrap/>
            <w:vAlign w:val="center"/>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w:t>
            </w:r>
          </w:p>
        </w:tc>
        <w:tc>
          <w:tcPr>
            <w:tcW w:w="4524" w:type="dxa"/>
            <w:shd w:val="clear" w:color="auto" w:fill="auto"/>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Програм образовања за стицање стручне квалификације асистент/киња у настави</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Администратор/ка</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1874B5">
              <w:rPr>
                <w:rFonts w:eastAsia="Times New Roman" w:cs="Calibri"/>
                <w:color w:val="000000"/>
                <w:sz w:val="18"/>
                <w:lang w:val="sl-SI" w:eastAsia="sl-SI"/>
              </w:rPr>
              <w:t>Геронтодомаћин/ица</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Израђивач/ица једноставних украсних предмета и накита</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9B1EE4" w:rsidRDefault="009B1EE4" w:rsidP="00C43791">
            <w:pPr>
              <w:rPr>
                <w:rFonts w:eastAsia="Times New Roman" w:cs="Calibri"/>
                <w:color w:val="000000"/>
                <w:sz w:val="18"/>
                <w:lang w:eastAsia="sl-SI"/>
              </w:rPr>
            </w:pPr>
            <w:r>
              <w:rPr>
                <w:rFonts w:eastAsia="Times New Roman" w:cs="Calibri"/>
                <w:color w:val="000000"/>
                <w:sz w:val="18"/>
                <w:lang w:val="sl-SI" w:eastAsia="sl-SI"/>
              </w:rPr>
              <w:t>K</w:t>
            </w:r>
            <w:r>
              <w:rPr>
                <w:rFonts w:eastAsia="Times New Roman" w:cs="Calibri"/>
                <w:color w:val="000000"/>
                <w:sz w:val="18"/>
                <w:lang w:eastAsia="sl-SI"/>
              </w:rPr>
              <w:t>онобар</w:t>
            </w:r>
            <w:r>
              <w:rPr>
                <w:rFonts w:eastAsia="Times New Roman" w:cs="Calibri"/>
                <w:color w:val="000000"/>
                <w:sz w:val="18"/>
                <w:lang w:val="sl-SI" w:eastAsia="sl-SI"/>
              </w:rPr>
              <w:t>/</w:t>
            </w:r>
            <w:r>
              <w:rPr>
                <w:rFonts w:eastAsia="Times New Roman" w:cs="Calibri"/>
                <w:color w:val="000000"/>
                <w:sz w:val="18"/>
                <w:lang w:eastAsia="sl-SI"/>
              </w:rPr>
              <w:t>ица</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9B1EE4" w:rsidRDefault="009B1EE4" w:rsidP="00C43791">
            <w:pPr>
              <w:rPr>
                <w:rFonts w:eastAsia="Times New Roman" w:cs="Calibri"/>
                <w:color w:val="000000"/>
                <w:sz w:val="18"/>
                <w:lang w:eastAsia="sl-SI"/>
              </w:rPr>
            </w:pPr>
            <w:r w:rsidRPr="009B1EE4">
              <w:rPr>
                <w:rFonts w:eastAsia="Times New Roman" w:cs="Calibri"/>
                <w:color w:val="000000"/>
                <w:sz w:val="18"/>
                <w:lang w:eastAsia="sl-SI"/>
              </w:rPr>
              <w:t>Рачуноводствени техничар/ка</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Рецепционер/ка</w:t>
            </w:r>
          </w:p>
        </w:tc>
      </w:tr>
      <w:tr w:rsidR="00C43791" w:rsidRPr="00C43791" w:rsidTr="00740761">
        <w:trPr>
          <w:trHeight w:val="267"/>
        </w:trPr>
        <w:tc>
          <w:tcPr>
            <w:tcW w:w="3715" w:type="dxa"/>
            <w:shd w:val="clear" w:color="auto" w:fill="auto"/>
            <w:noWrap/>
            <w:vAlign w:val="bottom"/>
            <w:hideMark/>
          </w:tcPr>
          <w:p w:rsidR="00C43791" w:rsidRPr="00C43791" w:rsidRDefault="00D81279" w:rsidP="00C43791">
            <w:pPr>
              <w:rPr>
                <w:rFonts w:eastAsia="Times New Roman" w:cs="Calibri"/>
                <w:color w:val="000000"/>
                <w:sz w:val="18"/>
                <w:lang w:val="sl-SI" w:eastAsia="sl-SI"/>
              </w:rPr>
            </w:pPr>
            <w:r w:rsidRPr="00D81279">
              <w:rPr>
                <w:rFonts w:eastAsia="Times New Roman" w:cs="Calibri"/>
                <w:color w:val="000000"/>
                <w:sz w:val="18"/>
                <w:lang w:val="sl-SI" w:eastAsia="sl-SI"/>
              </w:rPr>
              <w:t>Приватна установа "Монте Медигал"</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Туристички водич/киња</w:t>
            </w:r>
          </w:p>
        </w:tc>
      </w:tr>
      <w:tr w:rsidR="00C43791" w:rsidRPr="00C43791" w:rsidTr="00740761">
        <w:trPr>
          <w:trHeight w:val="267"/>
        </w:trPr>
        <w:tc>
          <w:tcPr>
            <w:tcW w:w="3715"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Приватна установа Едукативни центар Полиеx</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Туристички водич/киња</w:t>
            </w:r>
          </w:p>
        </w:tc>
      </w:tr>
      <w:tr w:rsidR="00C43791" w:rsidRPr="00C43791" w:rsidTr="00740761">
        <w:trPr>
          <w:trHeight w:val="267"/>
        </w:trPr>
        <w:tc>
          <w:tcPr>
            <w:tcW w:w="3715"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медицинска школа "Др Бранко Зоговић"</w:t>
            </w:r>
          </w:p>
        </w:tc>
        <w:tc>
          <w:tcPr>
            <w:tcW w:w="5640" w:type="dxa"/>
            <w:shd w:val="clear" w:color="auto" w:fill="auto"/>
            <w:noWrap/>
            <w:vAlign w:val="bottom"/>
            <w:hideMark/>
          </w:tcPr>
          <w:p w:rsidR="00C43791" w:rsidRPr="00C43791" w:rsidRDefault="001874B5"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Геронтодомаћин/ица</w:t>
            </w:r>
          </w:p>
        </w:tc>
      </w:tr>
      <w:tr w:rsidR="00C43791" w:rsidRPr="00C43791" w:rsidTr="00740761">
        <w:trPr>
          <w:trHeight w:val="446"/>
        </w:trPr>
        <w:tc>
          <w:tcPr>
            <w:tcW w:w="3715"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Програми образовања за стицање и унапријеђење кључних компентенција - дигитална писменост (информационо-комуникационе технологије)</w:t>
            </w:r>
          </w:p>
        </w:tc>
        <w:tc>
          <w:tcPr>
            <w:tcW w:w="4524" w:type="dxa"/>
            <w:shd w:val="clear" w:color="auto" w:fill="auto"/>
            <w:noWrap/>
            <w:vAlign w:val="center"/>
            <w:hideMark/>
          </w:tcPr>
          <w:p w:rsidR="00C43791" w:rsidRPr="00C43791" w:rsidRDefault="009B1EE4" w:rsidP="00C43791">
            <w:pPr>
              <w:rPr>
                <w:rFonts w:eastAsia="Times New Roman" w:cs="Calibri"/>
                <w:color w:val="000000"/>
                <w:sz w:val="18"/>
                <w:lang w:val="sl-SI" w:eastAsia="sl-SI"/>
              </w:rPr>
            </w:pPr>
            <w:r w:rsidRPr="001874B5">
              <w:rPr>
                <w:rFonts w:eastAsia="Times New Roman" w:cs="Calibri"/>
                <w:color w:val="000000"/>
                <w:sz w:val="18"/>
                <w:lang w:val="sl-SI" w:eastAsia="sl-SI"/>
              </w:rPr>
              <w:t>Рад на рачунару - Завод за запошљавање Црне Горе</w:t>
            </w:r>
          </w:p>
        </w:tc>
      </w:tr>
      <w:tr w:rsidR="00C43791" w:rsidRPr="00C43791" w:rsidTr="00740761">
        <w:trPr>
          <w:trHeight w:val="267"/>
        </w:trPr>
        <w:tc>
          <w:tcPr>
            <w:tcW w:w="3715"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Аутоелектричар/ка</w:t>
            </w:r>
          </w:p>
        </w:tc>
      </w:tr>
      <w:tr w:rsidR="00C43791" w:rsidRPr="00C43791" w:rsidTr="00740761">
        <w:trPr>
          <w:trHeight w:val="267"/>
        </w:trPr>
        <w:tc>
          <w:tcPr>
            <w:tcW w:w="3715"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9B1EE4" w:rsidP="00C43791">
            <w:pPr>
              <w:rPr>
                <w:rFonts w:eastAsia="Times New Roman" w:cs="Calibri"/>
                <w:color w:val="000000"/>
                <w:sz w:val="18"/>
                <w:lang w:val="sl-SI" w:eastAsia="sl-SI"/>
              </w:rPr>
            </w:pPr>
            <w:r w:rsidRPr="009B1EE4">
              <w:rPr>
                <w:rFonts w:eastAsia="Times New Roman" w:cs="Calibri"/>
                <w:color w:val="000000"/>
                <w:sz w:val="18"/>
                <w:lang w:val="sl-SI" w:eastAsia="sl-SI"/>
              </w:rPr>
              <w:t>Електроинсталатер/ка</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lastRenderedPageBreak/>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Електромеханичар/ка</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Инсталатер/ка гријања и хлађења</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Керамичар/ка</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Мушки и женски фризер/ка</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Помоћни/а фризер/ка</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Помоћник/ца армирача/ице</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Помоћник/ца керамичара/ке</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Помоћник/ца молера/ке фарбара/ке</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9B1EE4">
              <w:rPr>
                <w:rFonts w:eastAsia="Times New Roman" w:cs="Calibri"/>
                <w:color w:val="000000"/>
                <w:sz w:val="18"/>
                <w:lang w:val="sl-SI" w:eastAsia="sl-SI"/>
              </w:rPr>
              <w:t>Средња стручна школа</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10688">
              <w:rPr>
                <w:rFonts w:eastAsia="Times New Roman" w:cs="Calibri"/>
                <w:color w:val="000000"/>
                <w:sz w:val="18"/>
                <w:lang w:val="sl-SI" w:eastAsia="sl-SI"/>
              </w:rPr>
              <w:t>Програми образовања за стицање стручне квалификације - оспособљавање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Сервисер/ка рачунара</w:t>
            </w:r>
          </w:p>
        </w:tc>
      </w:tr>
      <w:tr w:rsidR="00C43791" w:rsidRPr="00C43791" w:rsidTr="00740761">
        <w:trPr>
          <w:trHeight w:val="424"/>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Вук Караџић</w:t>
            </w:r>
          </w:p>
        </w:tc>
        <w:tc>
          <w:tcPr>
            <w:tcW w:w="5640" w:type="dxa"/>
            <w:shd w:val="clear" w:color="auto" w:fill="auto"/>
            <w:vAlign w:val="center"/>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Програми образовања за стицање и унапријеђење кључних компентенција - дигитална писменост (информационо-комуникационе технологије)</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Рад на рачунару - Завод за запошљавање Црне Горе</w:t>
            </w:r>
          </w:p>
        </w:tc>
      </w:tr>
      <w:tr w:rsidR="00C43791" w:rsidRPr="00C43791" w:rsidTr="00740761">
        <w:trPr>
          <w:trHeight w:val="446"/>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Вук Караџић</w:t>
            </w:r>
          </w:p>
        </w:tc>
        <w:tc>
          <w:tcPr>
            <w:tcW w:w="5640" w:type="dxa"/>
            <w:shd w:val="clear" w:color="auto" w:fill="auto"/>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Програми образовања за стицање и унапријеђење кључних компентенција - страни језици</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Енглески језик - Алтра лингуа</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Вук Караџић</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Програми основног образовања</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Прилагођени програм основне школе за одрасле</w:t>
            </w:r>
          </w:p>
        </w:tc>
      </w:tr>
      <w:tr w:rsidR="00C43791" w:rsidRPr="00C43791" w:rsidTr="00740761">
        <w:trPr>
          <w:trHeight w:val="267"/>
        </w:trPr>
        <w:tc>
          <w:tcPr>
            <w:tcW w:w="3715"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Вук Караџић</w:t>
            </w:r>
          </w:p>
        </w:tc>
        <w:tc>
          <w:tcPr>
            <w:tcW w:w="5640"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Програми основног образовања</w:t>
            </w:r>
          </w:p>
        </w:tc>
        <w:tc>
          <w:tcPr>
            <w:tcW w:w="4524" w:type="dxa"/>
            <w:shd w:val="clear" w:color="auto" w:fill="auto"/>
            <w:noWrap/>
            <w:vAlign w:val="bottom"/>
            <w:hideMark/>
          </w:tcPr>
          <w:p w:rsidR="00C43791" w:rsidRPr="00C43791" w:rsidRDefault="00640621" w:rsidP="00C43791">
            <w:pPr>
              <w:rPr>
                <w:rFonts w:eastAsia="Times New Roman" w:cs="Calibri"/>
                <w:color w:val="000000"/>
                <w:sz w:val="18"/>
                <w:lang w:val="sl-SI" w:eastAsia="sl-SI"/>
              </w:rPr>
            </w:pPr>
            <w:r w:rsidRPr="00640621">
              <w:rPr>
                <w:rFonts w:eastAsia="Times New Roman" w:cs="Calibri"/>
                <w:color w:val="000000"/>
                <w:sz w:val="18"/>
                <w:lang w:val="sl-SI" w:eastAsia="sl-SI"/>
              </w:rPr>
              <w:t>Програм елементарног функционалног описмењавања</w:t>
            </w:r>
          </w:p>
        </w:tc>
      </w:tr>
    </w:tbl>
    <w:p w:rsidR="00DC7542" w:rsidRPr="006A529A" w:rsidRDefault="00DC7542" w:rsidP="000806C3">
      <w:pPr>
        <w:rPr>
          <w:rFonts w:cs="Arial"/>
          <w:sz w:val="22"/>
          <w:szCs w:val="22"/>
        </w:rPr>
      </w:pPr>
    </w:p>
    <w:p w:rsidR="00FD6BED" w:rsidRPr="006A529A" w:rsidRDefault="00FD6BED" w:rsidP="000806C3">
      <w:pPr>
        <w:rPr>
          <w:rFonts w:cs="Arial"/>
          <w:sz w:val="22"/>
          <w:szCs w:val="22"/>
        </w:rPr>
      </w:pPr>
    </w:p>
    <w:p w:rsidR="00FD6BED" w:rsidRDefault="00FD6BED" w:rsidP="000806C3">
      <w:pPr>
        <w:rPr>
          <w:rFonts w:cs="Arial"/>
          <w:sz w:val="22"/>
          <w:szCs w:val="22"/>
        </w:rPr>
      </w:pPr>
    </w:p>
    <w:p w:rsidR="00E0199F" w:rsidRDefault="00E0199F" w:rsidP="000806C3">
      <w:pPr>
        <w:rPr>
          <w:rFonts w:cs="Arial"/>
          <w:sz w:val="22"/>
          <w:szCs w:val="22"/>
        </w:rPr>
      </w:pPr>
    </w:p>
    <w:p w:rsidR="00E0199F" w:rsidRDefault="00E0199F"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E0199F" w:rsidRDefault="00E0199F" w:rsidP="000806C3">
      <w:pPr>
        <w:rPr>
          <w:rFonts w:cs="Arial"/>
          <w:sz w:val="22"/>
          <w:szCs w:val="22"/>
        </w:rPr>
      </w:pPr>
    </w:p>
    <w:p w:rsidR="00E0199F" w:rsidRDefault="00E0199F" w:rsidP="000806C3">
      <w:pPr>
        <w:rPr>
          <w:rFonts w:cs="Arial"/>
          <w:sz w:val="22"/>
          <w:szCs w:val="22"/>
        </w:rPr>
      </w:pPr>
    </w:p>
    <w:p w:rsidR="00E0199F" w:rsidRDefault="00E0199F" w:rsidP="000806C3">
      <w:pPr>
        <w:rPr>
          <w:rFonts w:cs="Arial"/>
          <w:sz w:val="22"/>
          <w:szCs w:val="22"/>
        </w:rPr>
      </w:pPr>
    </w:p>
    <w:p w:rsidR="00E0199F" w:rsidRDefault="00E0199F"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F83593" w:rsidRDefault="00F83593"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740761" w:rsidRDefault="00740761" w:rsidP="000806C3">
      <w:pPr>
        <w:rPr>
          <w:rFonts w:cs="Arial"/>
          <w:sz w:val="22"/>
          <w:szCs w:val="22"/>
        </w:rPr>
      </w:pPr>
    </w:p>
    <w:p w:rsidR="00A739FF" w:rsidRPr="0078673E" w:rsidRDefault="0078673E" w:rsidP="00740761">
      <w:pPr>
        <w:pStyle w:val="Heading1"/>
        <w:numPr>
          <w:ilvl w:val="0"/>
          <w:numId w:val="0"/>
        </w:numPr>
        <w:rPr>
          <w:sz w:val="28"/>
          <w:szCs w:val="28"/>
        </w:rPr>
      </w:pPr>
      <w:bookmarkStart w:id="75" w:name="_Toc56607725"/>
      <w:bookmarkStart w:id="76" w:name="_Toc57572012"/>
      <w:bookmarkStart w:id="77" w:name="_Toc74296666"/>
      <w:r>
        <w:rPr>
          <w:sz w:val="28"/>
          <w:szCs w:val="28"/>
        </w:rPr>
        <w:t xml:space="preserve">АКЦИОНИ ПЛАН ЗАПОШЉАВАЊА ОПШТИНЕ БЕРАНЕ ЗА </w:t>
      </w:r>
      <w:r w:rsidR="00A739FF" w:rsidRPr="00740761">
        <w:rPr>
          <w:sz w:val="28"/>
          <w:szCs w:val="28"/>
        </w:rPr>
        <w:t xml:space="preserve"> 2021. </w:t>
      </w:r>
      <w:bookmarkEnd w:id="75"/>
      <w:bookmarkEnd w:id="76"/>
      <w:r>
        <w:rPr>
          <w:sz w:val="28"/>
          <w:szCs w:val="28"/>
        </w:rPr>
        <w:t>ГОДИНУ</w:t>
      </w:r>
      <w:bookmarkEnd w:id="77"/>
    </w:p>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6C24ED" w:rsidRDefault="006C24ED" w:rsidP="006C24ED"/>
    <w:p w:rsidR="00364EC7" w:rsidRPr="00E33076" w:rsidRDefault="00364EC7" w:rsidP="006C24ED">
      <w:pPr>
        <w:sectPr w:rsidR="00364EC7" w:rsidRPr="00E33076" w:rsidSect="00DC7542">
          <w:pgSz w:w="16838" w:h="11906" w:orient="landscape"/>
          <w:pgMar w:top="1361" w:right="1304" w:bottom="1304" w:left="1418"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pPr>
    </w:p>
    <w:p w:rsidR="006C24ED" w:rsidRPr="00E33076" w:rsidRDefault="006C24ED" w:rsidP="006C24ED"/>
    <w:p w:rsidR="006C24ED" w:rsidRDefault="006C24ED" w:rsidP="006C24ED"/>
    <w:p w:rsidR="006C24ED" w:rsidRDefault="0078673E" w:rsidP="006C24ED">
      <w:pPr>
        <w:jc w:val="center"/>
        <w:rPr>
          <w:b/>
          <w:bCs/>
          <w:sz w:val="28"/>
          <w:szCs w:val="28"/>
        </w:rPr>
      </w:pPr>
      <w:r>
        <w:rPr>
          <w:b/>
          <w:bCs/>
          <w:sz w:val="28"/>
          <w:szCs w:val="28"/>
        </w:rPr>
        <w:t xml:space="preserve">АКЦИОНИ ПЛАН ЗАПОШЉАВАЊА ОПШТИНЕ БЕРАНЕ ЗА </w:t>
      </w:r>
      <w:r w:rsidR="006C24ED" w:rsidRPr="00556665">
        <w:rPr>
          <w:b/>
          <w:bCs/>
          <w:sz w:val="28"/>
          <w:szCs w:val="28"/>
        </w:rPr>
        <w:t xml:space="preserve">2021. </w:t>
      </w:r>
      <w:r>
        <w:rPr>
          <w:b/>
          <w:bCs/>
          <w:sz w:val="28"/>
          <w:szCs w:val="28"/>
        </w:rPr>
        <w:t>ГОДИНУ</w:t>
      </w:r>
      <w:r w:rsidR="0032380F">
        <w:rPr>
          <w:rStyle w:val="FootnoteReference"/>
          <w:b/>
          <w:bCs/>
          <w:sz w:val="28"/>
          <w:szCs w:val="28"/>
        </w:rPr>
        <w:footnoteReference w:id="29"/>
      </w:r>
    </w:p>
    <w:p w:rsidR="006C24ED" w:rsidRPr="00556665" w:rsidRDefault="006C24ED" w:rsidP="006C24ED">
      <w:pPr>
        <w:jc w:val="center"/>
        <w:rPr>
          <w:b/>
          <w:bCs/>
          <w:sz w:val="28"/>
          <w:szCs w:val="28"/>
        </w:rPr>
      </w:pPr>
    </w:p>
    <w:tbl>
      <w:tblPr>
        <w:tblStyle w:val="TableGrid"/>
        <w:tblW w:w="14537" w:type="dxa"/>
        <w:tblLayout w:type="fixed"/>
        <w:tblLook w:val="04A0"/>
      </w:tblPr>
      <w:tblGrid>
        <w:gridCol w:w="2405"/>
        <w:gridCol w:w="2268"/>
        <w:gridCol w:w="2028"/>
        <w:gridCol w:w="240"/>
        <w:gridCol w:w="1701"/>
        <w:gridCol w:w="106"/>
        <w:gridCol w:w="1312"/>
        <w:gridCol w:w="315"/>
        <w:gridCol w:w="1102"/>
        <w:gridCol w:w="126"/>
        <w:gridCol w:w="1292"/>
        <w:gridCol w:w="114"/>
        <w:gridCol w:w="1499"/>
        <w:gridCol w:w="29"/>
      </w:tblGrid>
      <w:tr w:rsidR="006C24ED" w:rsidTr="00C846B1">
        <w:tc>
          <w:tcPr>
            <w:tcW w:w="2405" w:type="dxa"/>
            <w:shd w:val="clear" w:color="auto" w:fill="1F3864" w:themeFill="accent1" w:themeFillShade="80"/>
          </w:tcPr>
          <w:p w:rsidR="006C24ED" w:rsidRPr="0078673E" w:rsidRDefault="0078673E" w:rsidP="0032380F">
            <w:r>
              <w:t>СТРАТЕШКИ ЦИЉ</w:t>
            </w:r>
          </w:p>
        </w:tc>
        <w:tc>
          <w:tcPr>
            <w:tcW w:w="12132" w:type="dxa"/>
            <w:gridSpan w:val="13"/>
          </w:tcPr>
          <w:p w:rsidR="006C24ED" w:rsidRPr="00D57C04" w:rsidRDefault="00D57C04" w:rsidP="0032380F">
            <w:pPr>
              <w:rPr>
                <w:b/>
                <w:bCs/>
              </w:rPr>
            </w:pPr>
            <w:r>
              <w:rPr>
                <w:b/>
                <w:bCs/>
              </w:rPr>
              <w:t>ПОВЕЋАЊЕ ЗАПОСЛЕНОСТИ</w:t>
            </w:r>
          </w:p>
          <w:p w:rsidR="00F47510" w:rsidRDefault="00F47510" w:rsidP="0032380F"/>
        </w:tc>
      </w:tr>
      <w:tr w:rsidR="006C24ED" w:rsidTr="00C846B1">
        <w:tc>
          <w:tcPr>
            <w:tcW w:w="2405" w:type="dxa"/>
            <w:shd w:val="clear" w:color="auto" w:fill="BDD6EE" w:themeFill="accent5" w:themeFillTint="66"/>
          </w:tcPr>
          <w:p w:rsidR="006C24ED" w:rsidRPr="00F47510" w:rsidRDefault="0078673E" w:rsidP="0032380F">
            <w:pPr>
              <w:rPr>
                <w:b/>
                <w:bCs/>
              </w:rPr>
            </w:pPr>
            <w:r>
              <w:rPr>
                <w:b/>
                <w:bCs/>
              </w:rPr>
              <w:t>ЦИЉ</w:t>
            </w:r>
            <w:r w:rsidR="006C24ED" w:rsidRPr="00F47510">
              <w:rPr>
                <w:b/>
                <w:bCs/>
              </w:rPr>
              <w:t xml:space="preserve"> 1</w:t>
            </w:r>
          </w:p>
        </w:tc>
        <w:tc>
          <w:tcPr>
            <w:tcW w:w="12132" w:type="dxa"/>
            <w:gridSpan w:val="13"/>
            <w:shd w:val="clear" w:color="auto" w:fill="BDD6EE" w:themeFill="accent5" w:themeFillTint="66"/>
          </w:tcPr>
          <w:p w:rsidR="00F47510" w:rsidRPr="00D57C04" w:rsidRDefault="00D57C04" w:rsidP="0032380F">
            <w:pPr>
              <w:rPr>
                <w:b/>
                <w:bCs/>
                <w:szCs w:val="20"/>
              </w:rPr>
            </w:pPr>
            <w:r>
              <w:rPr>
                <w:b/>
                <w:bCs/>
                <w:szCs w:val="20"/>
              </w:rPr>
              <w:t>Подстицање предузетништва</w:t>
            </w:r>
          </w:p>
          <w:p w:rsidR="006C24ED" w:rsidRDefault="006C24ED" w:rsidP="0032380F"/>
        </w:tc>
      </w:tr>
      <w:tr w:rsidR="00F4651A" w:rsidTr="00C846B1">
        <w:tc>
          <w:tcPr>
            <w:tcW w:w="2405" w:type="dxa"/>
            <w:shd w:val="clear" w:color="auto" w:fill="D9D9D9" w:themeFill="background1" w:themeFillShade="D9"/>
          </w:tcPr>
          <w:p w:rsidR="006C24ED" w:rsidRPr="00D57C04" w:rsidRDefault="00D57C04" w:rsidP="0032380F">
            <w:r>
              <w:t>Активност/мјера</w:t>
            </w:r>
          </w:p>
        </w:tc>
        <w:tc>
          <w:tcPr>
            <w:tcW w:w="2268" w:type="dxa"/>
            <w:shd w:val="clear" w:color="auto" w:fill="D9D9D9" w:themeFill="background1" w:themeFillShade="D9"/>
          </w:tcPr>
          <w:p w:rsidR="006C24ED" w:rsidRPr="00D57C04" w:rsidRDefault="00D57C04" w:rsidP="0032380F">
            <w:r>
              <w:t>Циљна група</w:t>
            </w:r>
          </w:p>
        </w:tc>
        <w:tc>
          <w:tcPr>
            <w:tcW w:w="2268" w:type="dxa"/>
            <w:gridSpan w:val="2"/>
            <w:shd w:val="clear" w:color="auto" w:fill="D9D9D9" w:themeFill="background1" w:themeFillShade="D9"/>
          </w:tcPr>
          <w:p w:rsidR="006C24ED" w:rsidRPr="00D57C04" w:rsidRDefault="00D57C04" w:rsidP="0032380F">
            <w:r>
              <w:t>Планирани број укључених</w:t>
            </w:r>
          </w:p>
          <w:p w:rsidR="00F4651A" w:rsidRPr="00F4651A" w:rsidRDefault="00F4651A" w:rsidP="0032380F">
            <w:pPr>
              <w:ind w:left="218" w:hanging="218"/>
            </w:pPr>
          </w:p>
        </w:tc>
        <w:tc>
          <w:tcPr>
            <w:tcW w:w="1807" w:type="dxa"/>
            <w:gridSpan w:val="2"/>
            <w:shd w:val="clear" w:color="auto" w:fill="D9D9D9" w:themeFill="background1" w:themeFillShade="D9"/>
          </w:tcPr>
          <w:p w:rsidR="006C24ED" w:rsidRPr="00D57C04" w:rsidRDefault="00D57C04" w:rsidP="0032380F">
            <w:r>
              <w:t>Очекивани резултат</w:t>
            </w:r>
          </w:p>
        </w:tc>
        <w:tc>
          <w:tcPr>
            <w:tcW w:w="1627" w:type="dxa"/>
            <w:gridSpan w:val="2"/>
            <w:shd w:val="clear" w:color="auto" w:fill="D9D9D9" w:themeFill="background1" w:themeFillShade="D9"/>
          </w:tcPr>
          <w:p w:rsidR="006C24ED" w:rsidRDefault="00D57C04" w:rsidP="0032380F">
            <w:r>
              <w:t>Потребна финансијска средства (у</w:t>
            </w:r>
            <w:r w:rsidR="00F4651A">
              <w:t xml:space="preserve"> EUR)</w:t>
            </w:r>
          </w:p>
        </w:tc>
        <w:tc>
          <w:tcPr>
            <w:tcW w:w="1102" w:type="dxa"/>
            <w:shd w:val="clear" w:color="auto" w:fill="D9D9D9" w:themeFill="background1" w:themeFillShade="D9"/>
          </w:tcPr>
          <w:p w:rsidR="006C24ED" w:rsidRPr="00D57C04" w:rsidRDefault="00D57C04" w:rsidP="0032380F">
            <w:r>
              <w:t>Извор(и) финансирања</w:t>
            </w:r>
          </w:p>
        </w:tc>
        <w:tc>
          <w:tcPr>
            <w:tcW w:w="1418" w:type="dxa"/>
            <w:gridSpan w:val="2"/>
            <w:shd w:val="clear" w:color="auto" w:fill="D9D9D9" w:themeFill="background1" w:themeFillShade="D9"/>
          </w:tcPr>
          <w:p w:rsidR="00D57C04" w:rsidRDefault="00D57C04" w:rsidP="00D57C04">
            <w:r>
              <w:t>Период спровођења</w:t>
            </w:r>
          </w:p>
          <w:p w:rsidR="006C24ED" w:rsidRDefault="00D57C04" w:rsidP="00D57C04">
            <w:r>
              <w:t>(квартал)</w:t>
            </w:r>
          </w:p>
        </w:tc>
        <w:tc>
          <w:tcPr>
            <w:tcW w:w="1642" w:type="dxa"/>
            <w:gridSpan w:val="3"/>
            <w:shd w:val="clear" w:color="auto" w:fill="D9D9D9" w:themeFill="background1" w:themeFillShade="D9"/>
          </w:tcPr>
          <w:p w:rsidR="006C24ED" w:rsidRDefault="00D57C04" w:rsidP="0032380F">
            <w:r w:rsidRPr="00D57C04">
              <w:t>Одговорност за спровођење</w:t>
            </w:r>
          </w:p>
        </w:tc>
      </w:tr>
      <w:tr w:rsidR="0032380F" w:rsidTr="00C846B1">
        <w:tc>
          <w:tcPr>
            <w:tcW w:w="2405" w:type="dxa"/>
          </w:tcPr>
          <w:p w:rsidR="006C24ED" w:rsidRDefault="006C24ED" w:rsidP="0032380F">
            <w:r>
              <w:t>1.1</w:t>
            </w:r>
            <w:r w:rsidR="00CE7F87">
              <w:t xml:space="preserve"> </w:t>
            </w:r>
            <w:r w:rsidR="00D57C04" w:rsidRPr="00D57C04">
              <w:t>Валоризација бизнис зоне Рудеш</w:t>
            </w:r>
          </w:p>
        </w:tc>
        <w:tc>
          <w:tcPr>
            <w:tcW w:w="2268" w:type="dxa"/>
          </w:tcPr>
          <w:p w:rsidR="006C24ED" w:rsidRDefault="00D57C04" w:rsidP="0032380F">
            <w:r w:rsidRPr="00D57C04">
              <w:t>Инвеститори, привредници, почетници у бизнису</w:t>
            </w:r>
          </w:p>
        </w:tc>
        <w:tc>
          <w:tcPr>
            <w:tcW w:w="2268" w:type="dxa"/>
            <w:gridSpan w:val="2"/>
          </w:tcPr>
          <w:p w:rsidR="00D57C04" w:rsidRDefault="00D57C04" w:rsidP="00D57C04">
            <w:r>
              <w:t>20 предузећа/</w:t>
            </w:r>
          </w:p>
          <w:p w:rsidR="006C24ED" w:rsidRDefault="00D57C04" w:rsidP="00D57C04">
            <w:r>
              <w:t>предузетника информисано</w:t>
            </w:r>
          </w:p>
        </w:tc>
        <w:tc>
          <w:tcPr>
            <w:tcW w:w="1807" w:type="dxa"/>
            <w:gridSpan w:val="2"/>
          </w:tcPr>
          <w:p w:rsidR="006C24ED" w:rsidRDefault="00D57C04" w:rsidP="0032380F">
            <w:r w:rsidRPr="00D57C04">
              <w:t>1 нови инвеститор у бизнис зони</w:t>
            </w:r>
          </w:p>
        </w:tc>
        <w:tc>
          <w:tcPr>
            <w:tcW w:w="1627" w:type="dxa"/>
            <w:gridSpan w:val="2"/>
          </w:tcPr>
          <w:p w:rsidR="006C24ED" w:rsidRDefault="00CE7F87" w:rsidP="0032380F">
            <w:r>
              <w:t>10.000,00</w:t>
            </w:r>
          </w:p>
        </w:tc>
        <w:tc>
          <w:tcPr>
            <w:tcW w:w="1102" w:type="dxa"/>
          </w:tcPr>
          <w:p w:rsidR="006C24ED" w:rsidRDefault="00D57C04" w:rsidP="0032380F">
            <w:r w:rsidRPr="00D57C04">
              <w:t>Буџет општине</w:t>
            </w:r>
          </w:p>
        </w:tc>
        <w:tc>
          <w:tcPr>
            <w:tcW w:w="1418" w:type="dxa"/>
            <w:gridSpan w:val="2"/>
          </w:tcPr>
          <w:p w:rsidR="006C24ED" w:rsidRPr="00D57C04" w:rsidRDefault="00CE7F87" w:rsidP="0032380F">
            <w:r>
              <w:t xml:space="preserve">II, III </w:t>
            </w:r>
            <w:r w:rsidR="00D57C04">
              <w:t>квартал</w:t>
            </w:r>
          </w:p>
        </w:tc>
        <w:tc>
          <w:tcPr>
            <w:tcW w:w="1642" w:type="dxa"/>
            <w:gridSpan w:val="3"/>
          </w:tcPr>
          <w:p w:rsidR="006C24ED" w:rsidRDefault="00D57C04" w:rsidP="0032380F">
            <w:r w:rsidRPr="00D57C04">
              <w:t>Менаџер општине</w:t>
            </w:r>
          </w:p>
        </w:tc>
      </w:tr>
      <w:tr w:rsidR="0032380F" w:rsidTr="00C846B1">
        <w:tc>
          <w:tcPr>
            <w:tcW w:w="2405" w:type="dxa"/>
          </w:tcPr>
          <w:p w:rsidR="006C24ED" w:rsidRDefault="00CE7F87" w:rsidP="0032380F">
            <w:r>
              <w:t xml:space="preserve">1.4. </w:t>
            </w:r>
            <w:r w:rsidR="00D57C04" w:rsidRPr="00D57C04">
              <w:t>Подстицаји за запошљавање у пољопривреди (кроз мјере агробуџета)</w:t>
            </w:r>
          </w:p>
          <w:p w:rsidR="006C24ED" w:rsidRDefault="006C24ED" w:rsidP="0032380F"/>
        </w:tc>
        <w:tc>
          <w:tcPr>
            <w:tcW w:w="2268" w:type="dxa"/>
          </w:tcPr>
          <w:p w:rsidR="006C24ED" w:rsidRDefault="00D57C04" w:rsidP="0032380F">
            <w:r w:rsidRPr="00D57C04">
              <w:t>Пољопривредници и потенцијални пољопривредници</w:t>
            </w:r>
          </w:p>
        </w:tc>
        <w:tc>
          <w:tcPr>
            <w:tcW w:w="2268" w:type="dxa"/>
            <w:gridSpan w:val="2"/>
          </w:tcPr>
          <w:p w:rsidR="006C24ED" w:rsidRDefault="00D57C04" w:rsidP="0032380F">
            <w:r w:rsidRPr="00D57C04">
              <w:t>50 пољопривредника информисано</w:t>
            </w:r>
          </w:p>
        </w:tc>
        <w:tc>
          <w:tcPr>
            <w:tcW w:w="1807" w:type="dxa"/>
            <w:gridSpan w:val="2"/>
          </w:tcPr>
          <w:p w:rsidR="006C24ED" w:rsidRDefault="00D57C04" w:rsidP="0032380F">
            <w:r w:rsidRPr="00D57C04">
              <w:t>Најмање 10 пољопривредника укључено у мјере агробуџета</w:t>
            </w:r>
          </w:p>
        </w:tc>
        <w:tc>
          <w:tcPr>
            <w:tcW w:w="1627" w:type="dxa"/>
            <w:gridSpan w:val="2"/>
          </w:tcPr>
          <w:p w:rsidR="006C24ED" w:rsidRDefault="00CE7F87" w:rsidP="0032380F">
            <w:r>
              <w:t>144.000,00</w:t>
            </w:r>
          </w:p>
        </w:tc>
        <w:tc>
          <w:tcPr>
            <w:tcW w:w="1102" w:type="dxa"/>
          </w:tcPr>
          <w:p w:rsidR="006C24ED" w:rsidRDefault="00D57C04" w:rsidP="0032380F">
            <w:r w:rsidRPr="00D57C04">
              <w:t>Буџет општине</w:t>
            </w:r>
          </w:p>
        </w:tc>
        <w:tc>
          <w:tcPr>
            <w:tcW w:w="1418" w:type="dxa"/>
            <w:gridSpan w:val="2"/>
          </w:tcPr>
          <w:p w:rsidR="006C24ED" w:rsidRDefault="00CE7F87" w:rsidP="0032380F">
            <w:r>
              <w:t xml:space="preserve">II, III </w:t>
            </w:r>
            <w:r w:rsidR="00D57C04">
              <w:t>квартал</w:t>
            </w:r>
          </w:p>
        </w:tc>
        <w:tc>
          <w:tcPr>
            <w:tcW w:w="1642" w:type="dxa"/>
            <w:gridSpan w:val="3"/>
          </w:tcPr>
          <w:p w:rsidR="006C24ED" w:rsidRDefault="001F1244" w:rsidP="0032380F">
            <w:r w:rsidRPr="001F1244">
              <w:t>Општина Беране-Секретаријат за пољопривреду, туризам и водопривреду</w:t>
            </w:r>
          </w:p>
        </w:tc>
      </w:tr>
      <w:tr w:rsidR="0032380F" w:rsidTr="00C846B1">
        <w:tc>
          <w:tcPr>
            <w:tcW w:w="2405" w:type="dxa"/>
          </w:tcPr>
          <w:p w:rsidR="006C24ED" w:rsidRDefault="00CE7F87" w:rsidP="0032380F">
            <w:r>
              <w:t xml:space="preserve">1.5. </w:t>
            </w:r>
            <w:r w:rsidR="001F1244" w:rsidRPr="001F1244">
              <w:t xml:space="preserve">Подршка за израду бизнис планова </w:t>
            </w:r>
          </w:p>
        </w:tc>
        <w:tc>
          <w:tcPr>
            <w:tcW w:w="2268" w:type="dxa"/>
          </w:tcPr>
          <w:p w:rsidR="006C24ED" w:rsidRDefault="001F1244" w:rsidP="0032380F">
            <w:r w:rsidRPr="001F1244">
              <w:t>Почетници у бизнису, незапослени, лица на евиденцији ЗЗЗЦГ, млади</w:t>
            </w:r>
          </w:p>
        </w:tc>
        <w:tc>
          <w:tcPr>
            <w:tcW w:w="2268" w:type="dxa"/>
            <w:gridSpan w:val="2"/>
          </w:tcPr>
          <w:p w:rsidR="006C24ED" w:rsidRPr="001F1244" w:rsidRDefault="001F1244" w:rsidP="0032380F">
            <w:r w:rsidRPr="001F1244">
              <w:t>Најмање 20 лица информисано о подрш</w:t>
            </w:r>
            <w:r>
              <w:t>ци</w:t>
            </w:r>
          </w:p>
        </w:tc>
        <w:tc>
          <w:tcPr>
            <w:tcW w:w="1807" w:type="dxa"/>
            <w:gridSpan w:val="2"/>
          </w:tcPr>
          <w:p w:rsidR="006C24ED" w:rsidRDefault="001F1244" w:rsidP="0032380F">
            <w:r w:rsidRPr="001F1244">
              <w:t>Пружена подршка за 10 лица  у изради бизнис планова</w:t>
            </w:r>
          </w:p>
        </w:tc>
        <w:tc>
          <w:tcPr>
            <w:tcW w:w="1627" w:type="dxa"/>
            <w:gridSpan w:val="2"/>
          </w:tcPr>
          <w:p w:rsidR="006C24ED" w:rsidRDefault="001F1244" w:rsidP="0032380F">
            <w:r w:rsidRPr="001F1244">
              <w:t>Нису потребна финансијска средства</w:t>
            </w:r>
          </w:p>
        </w:tc>
        <w:tc>
          <w:tcPr>
            <w:tcW w:w="1102" w:type="dxa"/>
          </w:tcPr>
          <w:p w:rsidR="00CE7F87" w:rsidRDefault="00CE7F87" w:rsidP="0032380F">
            <w:r>
              <w:t xml:space="preserve">     </w:t>
            </w:r>
          </w:p>
          <w:p w:rsidR="006C24ED" w:rsidRDefault="00CE7F87" w:rsidP="0032380F">
            <w:r>
              <w:t xml:space="preserve">       /</w:t>
            </w:r>
          </w:p>
        </w:tc>
        <w:tc>
          <w:tcPr>
            <w:tcW w:w="1418" w:type="dxa"/>
            <w:gridSpan w:val="2"/>
          </w:tcPr>
          <w:p w:rsidR="006C24ED" w:rsidRDefault="00CE7F87" w:rsidP="0032380F">
            <w:r>
              <w:t xml:space="preserve">I, II, III </w:t>
            </w:r>
            <w:r w:rsidR="00D57C04">
              <w:t>квартал (континуирана активност</w:t>
            </w:r>
            <w:r>
              <w:t>)</w:t>
            </w:r>
          </w:p>
        </w:tc>
        <w:tc>
          <w:tcPr>
            <w:tcW w:w="1642" w:type="dxa"/>
            <w:gridSpan w:val="3"/>
          </w:tcPr>
          <w:p w:rsidR="006C24ED" w:rsidRDefault="001F1244" w:rsidP="0032380F">
            <w:r w:rsidRPr="001F1244">
              <w:t>РБЦ, Општина Беране, ЗЗЗЦГ</w:t>
            </w:r>
          </w:p>
        </w:tc>
      </w:tr>
      <w:tr w:rsidR="0032380F" w:rsidTr="00C846B1">
        <w:tc>
          <w:tcPr>
            <w:tcW w:w="2405" w:type="dxa"/>
          </w:tcPr>
          <w:p w:rsidR="00F47510" w:rsidRDefault="00CE7F87" w:rsidP="0032380F">
            <w:r>
              <w:t xml:space="preserve">1.7. </w:t>
            </w:r>
            <w:r w:rsidR="001F1244" w:rsidRPr="001F1244">
              <w:t>Програми подршке предузетницима (јавни позив за женско предузетништво)</w:t>
            </w:r>
          </w:p>
          <w:p w:rsidR="00F47510" w:rsidRDefault="00F47510" w:rsidP="0032380F"/>
        </w:tc>
        <w:tc>
          <w:tcPr>
            <w:tcW w:w="2268" w:type="dxa"/>
          </w:tcPr>
          <w:p w:rsidR="00F47510" w:rsidRDefault="00C13488" w:rsidP="0032380F">
            <w:r w:rsidRPr="00C13488">
              <w:t>Жене које започињу бизнис и предузетнице које планирају развој пословања са територије општине Беране</w:t>
            </w:r>
          </w:p>
        </w:tc>
        <w:tc>
          <w:tcPr>
            <w:tcW w:w="2268" w:type="dxa"/>
            <w:gridSpan w:val="2"/>
          </w:tcPr>
          <w:p w:rsidR="00F47510" w:rsidRDefault="00C13488" w:rsidP="0032380F">
            <w:r w:rsidRPr="00C13488">
              <w:t>Najmanje 10 žena informisano o  podršci ženskom preduzetništvu</w:t>
            </w:r>
          </w:p>
        </w:tc>
        <w:tc>
          <w:tcPr>
            <w:tcW w:w="1807" w:type="dxa"/>
            <w:gridSpan w:val="2"/>
          </w:tcPr>
          <w:p w:rsidR="00F47510" w:rsidRDefault="00C13488" w:rsidP="0032380F">
            <w:r w:rsidRPr="00C13488">
              <w:t>Потписани уговори за подршку женском предузетништву</w:t>
            </w:r>
          </w:p>
        </w:tc>
        <w:tc>
          <w:tcPr>
            <w:tcW w:w="1627" w:type="dxa"/>
            <w:gridSpan w:val="2"/>
          </w:tcPr>
          <w:p w:rsidR="00F47510" w:rsidRDefault="00CE7F87" w:rsidP="0032380F">
            <w:r>
              <w:t>10.000,00</w:t>
            </w:r>
          </w:p>
        </w:tc>
        <w:tc>
          <w:tcPr>
            <w:tcW w:w="1102" w:type="dxa"/>
          </w:tcPr>
          <w:p w:rsidR="00F47510" w:rsidRDefault="001F1244" w:rsidP="0032380F">
            <w:r w:rsidRPr="00D57C04">
              <w:t>Буџет општине</w:t>
            </w:r>
          </w:p>
        </w:tc>
        <w:tc>
          <w:tcPr>
            <w:tcW w:w="1418" w:type="dxa"/>
            <w:gridSpan w:val="2"/>
          </w:tcPr>
          <w:p w:rsidR="00F47510" w:rsidRDefault="00CE7F87" w:rsidP="0032380F">
            <w:r>
              <w:t xml:space="preserve">I  </w:t>
            </w:r>
            <w:r w:rsidR="00D57C04">
              <w:t>квартал</w:t>
            </w:r>
          </w:p>
        </w:tc>
        <w:tc>
          <w:tcPr>
            <w:tcW w:w="1642" w:type="dxa"/>
            <w:gridSpan w:val="3"/>
          </w:tcPr>
          <w:p w:rsidR="00F47510" w:rsidRDefault="00C13488" w:rsidP="0032380F">
            <w:r>
              <w:t>Комисија за расподјелу средстава за по</w:t>
            </w:r>
            <w:r w:rsidRPr="00C13488">
              <w:t>д</w:t>
            </w:r>
            <w:r>
              <w:t>р</w:t>
            </w:r>
            <w:r w:rsidRPr="00C13488">
              <w:t xml:space="preserve">шку женском предузетништву по јавном </w:t>
            </w:r>
            <w:r w:rsidRPr="00C13488">
              <w:lastRenderedPageBreak/>
              <w:t>позиву</w:t>
            </w:r>
          </w:p>
        </w:tc>
      </w:tr>
      <w:tr w:rsidR="0032380F" w:rsidTr="00C846B1">
        <w:tc>
          <w:tcPr>
            <w:tcW w:w="2405" w:type="dxa"/>
          </w:tcPr>
          <w:p w:rsidR="00F47510" w:rsidRDefault="009D27A9" w:rsidP="0032380F">
            <w:r>
              <w:lastRenderedPageBreak/>
              <w:t xml:space="preserve">1.8.  </w:t>
            </w:r>
            <w:r w:rsidR="00C13488" w:rsidRPr="00C13488">
              <w:t>Сајам запошљавања</w:t>
            </w:r>
          </w:p>
          <w:p w:rsidR="00F47510" w:rsidRDefault="00F47510" w:rsidP="0032380F"/>
        </w:tc>
        <w:tc>
          <w:tcPr>
            <w:tcW w:w="2268" w:type="dxa"/>
          </w:tcPr>
          <w:p w:rsidR="00F47510" w:rsidRDefault="00C13488" w:rsidP="0032380F">
            <w:r w:rsidRPr="00C13488">
              <w:t>Предузетници, послодавци, незапослена лица, високошколци</w:t>
            </w:r>
          </w:p>
        </w:tc>
        <w:tc>
          <w:tcPr>
            <w:tcW w:w="2268" w:type="dxa"/>
            <w:gridSpan w:val="2"/>
          </w:tcPr>
          <w:p w:rsidR="00F47510" w:rsidRDefault="00C13488" w:rsidP="0032380F">
            <w:r w:rsidRPr="00C13488">
              <w:t>Најмање 50 незапослених лица и привредних субјеката укључен у сајам</w:t>
            </w:r>
          </w:p>
        </w:tc>
        <w:tc>
          <w:tcPr>
            <w:tcW w:w="1807" w:type="dxa"/>
            <w:gridSpan w:val="2"/>
          </w:tcPr>
          <w:p w:rsidR="00F47510" w:rsidRDefault="00C13488" w:rsidP="0032380F">
            <w:r w:rsidRPr="00C13488">
              <w:t>Најмање 10 лица запослено посредством сајма</w:t>
            </w:r>
          </w:p>
        </w:tc>
        <w:tc>
          <w:tcPr>
            <w:tcW w:w="1627" w:type="dxa"/>
            <w:gridSpan w:val="2"/>
          </w:tcPr>
          <w:p w:rsidR="00F47510" w:rsidRDefault="009D27A9" w:rsidP="0032380F">
            <w:r>
              <w:t>500,00</w:t>
            </w:r>
          </w:p>
        </w:tc>
        <w:tc>
          <w:tcPr>
            <w:tcW w:w="1102" w:type="dxa"/>
          </w:tcPr>
          <w:p w:rsidR="00F47510" w:rsidRDefault="00C13488" w:rsidP="0032380F">
            <w:r w:rsidRPr="00C13488">
              <w:t>Котизација, донације</w:t>
            </w:r>
          </w:p>
        </w:tc>
        <w:tc>
          <w:tcPr>
            <w:tcW w:w="1418" w:type="dxa"/>
            <w:gridSpan w:val="2"/>
          </w:tcPr>
          <w:p w:rsidR="00F47510" w:rsidRPr="00C13488" w:rsidRDefault="009D27A9" w:rsidP="0032380F">
            <w:r>
              <w:t xml:space="preserve">II </w:t>
            </w:r>
            <w:r w:rsidR="00C13488">
              <w:t>квартал</w:t>
            </w:r>
          </w:p>
        </w:tc>
        <w:tc>
          <w:tcPr>
            <w:tcW w:w="1642" w:type="dxa"/>
            <w:gridSpan w:val="3"/>
          </w:tcPr>
          <w:p w:rsidR="00F47510" w:rsidRDefault="00C13488" w:rsidP="0032380F">
            <w:r w:rsidRPr="001F1244">
              <w:t>РБЦ, Општина Беране, ЗЗЗЦГ</w:t>
            </w:r>
          </w:p>
        </w:tc>
      </w:tr>
      <w:tr w:rsidR="0032380F" w:rsidTr="00C846B1">
        <w:tc>
          <w:tcPr>
            <w:tcW w:w="2405" w:type="dxa"/>
          </w:tcPr>
          <w:p w:rsidR="00F47510" w:rsidRDefault="009D27A9" w:rsidP="0032380F">
            <w:r>
              <w:t xml:space="preserve">1.10. </w:t>
            </w:r>
            <w:r w:rsidR="00C13488" w:rsidRPr="00C13488">
              <w:t>Подстицаји за развој туризма (Јавни позив за развој туризма-мјере агробуџета)</w:t>
            </w:r>
          </w:p>
        </w:tc>
        <w:tc>
          <w:tcPr>
            <w:tcW w:w="2268" w:type="dxa"/>
          </w:tcPr>
          <w:p w:rsidR="00F47510" w:rsidRDefault="00C13488" w:rsidP="0032380F">
            <w:r w:rsidRPr="00C13488">
              <w:t>Привредни субјекти у туризму, сеоска домаћинства</w:t>
            </w:r>
          </w:p>
        </w:tc>
        <w:tc>
          <w:tcPr>
            <w:tcW w:w="2268" w:type="dxa"/>
            <w:gridSpan w:val="2"/>
          </w:tcPr>
          <w:p w:rsidR="00F47510" w:rsidRDefault="00C13488" w:rsidP="0032380F">
            <w:r w:rsidRPr="00C13488">
              <w:t>Најмање 10 пружаоца услуга  информисано о  подршци</w:t>
            </w:r>
          </w:p>
        </w:tc>
        <w:tc>
          <w:tcPr>
            <w:tcW w:w="1807" w:type="dxa"/>
            <w:gridSpan w:val="2"/>
          </w:tcPr>
          <w:p w:rsidR="00F47510" w:rsidRDefault="00C13488" w:rsidP="0032380F">
            <w:r w:rsidRPr="00C13488">
              <w:t>Потписани уговори за подршку развоју туризма</w:t>
            </w:r>
          </w:p>
        </w:tc>
        <w:tc>
          <w:tcPr>
            <w:tcW w:w="1627" w:type="dxa"/>
            <w:gridSpan w:val="2"/>
          </w:tcPr>
          <w:p w:rsidR="00F47510" w:rsidRDefault="009D27A9" w:rsidP="0032380F">
            <w:r>
              <w:t>6.000,00</w:t>
            </w:r>
          </w:p>
        </w:tc>
        <w:tc>
          <w:tcPr>
            <w:tcW w:w="1102" w:type="dxa"/>
          </w:tcPr>
          <w:p w:rsidR="00F47510" w:rsidRDefault="0062497C" w:rsidP="0032380F">
            <w:r w:rsidRPr="0062497C">
              <w:t>Буџет општине</w:t>
            </w:r>
          </w:p>
        </w:tc>
        <w:tc>
          <w:tcPr>
            <w:tcW w:w="1418" w:type="dxa"/>
            <w:gridSpan w:val="2"/>
          </w:tcPr>
          <w:p w:rsidR="00F47510" w:rsidRPr="0062497C" w:rsidRDefault="009D27A9" w:rsidP="0032380F">
            <w:r>
              <w:t xml:space="preserve">II, III </w:t>
            </w:r>
            <w:r w:rsidR="0062497C">
              <w:t>квартал</w:t>
            </w:r>
          </w:p>
        </w:tc>
        <w:tc>
          <w:tcPr>
            <w:tcW w:w="1642" w:type="dxa"/>
            <w:gridSpan w:val="3"/>
          </w:tcPr>
          <w:p w:rsidR="00F47510" w:rsidRDefault="00C13488" w:rsidP="0032380F">
            <w:r w:rsidRPr="001F1244">
              <w:t>Општина Беране-Секретаријат за пољопривреду, туризам и водопривреду</w:t>
            </w:r>
          </w:p>
        </w:tc>
      </w:tr>
      <w:tr w:rsidR="0032380F" w:rsidTr="00C846B1">
        <w:tc>
          <w:tcPr>
            <w:tcW w:w="2405" w:type="dxa"/>
          </w:tcPr>
          <w:p w:rsidR="00F47510" w:rsidRDefault="009D27A9" w:rsidP="0032380F">
            <w:r>
              <w:t xml:space="preserve">1.12. </w:t>
            </w:r>
            <w:r w:rsidR="0062497C" w:rsidRPr="0062497C">
              <w:t>Организација активности за размјену најбољих пракси (радионице, студијске посјете, менторство, промоција предузетништва и обука за предузетништво) са акцентом на организовању активности на нивоу мјесних заједнице</w:t>
            </w:r>
          </w:p>
        </w:tc>
        <w:tc>
          <w:tcPr>
            <w:tcW w:w="2268" w:type="dxa"/>
          </w:tcPr>
          <w:p w:rsidR="00F47510" w:rsidRDefault="0062497C" w:rsidP="0032380F">
            <w:r w:rsidRPr="0062497C">
              <w:t>Предузетници из општине и региона, почетници у бизнису, пољопривредници, Жене, млади, високошколци, незапослени, лица на евиденцији ЗЗЗЦГ, привредни субјекти</w:t>
            </w:r>
          </w:p>
        </w:tc>
        <w:tc>
          <w:tcPr>
            <w:tcW w:w="2268" w:type="dxa"/>
            <w:gridSpan w:val="2"/>
          </w:tcPr>
          <w:p w:rsidR="00F47510" w:rsidRDefault="0062497C" w:rsidP="0032380F">
            <w:r w:rsidRPr="0062497C">
              <w:t>Најмање 50 лица укључено у активности</w:t>
            </w:r>
          </w:p>
        </w:tc>
        <w:tc>
          <w:tcPr>
            <w:tcW w:w="1807" w:type="dxa"/>
            <w:gridSpan w:val="2"/>
          </w:tcPr>
          <w:p w:rsidR="00F47510" w:rsidRDefault="0062497C" w:rsidP="0032380F">
            <w:r w:rsidRPr="0062497C">
              <w:t>Најмање 20 прошло обуке</w:t>
            </w:r>
          </w:p>
        </w:tc>
        <w:tc>
          <w:tcPr>
            <w:tcW w:w="1627" w:type="dxa"/>
            <w:gridSpan w:val="2"/>
          </w:tcPr>
          <w:p w:rsidR="00F47510" w:rsidRDefault="0062497C" w:rsidP="0032380F">
            <w:r w:rsidRPr="0062497C">
              <w:t>Нису потребна финансијска средства</w:t>
            </w:r>
          </w:p>
        </w:tc>
        <w:tc>
          <w:tcPr>
            <w:tcW w:w="1102" w:type="dxa"/>
          </w:tcPr>
          <w:p w:rsidR="00F47510" w:rsidRDefault="009D27A9" w:rsidP="0032380F">
            <w:r>
              <w:t xml:space="preserve">         /</w:t>
            </w:r>
          </w:p>
        </w:tc>
        <w:tc>
          <w:tcPr>
            <w:tcW w:w="1418" w:type="dxa"/>
            <w:gridSpan w:val="2"/>
          </w:tcPr>
          <w:p w:rsidR="00F47510" w:rsidRPr="0062497C" w:rsidRDefault="009D27A9" w:rsidP="0032380F">
            <w:r>
              <w:t xml:space="preserve">II, III </w:t>
            </w:r>
            <w:r w:rsidR="0062497C">
              <w:t>квартал</w:t>
            </w:r>
          </w:p>
        </w:tc>
        <w:tc>
          <w:tcPr>
            <w:tcW w:w="1642" w:type="dxa"/>
            <w:gridSpan w:val="3"/>
          </w:tcPr>
          <w:p w:rsidR="00F47510" w:rsidRDefault="0062497C" w:rsidP="0032380F">
            <w:r w:rsidRPr="0062497C">
              <w:t>Општина Беране, РБЦ, ЗЗЗЦГ, Провајдери обука</w:t>
            </w:r>
          </w:p>
        </w:tc>
      </w:tr>
      <w:tr w:rsidR="0032380F" w:rsidTr="00C846B1">
        <w:tc>
          <w:tcPr>
            <w:tcW w:w="2405" w:type="dxa"/>
          </w:tcPr>
          <w:p w:rsidR="00F47510" w:rsidRDefault="009D27A9" w:rsidP="0032380F">
            <w:r>
              <w:t xml:space="preserve">1.13. </w:t>
            </w:r>
            <w:r w:rsidR="0062497C" w:rsidRPr="0062497C">
              <w:t>Подршка сезонском запошљавању</w:t>
            </w:r>
          </w:p>
          <w:p w:rsidR="00F47510" w:rsidRDefault="00F47510" w:rsidP="0032380F"/>
        </w:tc>
        <w:tc>
          <w:tcPr>
            <w:tcW w:w="2268" w:type="dxa"/>
          </w:tcPr>
          <w:p w:rsidR="00F47510" w:rsidRDefault="0062497C" w:rsidP="0032380F">
            <w:r w:rsidRPr="0062497C">
              <w:t>Незапослена лица регистрована на евиденцији ЗЗЗЦГ- Бироу рада, студенти, млади, привредни субјекти</w:t>
            </w:r>
          </w:p>
        </w:tc>
        <w:tc>
          <w:tcPr>
            <w:tcW w:w="2268" w:type="dxa"/>
            <w:gridSpan w:val="2"/>
          </w:tcPr>
          <w:p w:rsidR="0062497C" w:rsidRDefault="0062497C" w:rsidP="0062497C">
            <w:r>
              <w:t>са подручја сјеверног региона 10</w:t>
            </w:r>
          </w:p>
          <w:p w:rsidR="00F47510" w:rsidRDefault="0062497C" w:rsidP="0062497C">
            <w:r>
              <w:t>са подручја јужног региона 10</w:t>
            </w:r>
          </w:p>
        </w:tc>
        <w:tc>
          <w:tcPr>
            <w:tcW w:w="1807" w:type="dxa"/>
            <w:gridSpan w:val="2"/>
          </w:tcPr>
          <w:p w:rsidR="00F47510" w:rsidRDefault="0062497C" w:rsidP="0032380F">
            <w:r w:rsidRPr="0062497C">
              <w:t>најмање 300 лица упознато са могућношћу сезонског запошљавања</w:t>
            </w:r>
          </w:p>
        </w:tc>
        <w:tc>
          <w:tcPr>
            <w:tcW w:w="1627" w:type="dxa"/>
            <w:gridSpan w:val="2"/>
          </w:tcPr>
          <w:p w:rsidR="00F47510" w:rsidRDefault="0062497C" w:rsidP="0032380F">
            <w:r w:rsidRPr="0062497C">
              <w:t>Нису потребна финансијска средства</w:t>
            </w:r>
            <w:r>
              <w:t xml:space="preserve"> </w:t>
            </w:r>
          </w:p>
        </w:tc>
        <w:tc>
          <w:tcPr>
            <w:tcW w:w="1102" w:type="dxa"/>
          </w:tcPr>
          <w:p w:rsidR="00F47510" w:rsidRDefault="0062497C" w:rsidP="0032380F">
            <w:r w:rsidRPr="0062497C">
              <w:t>ЗЗЗЦГ</w:t>
            </w:r>
          </w:p>
        </w:tc>
        <w:tc>
          <w:tcPr>
            <w:tcW w:w="1418" w:type="dxa"/>
            <w:gridSpan w:val="2"/>
          </w:tcPr>
          <w:p w:rsidR="00F47510" w:rsidRDefault="009D27A9" w:rsidP="0032380F">
            <w:r>
              <w:t xml:space="preserve">I, II, III </w:t>
            </w:r>
            <w:r w:rsidR="0062497C" w:rsidRPr="0062497C">
              <w:t>квартал (континуирана активност)</w:t>
            </w:r>
          </w:p>
        </w:tc>
        <w:tc>
          <w:tcPr>
            <w:tcW w:w="1642" w:type="dxa"/>
            <w:gridSpan w:val="3"/>
          </w:tcPr>
          <w:p w:rsidR="0062497C" w:rsidRDefault="0062497C" w:rsidP="0062497C"/>
          <w:p w:rsidR="00F47510" w:rsidRDefault="0062497C" w:rsidP="0062497C">
            <w:r>
              <w:t>ЗЗЗЦГ-Биро рада Беране</w:t>
            </w:r>
          </w:p>
        </w:tc>
      </w:tr>
      <w:tr w:rsidR="0032380F" w:rsidTr="00C846B1">
        <w:tc>
          <w:tcPr>
            <w:tcW w:w="2405" w:type="dxa"/>
          </w:tcPr>
          <w:p w:rsidR="00F47510" w:rsidRDefault="009D27A9" w:rsidP="0032380F">
            <w:r>
              <w:t xml:space="preserve">1.14. </w:t>
            </w:r>
            <w:r w:rsidR="0062497C" w:rsidRPr="0062497C">
              <w:t>Кредити за самозапошљавање (ЗЗЗЦГ-ЕУ)</w:t>
            </w:r>
          </w:p>
          <w:p w:rsidR="00F47510" w:rsidRDefault="00F47510" w:rsidP="0032380F"/>
        </w:tc>
        <w:tc>
          <w:tcPr>
            <w:tcW w:w="2268" w:type="dxa"/>
          </w:tcPr>
          <w:p w:rsidR="00F47510" w:rsidRDefault="0062497C" w:rsidP="0032380F">
            <w:r w:rsidRPr="0062497C">
              <w:t>Незапослена лица регистрована на евиденцији ЗЗЗЦГ- Бироу</w:t>
            </w:r>
          </w:p>
        </w:tc>
        <w:tc>
          <w:tcPr>
            <w:tcW w:w="2268" w:type="dxa"/>
            <w:gridSpan w:val="2"/>
          </w:tcPr>
          <w:p w:rsidR="0062497C" w:rsidRDefault="0062497C" w:rsidP="0062497C">
            <w:pPr>
              <w:pStyle w:val="ListParagraph"/>
              <w:numPr>
                <w:ilvl w:val="0"/>
                <w:numId w:val="35"/>
              </w:numPr>
              <w:ind w:left="357" w:hanging="357"/>
            </w:pPr>
            <w:r>
              <w:t>Иновирани програм за континуирано стимулисање запошљавања и предузетништва 10 корисника</w:t>
            </w:r>
          </w:p>
          <w:p w:rsidR="00F47510" w:rsidRDefault="0062497C" w:rsidP="0062497C">
            <w:pPr>
              <w:pStyle w:val="ListParagraph"/>
              <w:numPr>
                <w:ilvl w:val="0"/>
                <w:numId w:val="35"/>
              </w:numPr>
              <w:ind w:left="357" w:hanging="357"/>
            </w:pPr>
            <w:r>
              <w:t xml:space="preserve">преко програма </w:t>
            </w:r>
            <w:r>
              <w:lastRenderedPageBreak/>
              <w:t>ЕУ и ЦГ за запошљавње, образовање и социјалну заштиту. Бесповратна средства за спровођење пројекта самозапошљавања 15 корисника</w:t>
            </w:r>
          </w:p>
        </w:tc>
        <w:tc>
          <w:tcPr>
            <w:tcW w:w="1807" w:type="dxa"/>
            <w:gridSpan w:val="2"/>
          </w:tcPr>
          <w:p w:rsidR="0062497C" w:rsidRDefault="0062497C" w:rsidP="0062497C">
            <w:pPr>
              <w:pStyle w:val="ListParagraph"/>
              <w:numPr>
                <w:ilvl w:val="0"/>
                <w:numId w:val="37"/>
              </w:numPr>
              <w:ind w:left="174" w:hanging="284"/>
            </w:pPr>
            <w:r>
              <w:lastRenderedPageBreak/>
              <w:t>запошљено 10 незапослених</w:t>
            </w:r>
          </w:p>
          <w:p w:rsidR="00F47510" w:rsidRDefault="0062497C" w:rsidP="0062497C">
            <w:pPr>
              <w:pStyle w:val="ListParagraph"/>
              <w:numPr>
                <w:ilvl w:val="0"/>
                <w:numId w:val="37"/>
              </w:numPr>
              <w:ind w:left="174" w:hanging="284"/>
            </w:pPr>
            <w:r>
              <w:t>новоотворених привредних субјеката 15</w:t>
            </w:r>
          </w:p>
        </w:tc>
        <w:tc>
          <w:tcPr>
            <w:tcW w:w="1627" w:type="dxa"/>
            <w:gridSpan w:val="2"/>
          </w:tcPr>
          <w:p w:rsidR="00EF3C91" w:rsidRDefault="00EF3C91" w:rsidP="0032380F">
            <w:pPr>
              <w:pStyle w:val="ListParagraph"/>
              <w:numPr>
                <w:ilvl w:val="0"/>
                <w:numId w:val="38"/>
              </w:numPr>
              <w:ind w:left="300"/>
            </w:pPr>
            <w:r>
              <w:t xml:space="preserve">50.000 </w:t>
            </w:r>
          </w:p>
          <w:p w:rsidR="00F47510" w:rsidRDefault="00EF3C91" w:rsidP="0032380F">
            <w:pPr>
              <w:pStyle w:val="ListParagraph"/>
              <w:numPr>
                <w:ilvl w:val="0"/>
                <w:numId w:val="38"/>
              </w:numPr>
              <w:ind w:left="300"/>
            </w:pPr>
            <w:r>
              <w:t>105.000</w:t>
            </w:r>
          </w:p>
        </w:tc>
        <w:tc>
          <w:tcPr>
            <w:tcW w:w="1102" w:type="dxa"/>
          </w:tcPr>
          <w:p w:rsidR="00F47510" w:rsidRDefault="0062497C" w:rsidP="0032380F">
            <w:r w:rsidRPr="0062497C">
              <w:t>ЗЗЗЦГ</w:t>
            </w:r>
          </w:p>
        </w:tc>
        <w:tc>
          <w:tcPr>
            <w:tcW w:w="1418" w:type="dxa"/>
            <w:gridSpan w:val="2"/>
          </w:tcPr>
          <w:p w:rsidR="00F47510" w:rsidRDefault="00EF3C91" w:rsidP="0032380F">
            <w:r>
              <w:t xml:space="preserve">I, II, III </w:t>
            </w:r>
            <w:r w:rsidR="0062497C" w:rsidRPr="0062497C">
              <w:t>квартал (континуирана активност)</w:t>
            </w:r>
          </w:p>
        </w:tc>
        <w:tc>
          <w:tcPr>
            <w:tcW w:w="1642" w:type="dxa"/>
            <w:gridSpan w:val="3"/>
          </w:tcPr>
          <w:p w:rsidR="0062497C" w:rsidRDefault="0062497C" w:rsidP="0062497C"/>
          <w:p w:rsidR="00F47510" w:rsidRDefault="0062497C" w:rsidP="0062497C">
            <w:r>
              <w:t>ЗЗЗЦГ-Биро рада Беране</w:t>
            </w:r>
          </w:p>
        </w:tc>
      </w:tr>
      <w:tr w:rsidR="006C24ED" w:rsidTr="00C846B1">
        <w:trPr>
          <w:gridAfter w:val="1"/>
          <w:wAfter w:w="29" w:type="dxa"/>
        </w:trPr>
        <w:tc>
          <w:tcPr>
            <w:tcW w:w="2405" w:type="dxa"/>
            <w:shd w:val="clear" w:color="auto" w:fill="BDD6EE" w:themeFill="accent5" w:themeFillTint="66"/>
          </w:tcPr>
          <w:p w:rsidR="006C24ED" w:rsidRPr="00F47510" w:rsidRDefault="0062497C" w:rsidP="00EF11C0">
            <w:pPr>
              <w:rPr>
                <w:b/>
                <w:bCs/>
              </w:rPr>
            </w:pPr>
            <w:r>
              <w:rPr>
                <w:b/>
                <w:bCs/>
              </w:rPr>
              <w:lastRenderedPageBreak/>
              <w:t>Ц</w:t>
            </w:r>
            <w:r w:rsidR="00E33076">
              <w:rPr>
                <w:b/>
                <w:bCs/>
              </w:rPr>
              <w:t>ИЉ</w:t>
            </w:r>
            <w:r w:rsidR="006C24ED" w:rsidRPr="00F47510">
              <w:rPr>
                <w:b/>
                <w:bCs/>
              </w:rPr>
              <w:t xml:space="preserve"> 2</w:t>
            </w:r>
          </w:p>
        </w:tc>
        <w:tc>
          <w:tcPr>
            <w:tcW w:w="12103" w:type="dxa"/>
            <w:gridSpan w:val="12"/>
            <w:shd w:val="clear" w:color="auto" w:fill="BDD6EE" w:themeFill="accent5" w:themeFillTint="66"/>
          </w:tcPr>
          <w:p w:rsidR="006C24ED" w:rsidRPr="00F47510" w:rsidRDefault="0062497C" w:rsidP="00EF11C0">
            <w:pPr>
              <w:rPr>
                <w:b/>
                <w:bCs/>
              </w:rPr>
            </w:pPr>
            <w:r w:rsidRPr="0062497C">
              <w:rPr>
                <w:b/>
                <w:bCs/>
                <w:szCs w:val="20"/>
              </w:rPr>
              <w:t>Унапређење компетенција радне снаге</w:t>
            </w:r>
          </w:p>
        </w:tc>
      </w:tr>
      <w:tr w:rsidR="006C24ED" w:rsidTr="00C846B1">
        <w:trPr>
          <w:gridAfter w:val="1"/>
          <w:wAfter w:w="29" w:type="dxa"/>
        </w:trPr>
        <w:tc>
          <w:tcPr>
            <w:tcW w:w="2405" w:type="dxa"/>
            <w:shd w:val="clear" w:color="auto" w:fill="D9D9D9" w:themeFill="background1" w:themeFillShade="D9"/>
          </w:tcPr>
          <w:p w:rsidR="006C24ED" w:rsidRDefault="0076699A" w:rsidP="00EF11C0">
            <w:r>
              <w:t>Активност/мјера</w:t>
            </w:r>
          </w:p>
        </w:tc>
        <w:tc>
          <w:tcPr>
            <w:tcW w:w="2268" w:type="dxa"/>
            <w:shd w:val="clear" w:color="auto" w:fill="D9D9D9" w:themeFill="background1" w:themeFillShade="D9"/>
          </w:tcPr>
          <w:p w:rsidR="006C24ED" w:rsidRPr="0076699A" w:rsidRDefault="0076699A" w:rsidP="00EF11C0">
            <w:r>
              <w:t>Циљна група</w:t>
            </w:r>
          </w:p>
        </w:tc>
        <w:tc>
          <w:tcPr>
            <w:tcW w:w="2028" w:type="dxa"/>
            <w:shd w:val="clear" w:color="auto" w:fill="D9D9D9" w:themeFill="background1" w:themeFillShade="D9"/>
          </w:tcPr>
          <w:p w:rsidR="006C24ED" w:rsidRDefault="0076699A" w:rsidP="00EF11C0">
            <w:r w:rsidRPr="0076699A">
              <w:t>Планиран број укључених</w:t>
            </w:r>
          </w:p>
        </w:tc>
        <w:tc>
          <w:tcPr>
            <w:tcW w:w="1941" w:type="dxa"/>
            <w:gridSpan w:val="2"/>
            <w:shd w:val="clear" w:color="auto" w:fill="D9D9D9" w:themeFill="background1" w:themeFillShade="D9"/>
          </w:tcPr>
          <w:p w:rsidR="006C24ED" w:rsidRDefault="0076699A" w:rsidP="00EF11C0">
            <w:r>
              <w:t>Очекивани резултат</w:t>
            </w:r>
          </w:p>
        </w:tc>
        <w:tc>
          <w:tcPr>
            <w:tcW w:w="1418" w:type="dxa"/>
            <w:gridSpan w:val="2"/>
            <w:shd w:val="clear" w:color="auto" w:fill="D9D9D9" w:themeFill="background1" w:themeFillShade="D9"/>
          </w:tcPr>
          <w:p w:rsidR="006C24ED" w:rsidRDefault="0076699A" w:rsidP="00EF11C0">
            <w:r>
              <w:t>Потребна финансијска средства (у EUR)</w:t>
            </w:r>
          </w:p>
        </w:tc>
        <w:tc>
          <w:tcPr>
            <w:tcW w:w="1543" w:type="dxa"/>
            <w:gridSpan w:val="3"/>
            <w:shd w:val="clear" w:color="auto" w:fill="D9D9D9" w:themeFill="background1" w:themeFillShade="D9"/>
          </w:tcPr>
          <w:p w:rsidR="006C24ED" w:rsidRDefault="0076699A" w:rsidP="00EF11C0">
            <w:r>
              <w:t>Извор(и) финансирања</w:t>
            </w:r>
          </w:p>
        </w:tc>
        <w:tc>
          <w:tcPr>
            <w:tcW w:w="1406" w:type="dxa"/>
            <w:gridSpan w:val="2"/>
            <w:shd w:val="clear" w:color="auto" w:fill="D9D9D9" w:themeFill="background1" w:themeFillShade="D9"/>
          </w:tcPr>
          <w:p w:rsidR="0076699A" w:rsidRDefault="0076699A" w:rsidP="0076699A">
            <w:r>
              <w:t>Период спровођења</w:t>
            </w:r>
          </w:p>
          <w:p w:rsidR="006C24ED" w:rsidRDefault="0076699A" w:rsidP="0076699A">
            <w:r>
              <w:t>(квартал)</w:t>
            </w:r>
          </w:p>
        </w:tc>
        <w:tc>
          <w:tcPr>
            <w:tcW w:w="1499" w:type="dxa"/>
            <w:shd w:val="clear" w:color="auto" w:fill="D9D9D9" w:themeFill="background1" w:themeFillShade="D9"/>
          </w:tcPr>
          <w:p w:rsidR="006C24ED" w:rsidRDefault="0076699A" w:rsidP="00EF11C0">
            <w:r w:rsidRPr="00D57C04">
              <w:t>Одговорност за спровођење</w:t>
            </w:r>
          </w:p>
        </w:tc>
      </w:tr>
      <w:tr w:rsidR="006C24ED" w:rsidTr="00C846B1">
        <w:trPr>
          <w:gridAfter w:val="1"/>
          <w:wAfter w:w="29" w:type="dxa"/>
        </w:trPr>
        <w:tc>
          <w:tcPr>
            <w:tcW w:w="2405" w:type="dxa"/>
            <w:shd w:val="clear" w:color="auto" w:fill="FFFFFF" w:themeFill="background1"/>
          </w:tcPr>
          <w:p w:rsidR="006C24ED" w:rsidRDefault="00EF3C91" w:rsidP="00EF11C0">
            <w:r>
              <w:t xml:space="preserve">2.1. </w:t>
            </w:r>
            <w:r w:rsidR="0076699A" w:rsidRPr="0076699A">
              <w:t>Образовање и оспособљавање незапослених лица (ЗЗЗЦГ- Биро рада)</w:t>
            </w:r>
          </w:p>
        </w:tc>
        <w:tc>
          <w:tcPr>
            <w:tcW w:w="2268" w:type="dxa"/>
            <w:shd w:val="clear" w:color="auto" w:fill="FFFFFF" w:themeFill="background1"/>
          </w:tcPr>
          <w:p w:rsidR="006C24ED" w:rsidRDefault="0076699A" w:rsidP="00EF11C0">
            <w:r w:rsidRPr="0076699A">
              <w:t>Незапослена лица регистрована на евиденцији ЗЗЗЦГ- Бироу рада</w:t>
            </w:r>
          </w:p>
        </w:tc>
        <w:tc>
          <w:tcPr>
            <w:tcW w:w="2028" w:type="dxa"/>
            <w:shd w:val="clear" w:color="auto" w:fill="FFFFFF" w:themeFill="background1"/>
          </w:tcPr>
          <w:p w:rsidR="006C24ED" w:rsidRDefault="0076699A" w:rsidP="00EF11C0">
            <w:r w:rsidRPr="0076699A">
              <w:t>Кроз ову мјеру активне политике запошљавања укључиће се 20 лица</w:t>
            </w:r>
          </w:p>
        </w:tc>
        <w:tc>
          <w:tcPr>
            <w:tcW w:w="1941" w:type="dxa"/>
            <w:gridSpan w:val="2"/>
            <w:shd w:val="clear" w:color="auto" w:fill="FFFFFF" w:themeFill="background1"/>
          </w:tcPr>
          <w:p w:rsidR="006C24ED" w:rsidRDefault="0076699A" w:rsidP="00EF11C0">
            <w:r w:rsidRPr="0076699A">
              <w:t>20 незапослених лица стекло кључне вјештине</w:t>
            </w:r>
          </w:p>
        </w:tc>
        <w:tc>
          <w:tcPr>
            <w:tcW w:w="1418" w:type="dxa"/>
            <w:gridSpan w:val="2"/>
            <w:shd w:val="clear" w:color="auto" w:fill="FFFFFF" w:themeFill="background1"/>
          </w:tcPr>
          <w:p w:rsidR="006C24ED" w:rsidRDefault="00EF3C91" w:rsidP="00EF11C0">
            <w:r>
              <w:t>13.000</w:t>
            </w:r>
            <w:r w:rsidR="00F4651A">
              <w:t>,00</w:t>
            </w:r>
            <w:r>
              <w:t xml:space="preserve"> </w:t>
            </w:r>
          </w:p>
        </w:tc>
        <w:tc>
          <w:tcPr>
            <w:tcW w:w="1543" w:type="dxa"/>
            <w:gridSpan w:val="3"/>
            <w:shd w:val="clear" w:color="auto" w:fill="FFFFFF" w:themeFill="background1"/>
          </w:tcPr>
          <w:p w:rsidR="00EF3C91" w:rsidRDefault="00EF3C91" w:rsidP="00EF3C91"/>
          <w:p w:rsidR="006C24ED" w:rsidRDefault="0076699A" w:rsidP="00EF3C91">
            <w:r>
              <w:t>ЗЗЗЦГ</w:t>
            </w:r>
          </w:p>
        </w:tc>
        <w:tc>
          <w:tcPr>
            <w:tcW w:w="1406" w:type="dxa"/>
            <w:gridSpan w:val="2"/>
            <w:shd w:val="clear" w:color="auto" w:fill="FFFFFF" w:themeFill="background1"/>
          </w:tcPr>
          <w:p w:rsidR="006C24ED" w:rsidRDefault="00EF3C91" w:rsidP="00EF11C0">
            <w:r>
              <w:t xml:space="preserve">I, II, III </w:t>
            </w:r>
            <w:r w:rsidR="0076699A" w:rsidRPr="0076699A">
              <w:t>квартал (континуирана активност)</w:t>
            </w:r>
          </w:p>
        </w:tc>
        <w:tc>
          <w:tcPr>
            <w:tcW w:w="1499" w:type="dxa"/>
            <w:shd w:val="clear" w:color="auto" w:fill="FFFFFF" w:themeFill="background1"/>
          </w:tcPr>
          <w:p w:rsidR="006C24ED" w:rsidRDefault="0076699A" w:rsidP="00EF11C0">
            <w:r>
              <w:t>ЗЗЗЦГ-Биро рада Беране</w:t>
            </w:r>
          </w:p>
        </w:tc>
      </w:tr>
      <w:tr w:rsidR="00F47510" w:rsidTr="00C846B1">
        <w:trPr>
          <w:gridAfter w:val="1"/>
          <w:wAfter w:w="29" w:type="dxa"/>
        </w:trPr>
        <w:tc>
          <w:tcPr>
            <w:tcW w:w="2405" w:type="dxa"/>
            <w:shd w:val="clear" w:color="auto" w:fill="FFFFFF" w:themeFill="background1"/>
          </w:tcPr>
          <w:p w:rsidR="00F47510" w:rsidRDefault="00EF3C91" w:rsidP="00EF11C0">
            <w:r>
              <w:t xml:space="preserve">2.2. </w:t>
            </w:r>
            <w:r w:rsidR="00710376" w:rsidRPr="00710376">
              <w:t>Едукација пољопривредника (Агробуџет)</w:t>
            </w:r>
          </w:p>
          <w:p w:rsidR="00F47510" w:rsidRDefault="00F47510" w:rsidP="00EF11C0"/>
        </w:tc>
        <w:tc>
          <w:tcPr>
            <w:tcW w:w="2268" w:type="dxa"/>
            <w:shd w:val="clear" w:color="auto" w:fill="FFFFFF" w:themeFill="background1"/>
          </w:tcPr>
          <w:p w:rsidR="00F47510" w:rsidRPr="00710376" w:rsidRDefault="00710376" w:rsidP="00710376">
            <w:r w:rsidRPr="00710376">
              <w:t>Пољопривредници</w:t>
            </w:r>
          </w:p>
        </w:tc>
        <w:tc>
          <w:tcPr>
            <w:tcW w:w="2028" w:type="dxa"/>
            <w:shd w:val="clear" w:color="auto" w:fill="FFFFFF" w:themeFill="background1"/>
          </w:tcPr>
          <w:p w:rsidR="00F47510" w:rsidRPr="00710376" w:rsidRDefault="00EF3C91" w:rsidP="00EF11C0">
            <w:r>
              <w:t xml:space="preserve">20  </w:t>
            </w:r>
            <w:r w:rsidR="00710376">
              <w:t>п</w:t>
            </w:r>
            <w:r w:rsidR="00710376" w:rsidRPr="00710376">
              <w:t>ољопривредни</w:t>
            </w:r>
            <w:r w:rsidR="00710376">
              <w:t>ка</w:t>
            </w:r>
          </w:p>
        </w:tc>
        <w:tc>
          <w:tcPr>
            <w:tcW w:w="1941" w:type="dxa"/>
            <w:gridSpan w:val="2"/>
            <w:shd w:val="clear" w:color="auto" w:fill="FFFFFF" w:themeFill="background1"/>
          </w:tcPr>
          <w:p w:rsidR="00F47510" w:rsidRDefault="00710376" w:rsidP="00EF11C0">
            <w:r w:rsidRPr="00710376">
              <w:t>Едуковано 20 пољопривредних произвођача</w:t>
            </w:r>
          </w:p>
        </w:tc>
        <w:tc>
          <w:tcPr>
            <w:tcW w:w="1418" w:type="dxa"/>
            <w:gridSpan w:val="2"/>
            <w:shd w:val="clear" w:color="auto" w:fill="FFFFFF" w:themeFill="background1"/>
          </w:tcPr>
          <w:p w:rsidR="00F47510" w:rsidRDefault="00EF3C91" w:rsidP="00EF11C0">
            <w:r>
              <w:t>8.000,00</w:t>
            </w:r>
          </w:p>
        </w:tc>
        <w:tc>
          <w:tcPr>
            <w:tcW w:w="1543" w:type="dxa"/>
            <w:gridSpan w:val="3"/>
            <w:shd w:val="clear" w:color="auto" w:fill="FFFFFF" w:themeFill="background1"/>
          </w:tcPr>
          <w:p w:rsidR="00F47510" w:rsidRDefault="00710376" w:rsidP="00EF11C0">
            <w:r>
              <w:t>Буџет општине- Агробуџ</w:t>
            </w:r>
            <w:r w:rsidRPr="00710376">
              <w:t>ет</w:t>
            </w:r>
          </w:p>
        </w:tc>
        <w:tc>
          <w:tcPr>
            <w:tcW w:w="1406" w:type="dxa"/>
            <w:gridSpan w:val="2"/>
            <w:shd w:val="clear" w:color="auto" w:fill="FFFFFF" w:themeFill="background1"/>
          </w:tcPr>
          <w:p w:rsidR="00F47510" w:rsidRDefault="00EF3C91" w:rsidP="00EF11C0">
            <w:r>
              <w:t>II, III, IV kvartal</w:t>
            </w:r>
          </w:p>
        </w:tc>
        <w:tc>
          <w:tcPr>
            <w:tcW w:w="1499" w:type="dxa"/>
            <w:shd w:val="clear" w:color="auto" w:fill="FFFFFF" w:themeFill="background1"/>
          </w:tcPr>
          <w:p w:rsidR="00F47510" w:rsidRDefault="0076699A" w:rsidP="00EF11C0">
            <w:r w:rsidRPr="001F1244">
              <w:t>Општина Беране-Секретаријат за пољопривреду, туризам и водопривреду</w:t>
            </w:r>
          </w:p>
        </w:tc>
      </w:tr>
      <w:tr w:rsidR="006C24ED" w:rsidTr="00C846B1">
        <w:trPr>
          <w:gridAfter w:val="1"/>
          <w:wAfter w:w="29" w:type="dxa"/>
        </w:trPr>
        <w:tc>
          <w:tcPr>
            <w:tcW w:w="2405" w:type="dxa"/>
            <w:shd w:val="clear" w:color="auto" w:fill="FFFFFF" w:themeFill="background1"/>
          </w:tcPr>
          <w:p w:rsidR="00F47510" w:rsidRDefault="00EF3C91" w:rsidP="00F47510">
            <w:r>
              <w:t xml:space="preserve">2.3. </w:t>
            </w:r>
            <w:r w:rsidR="00710376" w:rsidRPr="00710376">
              <w:t>Организовање обука на радном мјесту</w:t>
            </w:r>
          </w:p>
          <w:p w:rsidR="006C24ED" w:rsidRDefault="006C24ED" w:rsidP="00F47510"/>
        </w:tc>
        <w:tc>
          <w:tcPr>
            <w:tcW w:w="2268" w:type="dxa"/>
            <w:shd w:val="clear" w:color="auto" w:fill="FFFFFF" w:themeFill="background1"/>
          </w:tcPr>
          <w:p w:rsidR="006C24ED" w:rsidRDefault="00710376" w:rsidP="00EF11C0">
            <w:r w:rsidRPr="0076699A">
              <w:t>Незапослена лица регистрована на евиденцији ЗЗЗЦГ- Бироу рада</w:t>
            </w:r>
          </w:p>
        </w:tc>
        <w:tc>
          <w:tcPr>
            <w:tcW w:w="2028" w:type="dxa"/>
            <w:shd w:val="clear" w:color="auto" w:fill="FFFFFF" w:themeFill="background1"/>
          </w:tcPr>
          <w:p w:rsidR="006C24ED" w:rsidRDefault="00710376" w:rsidP="00EF11C0">
            <w:r w:rsidRPr="00710376">
              <w:t>Кроз ову мјеру активне политике запошљавања укључиће се 100 лица</w:t>
            </w:r>
          </w:p>
        </w:tc>
        <w:tc>
          <w:tcPr>
            <w:tcW w:w="1941" w:type="dxa"/>
            <w:gridSpan w:val="2"/>
            <w:shd w:val="clear" w:color="auto" w:fill="FFFFFF" w:themeFill="background1"/>
          </w:tcPr>
          <w:p w:rsidR="006C24ED" w:rsidRDefault="00710376" w:rsidP="00364EC7">
            <w:pPr>
              <w:ind w:left="-12"/>
            </w:pPr>
            <w:r w:rsidRPr="00710376">
              <w:t>Оспособљено за занимања 100 незапослених лица</w:t>
            </w:r>
          </w:p>
        </w:tc>
        <w:tc>
          <w:tcPr>
            <w:tcW w:w="1418" w:type="dxa"/>
            <w:gridSpan w:val="2"/>
            <w:shd w:val="clear" w:color="auto" w:fill="FFFFFF" w:themeFill="background1"/>
          </w:tcPr>
          <w:p w:rsidR="006C24ED" w:rsidRDefault="00F218E8" w:rsidP="00EF11C0">
            <w:r>
              <w:t>138.000</w:t>
            </w:r>
            <w:r w:rsidR="00F4651A">
              <w:t>,00</w:t>
            </w:r>
            <w:r>
              <w:t xml:space="preserve"> </w:t>
            </w:r>
          </w:p>
        </w:tc>
        <w:tc>
          <w:tcPr>
            <w:tcW w:w="1543" w:type="dxa"/>
            <w:gridSpan w:val="3"/>
            <w:shd w:val="clear" w:color="auto" w:fill="FFFFFF" w:themeFill="background1"/>
          </w:tcPr>
          <w:p w:rsidR="006C24ED" w:rsidRDefault="0076699A" w:rsidP="00EF11C0">
            <w:r>
              <w:t>ЗЗЗЦГ</w:t>
            </w:r>
          </w:p>
        </w:tc>
        <w:tc>
          <w:tcPr>
            <w:tcW w:w="1406" w:type="dxa"/>
            <w:gridSpan w:val="2"/>
            <w:shd w:val="clear" w:color="auto" w:fill="FFFFFF" w:themeFill="background1"/>
          </w:tcPr>
          <w:p w:rsidR="006C24ED" w:rsidRPr="00E5640C" w:rsidRDefault="00F218E8" w:rsidP="00EF11C0">
            <w:r>
              <w:t xml:space="preserve">I, II, III </w:t>
            </w:r>
            <w:r w:rsidR="00710376" w:rsidRPr="0076699A">
              <w:t>квартал (континуирана активност</w:t>
            </w:r>
            <w:r w:rsidR="00E5640C">
              <w:t>)</w:t>
            </w:r>
          </w:p>
        </w:tc>
        <w:tc>
          <w:tcPr>
            <w:tcW w:w="1499" w:type="dxa"/>
            <w:shd w:val="clear" w:color="auto" w:fill="FFFFFF" w:themeFill="background1"/>
          </w:tcPr>
          <w:p w:rsidR="006C24ED" w:rsidRDefault="0076699A" w:rsidP="00EF11C0">
            <w:r>
              <w:t>ЗЗЗЦГ</w:t>
            </w:r>
          </w:p>
        </w:tc>
      </w:tr>
      <w:tr w:rsidR="00F47510" w:rsidTr="00C846B1">
        <w:trPr>
          <w:gridAfter w:val="1"/>
          <w:wAfter w:w="29" w:type="dxa"/>
        </w:trPr>
        <w:tc>
          <w:tcPr>
            <w:tcW w:w="2405" w:type="dxa"/>
            <w:shd w:val="clear" w:color="auto" w:fill="FFFFFF" w:themeFill="background1"/>
          </w:tcPr>
          <w:p w:rsidR="00F47510" w:rsidRDefault="00F218E8" w:rsidP="00EF11C0">
            <w:r>
              <w:t xml:space="preserve">2.6. </w:t>
            </w:r>
            <w:r w:rsidR="00710376" w:rsidRPr="00710376">
              <w:t>Јавни радови (по позиву )</w:t>
            </w:r>
          </w:p>
          <w:p w:rsidR="00F47510" w:rsidRDefault="00F47510" w:rsidP="00EF11C0"/>
        </w:tc>
        <w:tc>
          <w:tcPr>
            <w:tcW w:w="2268" w:type="dxa"/>
            <w:shd w:val="clear" w:color="auto" w:fill="FFFFFF" w:themeFill="background1"/>
          </w:tcPr>
          <w:p w:rsidR="00F47510" w:rsidRDefault="00710376" w:rsidP="00EF11C0">
            <w:r w:rsidRPr="00710376">
              <w:t>Незапослена лица, првенствено теже запошљива лица</w:t>
            </w:r>
          </w:p>
        </w:tc>
        <w:tc>
          <w:tcPr>
            <w:tcW w:w="2028" w:type="dxa"/>
            <w:shd w:val="clear" w:color="auto" w:fill="FFFFFF" w:themeFill="background1"/>
          </w:tcPr>
          <w:p w:rsidR="00F47510" w:rsidRDefault="00710376" w:rsidP="00EF11C0">
            <w:r w:rsidRPr="00710376">
              <w:t>15 лица укључено у јавне радове</w:t>
            </w:r>
          </w:p>
        </w:tc>
        <w:tc>
          <w:tcPr>
            <w:tcW w:w="1941" w:type="dxa"/>
            <w:gridSpan w:val="2"/>
            <w:shd w:val="clear" w:color="auto" w:fill="FFFFFF" w:themeFill="background1"/>
          </w:tcPr>
          <w:p w:rsidR="00F47510" w:rsidRPr="00710376" w:rsidRDefault="00710376" w:rsidP="00EF11C0">
            <w:r w:rsidRPr="00710376">
              <w:t>Унапријеђена радна мјеста, регистровано запошљавање нових лица</w:t>
            </w:r>
            <w:r>
              <w:t xml:space="preserve"> </w:t>
            </w:r>
          </w:p>
        </w:tc>
        <w:tc>
          <w:tcPr>
            <w:tcW w:w="1418" w:type="dxa"/>
            <w:gridSpan w:val="2"/>
            <w:shd w:val="clear" w:color="auto" w:fill="FFFFFF" w:themeFill="background1"/>
          </w:tcPr>
          <w:p w:rsidR="00F47510" w:rsidRDefault="00F218E8" w:rsidP="00EF11C0">
            <w:r>
              <w:t>22.500,00</w:t>
            </w:r>
          </w:p>
        </w:tc>
        <w:tc>
          <w:tcPr>
            <w:tcW w:w="1543" w:type="dxa"/>
            <w:gridSpan w:val="3"/>
            <w:shd w:val="clear" w:color="auto" w:fill="FFFFFF" w:themeFill="background1"/>
          </w:tcPr>
          <w:p w:rsidR="00F47510" w:rsidRDefault="0076699A" w:rsidP="00EF11C0">
            <w:r>
              <w:t>ЗЗЗЦГ</w:t>
            </w:r>
          </w:p>
        </w:tc>
        <w:tc>
          <w:tcPr>
            <w:tcW w:w="1406" w:type="dxa"/>
            <w:gridSpan w:val="2"/>
            <w:shd w:val="clear" w:color="auto" w:fill="FFFFFF" w:themeFill="background1"/>
          </w:tcPr>
          <w:p w:rsidR="00F47510" w:rsidRPr="00710376" w:rsidRDefault="00F218E8" w:rsidP="00EF11C0">
            <w:r>
              <w:t xml:space="preserve">II,III </w:t>
            </w:r>
            <w:r w:rsidR="00710376">
              <w:t>квартал</w:t>
            </w:r>
          </w:p>
        </w:tc>
        <w:tc>
          <w:tcPr>
            <w:tcW w:w="1499" w:type="dxa"/>
            <w:shd w:val="clear" w:color="auto" w:fill="FFFFFF" w:themeFill="background1"/>
          </w:tcPr>
          <w:p w:rsidR="00F47510" w:rsidRDefault="0076699A" w:rsidP="00EF11C0">
            <w:r>
              <w:t>ЗЗЗЦГ</w:t>
            </w:r>
          </w:p>
        </w:tc>
      </w:tr>
      <w:tr w:rsidR="00F47510" w:rsidTr="00C846B1">
        <w:trPr>
          <w:gridAfter w:val="1"/>
          <w:wAfter w:w="29" w:type="dxa"/>
        </w:trPr>
        <w:tc>
          <w:tcPr>
            <w:tcW w:w="2405" w:type="dxa"/>
            <w:shd w:val="clear" w:color="auto" w:fill="FFFFFF" w:themeFill="background1"/>
          </w:tcPr>
          <w:p w:rsidR="00F47510" w:rsidRDefault="00F218E8" w:rsidP="00EF11C0">
            <w:r>
              <w:lastRenderedPageBreak/>
              <w:t xml:space="preserve">2.8. </w:t>
            </w:r>
            <w:r w:rsidR="00710376" w:rsidRPr="00710376">
              <w:t>Промоција лиценцираних програма образовања одраслих</w:t>
            </w:r>
          </w:p>
          <w:p w:rsidR="00F47510" w:rsidRDefault="00F47510" w:rsidP="00EF11C0"/>
        </w:tc>
        <w:tc>
          <w:tcPr>
            <w:tcW w:w="2268" w:type="dxa"/>
            <w:shd w:val="clear" w:color="auto" w:fill="FFFFFF" w:themeFill="background1"/>
          </w:tcPr>
          <w:p w:rsidR="00F47510" w:rsidRDefault="00710376" w:rsidP="00EF11C0">
            <w:r w:rsidRPr="00710376">
              <w:t>Незапослена лица, првенствено теже запошљива лица</w:t>
            </w:r>
          </w:p>
        </w:tc>
        <w:tc>
          <w:tcPr>
            <w:tcW w:w="2028" w:type="dxa"/>
            <w:shd w:val="clear" w:color="auto" w:fill="FFFFFF" w:themeFill="background1"/>
          </w:tcPr>
          <w:p w:rsidR="00F47510" w:rsidRDefault="00E5640C" w:rsidP="00EF11C0">
            <w:r w:rsidRPr="00E5640C">
              <w:t>Најмање 20 лица информисано о програмима</w:t>
            </w:r>
          </w:p>
        </w:tc>
        <w:tc>
          <w:tcPr>
            <w:tcW w:w="1941" w:type="dxa"/>
            <w:gridSpan w:val="2"/>
            <w:shd w:val="clear" w:color="auto" w:fill="FFFFFF" w:themeFill="background1"/>
          </w:tcPr>
          <w:p w:rsidR="00F47510" w:rsidRDefault="00E5640C" w:rsidP="00EF11C0">
            <w:r w:rsidRPr="00E5640C">
              <w:t>Најмање 10 лица учествовало у програмима</w:t>
            </w:r>
          </w:p>
        </w:tc>
        <w:tc>
          <w:tcPr>
            <w:tcW w:w="1418" w:type="dxa"/>
            <w:gridSpan w:val="2"/>
            <w:shd w:val="clear" w:color="auto" w:fill="FFFFFF" w:themeFill="background1"/>
          </w:tcPr>
          <w:p w:rsidR="00F47510" w:rsidRDefault="00E5640C" w:rsidP="00EF11C0">
            <w:r w:rsidRPr="00E5640C">
              <w:t>Нису потребна финансијска средства</w:t>
            </w:r>
          </w:p>
        </w:tc>
        <w:tc>
          <w:tcPr>
            <w:tcW w:w="1543" w:type="dxa"/>
            <w:gridSpan w:val="3"/>
            <w:shd w:val="clear" w:color="auto" w:fill="FFFFFF" w:themeFill="background1"/>
          </w:tcPr>
          <w:p w:rsidR="00F47510" w:rsidRDefault="00E5640C" w:rsidP="00EF11C0">
            <w:r w:rsidRPr="00E5640C">
              <w:t>Провајдери образовања</w:t>
            </w:r>
          </w:p>
        </w:tc>
        <w:tc>
          <w:tcPr>
            <w:tcW w:w="1406" w:type="dxa"/>
            <w:gridSpan w:val="2"/>
            <w:shd w:val="clear" w:color="auto" w:fill="FFFFFF" w:themeFill="background1"/>
          </w:tcPr>
          <w:p w:rsidR="00F47510" w:rsidRPr="00E5640C" w:rsidRDefault="00F218E8" w:rsidP="00EF11C0">
            <w:r>
              <w:t xml:space="preserve">I, II, III </w:t>
            </w:r>
            <w:r w:rsidR="00E5640C">
              <w:t>квартал</w:t>
            </w:r>
          </w:p>
        </w:tc>
        <w:tc>
          <w:tcPr>
            <w:tcW w:w="1499" w:type="dxa"/>
            <w:shd w:val="clear" w:color="auto" w:fill="FFFFFF" w:themeFill="background1"/>
          </w:tcPr>
          <w:p w:rsidR="00F47510" w:rsidRDefault="00E5640C" w:rsidP="00EF11C0">
            <w:r w:rsidRPr="00E5640C">
              <w:t>Организатори обука одраслих</w:t>
            </w:r>
          </w:p>
        </w:tc>
      </w:tr>
      <w:tr w:rsidR="00F47510" w:rsidTr="00C846B1">
        <w:trPr>
          <w:gridAfter w:val="1"/>
          <w:wAfter w:w="29" w:type="dxa"/>
        </w:trPr>
        <w:tc>
          <w:tcPr>
            <w:tcW w:w="2405" w:type="dxa"/>
            <w:shd w:val="clear" w:color="auto" w:fill="FFFFFF" w:themeFill="background1"/>
          </w:tcPr>
          <w:p w:rsidR="00F47510" w:rsidRDefault="00F47510" w:rsidP="00EF11C0"/>
          <w:p w:rsidR="00F47510" w:rsidRDefault="00F218E8" w:rsidP="00EF11C0">
            <w:r>
              <w:t>2.9.</w:t>
            </w:r>
            <w:r w:rsidRPr="00DC1101">
              <w:rPr>
                <w:color w:val="C00000"/>
              </w:rPr>
              <w:t xml:space="preserve"> </w:t>
            </w:r>
            <w:r w:rsidR="00E5640C" w:rsidRPr="00E5640C">
              <w:rPr>
                <w:color w:val="000000" w:themeColor="text1"/>
              </w:rPr>
              <w:t>Мотивациони семинари за незапослене</w:t>
            </w:r>
          </w:p>
        </w:tc>
        <w:tc>
          <w:tcPr>
            <w:tcW w:w="2268" w:type="dxa"/>
            <w:shd w:val="clear" w:color="auto" w:fill="FFFFFF" w:themeFill="background1"/>
          </w:tcPr>
          <w:p w:rsidR="00F47510" w:rsidRDefault="00E5640C" w:rsidP="00EF11C0">
            <w:r w:rsidRPr="00E5640C">
              <w:rPr>
                <w:color w:val="000000" w:themeColor="text1"/>
              </w:rPr>
              <w:t>Незапослена лица регистрована на евиденцији ЗЗЗЦГ- Бироу рада</w:t>
            </w:r>
          </w:p>
        </w:tc>
        <w:tc>
          <w:tcPr>
            <w:tcW w:w="2028" w:type="dxa"/>
            <w:shd w:val="clear" w:color="auto" w:fill="FFFFFF" w:themeFill="background1"/>
          </w:tcPr>
          <w:p w:rsidR="00F47510" w:rsidRDefault="00E5640C" w:rsidP="00EF11C0">
            <w:r w:rsidRPr="00E5640C">
              <w:t>Најмање 20 лица  укључено у мотивационе семинар</w:t>
            </w:r>
          </w:p>
        </w:tc>
        <w:tc>
          <w:tcPr>
            <w:tcW w:w="1941" w:type="dxa"/>
            <w:gridSpan w:val="2"/>
            <w:shd w:val="clear" w:color="auto" w:fill="FFFFFF" w:themeFill="background1"/>
          </w:tcPr>
          <w:p w:rsidR="00F47510" w:rsidRDefault="00E5640C" w:rsidP="00EF11C0">
            <w:r w:rsidRPr="00E5640C">
              <w:t xml:space="preserve">Најмање 10 лица </w:t>
            </w:r>
            <w:r>
              <w:t>мотивисано</w:t>
            </w:r>
            <w:r w:rsidR="00F218E8">
              <w:t xml:space="preserve">   </w:t>
            </w:r>
          </w:p>
        </w:tc>
        <w:tc>
          <w:tcPr>
            <w:tcW w:w="1418" w:type="dxa"/>
            <w:gridSpan w:val="2"/>
            <w:shd w:val="clear" w:color="auto" w:fill="FFFFFF" w:themeFill="background1"/>
          </w:tcPr>
          <w:p w:rsidR="00F47510" w:rsidRDefault="00E5640C" w:rsidP="00EF11C0">
            <w:r w:rsidRPr="00E5640C">
              <w:t>Нису потребна финансијска средства</w:t>
            </w:r>
          </w:p>
        </w:tc>
        <w:tc>
          <w:tcPr>
            <w:tcW w:w="1543" w:type="dxa"/>
            <w:gridSpan w:val="3"/>
            <w:shd w:val="clear" w:color="auto" w:fill="FFFFFF" w:themeFill="background1"/>
          </w:tcPr>
          <w:p w:rsidR="00F47510" w:rsidRDefault="00F218E8" w:rsidP="00EF11C0">
            <w:r>
              <w:t xml:space="preserve">         /</w:t>
            </w:r>
          </w:p>
        </w:tc>
        <w:tc>
          <w:tcPr>
            <w:tcW w:w="1406" w:type="dxa"/>
            <w:gridSpan w:val="2"/>
            <w:shd w:val="clear" w:color="auto" w:fill="FFFFFF" w:themeFill="background1"/>
          </w:tcPr>
          <w:p w:rsidR="00F47510" w:rsidRPr="00E5640C" w:rsidRDefault="00F218E8" w:rsidP="00EF11C0">
            <w:r>
              <w:t xml:space="preserve">I, II, III </w:t>
            </w:r>
            <w:r w:rsidR="00E5640C" w:rsidRPr="0076699A">
              <w:t>квартал (континуирана активност</w:t>
            </w:r>
            <w:r w:rsidR="00E5640C">
              <w:t xml:space="preserve"> каријерног савјетовања)</w:t>
            </w:r>
          </w:p>
        </w:tc>
        <w:tc>
          <w:tcPr>
            <w:tcW w:w="1499" w:type="dxa"/>
            <w:shd w:val="clear" w:color="auto" w:fill="FFFFFF" w:themeFill="background1"/>
          </w:tcPr>
          <w:p w:rsidR="00F47510" w:rsidRDefault="0076699A" w:rsidP="00EF11C0">
            <w:r>
              <w:t>ЗЗЗЦГ</w:t>
            </w:r>
          </w:p>
        </w:tc>
      </w:tr>
    </w:tbl>
    <w:p w:rsidR="006C24ED" w:rsidRDefault="006C24ED" w:rsidP="006C24ED"/>
    <w:p w:rsidR="006C24ED" w:rsidRDefault="006C24ED" w:rsidP="006C24ED"/>
    <w:p w:rsidR="006C24ED" w:rsidRPr="006C24ED" w:rsidRDefault="006C24ED" w:rsidP="006C24ED"/>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A739FF" w:rsidRPr="008C22A8" w:rsidRDefault="00A739FF" w:rsidP="00A739FF">
      <w:pPr>
        <w:rPr>
          <w:rFonts w:cs="Arial"/>
          <w:sz w:val="22"/>
          <w:szCs w:val="22"/>
        </w:rPr>
      </w:pPr>
    </w:p>
    <w:p w:rsidR="00E0199F" w:rsidRPr="006A529A" w:rsidRDefault="00E0199F" w:rsidP="00A739FF">
      <w:pPr>
        <w:rPr>
          <w:rFonts w:cs="Arial"/>
          <w:sz w:val="22"/>
          <w:szCs w:val="22"/>
        </w:rPr>
      </w:pPr>
    </w:p>
    <w:sectPr w:rsidR="00E0199F" w:rsidRPr="006A529A" w:rsidSect="00DC7542">
      <w:headerReference w:type="default" r:id="rId57"/>
      <w:pgSz w:w="16838" w:h="11906" w:orient="landscape"/>
      <w:pgMar w:top="1361" w:right="1304" w:bottom="1304" w:left="1418" w:header="709" w:footer="709"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69" w:rsidRDefault="00AE0369" w:rsidP="00DA06C9">
      <w:r>
        <w:separator/>
      </w:r>
    </w:p>
  </w:endnote>
  <w:endnote w:type="continuationSeparator" w:id="0">
    <w:p w:rsidR="00AE0369" w:rsidRDefault="00AE0369" w:rsidP="00DA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Roman">
    <w:charset w:val="00"/>
    <w:family w:val="roman"/>
    <w:pitch w:val="variable"/>
    <w:sig w:usb0="00000003" w:usb1="00000000" w:usb2="00000000" w:usb3="00000000" w:csb0="00000001"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400089"/>
      <w:docPartObj>
        <w:docPartGallery w:val="Page Numbers (Bottom of Page)"/>
        <w:docPartUnique/>
      </w:docPartObj>
    </w:sdtPr>
    <w:sdtContent>
      <w:p w:rsidR="008B78CB" w:rsidRDefault="001070D0">
        <w:pPr>
          <w:pStyle w:val="Footer"/>
          <w:jc w:val="right"/>
        </w:pPr>
        <w:r w:rsidRPr="001070D0">
          <w:fldChar w:fldCharType="begin"/>
        </w:r>
        <w:r w:rsidR="008B78CB">
          <w:instrText>PAGE   \* MERGEFORMAT</w:instrText>
        </w:r>
        <w:r w:rsidRPr="001070D0">
          <w:fldChar w:fldCharType="separate"/>
        </w:r>
        <w:r w:rsidR="00E11647" w:rsidRPr="00E11647">
          <w:rPr>
            <w:noProof/>
            <w:lang w:val="sl-SI"/>
          </w:rPr>
          <w:t>3</w:t>
        </w:r>
        <w:r>
          <w:rPr>
            <w:noProof/>
            <w:lang w:val="sl-SI"/>
          </w:rPr>
          <w:fldChar w:fldCharType="end"/>
        </w:r>
      </w:p>
    </w:sdtContent>
  </w:sdt>
  <w:p w:rsidR="008B78CB" w:rsidRDefault="008B7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69" w:rsidRDefault="00AE0369" w:rsidP="00DA06C9">
      <w:r>
        <w:separator/>
      </w:r>
    </w:p>
  </w:footnote>
  <w:footnote w:type="continuationSeparator" w:id="0">
    <w:p w:rsidR="00AE0369" w:rsidRDefault="00AE0369" w:rsidP="00DA06C9">
      <w:r>
        <w:continuationSeparator/>
      </w:r>
    </w:p>
  </w:footnote>
  <w:footnote w:id="1">
    <w:p w:rsidR="008B78CB" w:rsidRPr="001A054A" w:rsidRDefault="008B78CB" w:rsidP="00EF77D6">
      <w:pPr>
        <w:pStyle w:val="FootnoteText"/>
        <w:rPr>
          <w:rFonts w:ascii="Cambria" w:hAnsi="Cambria"/>
          <w:sz w:val="18"/>
          <w:szCs w:val="18"/>
          <w:lang w:val="sl-SI"/>
        </w:rPr>
      </w:pPr>
      <w:r w:rsidRPr="001A054A">
        <w:rPr>
          <w:rStyle w:val="FootnoteReference"/>
          <w:rFonts w:ascii="Cambria" w:hAnsi="Cambria"/>
          <w:sz w:val="18"/>
          <w:szCs w:val="18"/>
        </w:rPr>
        <w:footnoteRef/>
      </w:r>
      <w:r>
        <w:rPr>
          <w:rFonts w:ascii="Cambria" w:hAnsi="Cambria"/>
          <w:sz w:val="18"/>
          <w:szCs w:val="18"/>
        </w:rPr>
        <w:t xml:space="preserve"> Eвропска комисија, Црна Гора 2020, Брисел</w:t>
      </w:r>
      <w:r w:rsidRPr="001A054A">
        <w:rPr>
          <w:rFonts w:ascii="Cambria" w:hAnsi="Cambria"/>
          <w:sz w:val="18"/>
          <w:szCs w:val="18"/>
        </w:rPr>
        <w:t>, 6.10.2020</w:t>
      </w:r>
    </w:p>
  </w:footnote>
  <w:footnote w:id="2">
    <w:p w:rsidR="008B78CB" w:rsidRPr="000806C3" w:rsidRDefault="008B78CB" w:rsidP="006A529A">
      <w:pPr>
        <w:pStyle w:val="FootnoteText"/>
        <w:rPr>
          <w:rFonts w:ascii="Cambria" w:hAnsi="Cambria"/>
          <w:sz w:val="18"/>
          <w:szCs w:val="18"/>
        </w:rPr>
      </w:pPr>
      <w:r>
        <w:rPr>
          <w:rStyle w:val="FootnoteReference"/>
        </w:rPr>
        <w:footnoteRef/>
      </w:r>
      <w:r>
        <w:t xml:space="preserve"> </w:t>
      </w:r>
      <w:r w:rsidRPr="00B21E3D">
        <w:rPr>
          <w:rFonts w:ascii="Cambria" w:hAnsi="Cambria"/>
          <w:sz w:val="18"/>
          <w:szCs w:val="18"/>
        </w:rPr>
        <w:t>Стратешки план развоја Општ</w:t>
      </w:r>
      <w:r>
        <w:rPr>
          <w:rFonts w:ascii="Cambria" w:hAnsi="Cambria"/>
          <w:sz w:val="18"/>
          <w:szCs w:val="18"/>
        </w:rPr>
        <w:t>ине Беране за период 2019-2023</w:t>
      </w:r>
      <w:r w:rsidRPr="000806C3">
        <w:rPr>
          <w:rFonts w:ascii="Cambria" w:hAnsi="Cambria"/>
          <w:sz w:val="18"/>
          <w:szCs w:val="18"/>
        </w:rPr>
        <w:t xml:space="preserve">. </w:t>
      </w:r>
    </w:p>
  </w:footnote>
  <w:footnote w:id="3">
    <w:p w:rsidR="008B78CB" w:rsidRPr="006247F8" w:rsidRDefault="008B78CB" w:rsidP="006A529A">
      <w:pPr>
        <w:pStyle w:val="FootnoteText"/>
        <w:rPr>
          <w:rFonts w:ascii="Cambria" w:hAnsi="Cambria" w:cs="Arial"/>
          <w:sz w:val="18"/>
          <w:szCs w:val="18"/>
          <w:lang w:val="sl-SI"/>
        </w:rPr>
      </w:pPr>
      <w:r w:rsidRPr="006247F8">
        <w:rPr>
          <w:rStyle w:val="FootnoteReference"/>
          <w:rFonts w:ascii="Cambria" w:hAnsi="Cambria"/>
          <w:sz w:val="18"/>
          <w:szCs w:val="18"/>
        </w:rPr>
        <w:footnoteRef/>
      </w:r>
      <w:r w:rsidRPr="006247F8">
        <w:rPr>
          <w:rFonts w:ascii="Cambria" w:hAnsi="Cambria"/>
          <w:sz w:val="18"/>
          <w:szCs w:val="18"/>
        </w:rPr>
        <w:t xml:space="preserve"> </w:t>
      </w:r>
      <w:bookmarkStart w:id="16" w:name="_Hlk60761125"/>
      <w:r>
        <w:rPr>
          <w:rFonts w:ascii="Cambria" w:hAnsi="Cambria" w:cs="Arial"/>
          <w:sz w:val="18"/>
          <w:szCs w:val="18"/>
        </w:rPr>
        <w:t>Напомена</w:t>
      </w:r>
      <w:r w:rsidRPr="006247F8">
        <w:rPr>
          <w:rFonts w:ascii="Cambria" w:hAnsi="Cambria" w:cs="Arial"/>
          <w:sz w:val="18"/>
          <w:szCs w:val="18"/>
        </w:rPr>
        <w:t xml:space="preserve">: </w:t>
      </w:r>
      <w:r w:rsidRPr="004F4141">
        <w:rPr>
          <w:rFonts w:ascii="Cambria" w:hAnsi="Cambria" w:cs="Arial"/>
          <w:sz w:val="18"/>
          <w:szCs w:val="18"/>
        </w:rPr>
        <w:t>Могуће је да извјестан (непознат) број лица припада у више категорија па се подаци морају посматрати са резервом.</w:t>
      </w:r>
      <w:bookmarkEnd w:id="16"/>
    </w:p>
  </w:footnote>
  <w:footnote w:id="4">
    <w:p w:rsidR="008B78CB" w:rsidRPr="00486860" w:rsidRDefault="008B78CB" w:rsidP="006A529A">
      <w:pPr>
        <w:pStyle w:val="FootnoteText"/>
        <w:jc w:val="both"/>
        <w:rPr>
          <w:rFonts w:ascii="Cambria" w:hAnsi="Cambria"/>
          <w:color w:val="000000" w:themeColor="text1"/>
          <w:sz w:val="18"/>
          <w:szCs w:val="18"/>
        </w:rPr>
      </w:pPr>
      <w:r w:rsidRPr="00642587">
        <w:rPr>
          <w:rStyle w:val="FootnoteReference"/>
          <w:rFonts w:ascii="Cambria" w:hAnsi="Cambria"/>
          <w:sz w:val="18"/>
          <w:szCs w:val="18"/>
        </w:rPr>
        <w:footnoteRef/>
      </w:r>
      <w:r w:rsidRPr="00642587">
        <w:rPr>
          <w:rFonts w:ascii="Cambria" w:hAnsi="Cambria"/>
          <w:color w:val="000000" w:themeColor="text1"/>
          <w:sz w:val="18"/>
          <w:szCs w:val="18"/>
        </w:rPr>
        <w:t xml:space="preserve"> </w:t>
      </w:r>
      <w:r>
        <w:rPr>
          <w:rFonts w:ascii="Cambria" w:hAnsi="Cambria"/>
          <w:i/>
          <w:iCs/>
          <w:color w:val="000000" w:themeColor="text1"/>
          <w:sz w:val="18"/>
          <w:szCs w:val="18"/>
        </w:rPr>
        <w:t>Индекс конкурентности</w:t>
      </w:r>
      <w:r w:rsidRPr="00C64347">
        <w:rPr>
          <w:rFonts w:ascii="Cambria" w:hAnsi="Cambria"/>
          <w:i/>
          <w:iCs/>
          <w:color w:val="000000" w:themeColor="text1"/>
          <w:sz w:val="18"/>
          <w:szCs w:val="18"/>
        </w:rPr>
        <w:t xml:space="preserve"> </w:t>
      </w:r>
      <w:r w:rsidRPr="00486860">
        <w:rPr>
          <w:rFonts w:ascii="Cambria" w:hAnsi="Cambria"/>
          <w:color w:val="000000" w:themeColor="text1"/>
          <w:sz w:val="18"/>
          <w:szCs w:val="18"/>
        </w:rPr>
        <w:t>представља трогодишњи просјек показатеља пословног окружења и пословног сектора, који се израчунава на основу анализе квалитативних и квантитативних података на нивоу јединице локалне самоуправе. Индекс конкурентности дакле представља композитни показатељ добијен на основу 125 индикатора и то: 96 статистичких и 29 анкетних, структурираних у осам скупова (подфактора), које формирају два фактора конкурентности: пословно окружење и пословни сектор. У укупној структури индекса конкурентности, пословно окружење представља доминантан фактор са пондером 0,844, док квалитет пословног сектора има мањи утицај са пондером 0,166.</w:t>
      </w:r>
    </w:p>
  </w:footnote>
  <w:footnote w:id="5">
    <w:p w:rsidR="008B78CB" w:rsidRPr="00B47FB0" w:rsidRDefault="008B78CB" w:rsidP="006A529A">
      <w:pPr>
        <w:pStyle w:val="FootnoteText"/>
        <w:jc w:val="both"/>
        <w:rPr>
          <w:color w:val="000000" w:themeColor="text1"/>
          <w:sz w:val="18"/>
        </w:rPr>
      </w:pPr>
      <w:r w:rsidRPr="00B47FB0">
        <w:rPr>
          <w:rStyle w:val="FootnoteReference"/>
          <w:sz w:val="18"/>
        </w:rPr>
        <w:footnoteRef/>
      </w:r>
      <w:r w:rsidRPr="00B47FB0">
        <w:rPr>
          <w:color w:val="000000" w:themeColor="text1"/>
          <w:sz w:val="18"/>
        </w:rPr>
        <w:t xml:space="preserve"> </w:t>
      </w:r>
      <w:r>
        <w:rPr>
          <w:rFonts w:ascii="Cambria" w:hAnsi="Cambria"/>
          <w:i/>
          <w:iCs/>
          <w:color w:val="000000" w:themeColor="text1"/>
          <w:sz w:val="18"/>
        </w:rPr>
        <w:t>Индекс развијености</w:t>
      </w:r>
      <w:r w:rsidRPr="00B47FB0">
        <w:rPr>
          <w:rFonts w:ascii="Cambria" w:hAnsi="Cambria"/>
          <w:color w:val="000000" w:themeColor="text1"/>
          <w:sz w:val="18"/>
        </w:rPr>
        <w:t xml:space="preserve"> </w:t>
      </w:r>
      <w:r w:rsidRPr="00486860">
        <w:rPr>
          <w:rFonts w:ascii="Cambria" w:hAnsi="Cambria"/>
          <w:color w:val="000000" w:themeColor="text1"/>
          <w:sz w:val="18"/>
        </w:rPr>
        <w:t>представља трогодишње просјечно пондерисано одступање стандардизованих вриједности основних показатеља од националног просјека. Показатељи који улазе у састав индекса развијености израчунати су на основу података у периоду од три године које претходе поступку оцјењивања и то су: стопа незапослености, доходак ЈЛС пер цапита, буџетски приходи ЈЛС (сопствени законом уступљени) пер цапита, стопа раста становништва и стопа образовања становништва на нивоу ЈЛС</w:t>
      </w:r>
    </w:p>
  </w:footnote>
  <w:footnote w:id="6">
    <w:p w:rsidR="008B78CB" w:rsidRPr="00844DC6" w:rsidRDefault="008B78CB" w:rsidP="006A529A">
      <w:pPr>
        <w:pStyle w:val="FootnoteText"/>
        <w:jc w:val="both"/>
        <w:rPr>
          <w:rFonts w:ascii="Cambria" w:hAnsi="Cambria"/>
        </w:rPr>
      </w:pPr>
      <w:r w:rsidRPr="00F7360E">
        <w:rPr>
          <w:rStyle w:val="FootnoteReference"/>
          <w:rFonts w:ascii="Cambria" w:hAnsi="Cambria"/>
          <w:sz w:val="18"/>
          <w:szCs w:val="18"/>
        </w:rPr>
        <w:footnoteRef/>
      </w:r>
      <w:r w:rsidRPr="00F7360E">
        <w:rPr>
          <w:rFonts w:ascii="Cambria" w:hAnsi="Cambria"/>
          <w:sz w:val="18"/>
          <w:szCs w:val="18"/>
        </w:rPr>
        <w:t xml:space="preserve"> </w:t>
      </w:r>
      <w:r w:rsidRPr="002F0E5B">
        <w:rPr>
          <w:rFonts w:ascii="Cambria" w:hAnsi="Cambria"/>
          <w:sz w:val="18"/>
          <w:szCs w:val="18"/>
        </w:rPr>
        <w:t>Стратешки план развоја Општине Беране за период 2019-2023</w:t>
      </w:r>
    </w:p>
  </w:footnote>
  <w:footnote w:id="7">
    <w:p w:rsidR="008B78CB" w:rsidRDefault="008B78CB" w:rsidP="000A57F6">
      <w:pPr>
        <w:pStyle w:val="FootnoteText"/>
        <w:jc w:val="both"/>
        <w:rPr>
          <w:rFonts w:ascii="Cambria" w:hAnsi="Cambria"/>
          <w:sz w:val="18"/>
          <w:szCs w:val="18"/>
        </w:rPr>
      </w:pPr>
      <w:r w:rsidRPr="000A4DC0">
        <w:rPr>
          <w:rStyle w:val="FootnoteReference"/>
          <w:rFonts w:ascii="Cambria" w:hAnsi="Cambria"/>
          <w:sz w:val="18"/>
          <w:szCs w:val="18"/>
        </w:rPr>
        <w:footnoteRef/>
      </w:r>
      <w:r w:rsidRPr="000A4DC0">
        <w:rPr>
          <w:rFonts w:ascii="Cambria" w:hAnsi="Cambria"/>
          <w:sz w:val="18"/>
          <w:szCs w:val="18"/>
        </w:rPr>
        <w:t xml:space="preserve"> </w:t>
      </w:r>
      <w:r>
        <w:rPr>
          <w:rFonts w:ascii="Cambria" w:hAnsi="Cambria"/>
          <w:sz w:val="18"/>
          <w:szCs w:val="18"/>
        </w:rPr>
        <w:t>1.</w:t>
      </w:r>
      <w:r w:rsidRPr="002F0E5B">
        <w:rPr>
          <w:rFonts w:ascii="Cambria" w:hAnsi="Cambria"/>
          <w:sz w:val="18"/>
          <w:szCs w:val="18"/>
        </w:rPr>
        <w:t>Подршка развоју</w:t>
      </w:r>
      <w:r>
        <w:rPr>
          <w:rFonts w:ascii="Cambria" w:hAnsi="Cambria"/>
          <w:sz w:val="18"/>
          <w:szCs w:val="18"/>
        </w:rPr>
        <w:t xml:space="preserve"> тржишне производње млијека, 2.</w:t>
      </w:r>
      <w:r w:rsidRPr="002F0E5B">
        <w:rPr>
          <w:rFonts w:ascii="Cambria" w:hAnsi="Cambria"/>
          <w:sz w:val="18"/>
          <w:szCs w:val="18"/>
        </w:rPr>
        <w:t>Програм унапређивања сточарства, 3. Мјере унапређивања у ратарству, 4. Подршка подизању производних воћних засада, 5. Подршка за откуп малине, 6.</w:t>
      </w:r>
      <w:r>
        <w:rPr>
          <w:rFonts w:ascii="Cambria" w:hAnsi="Cambria"/>
          <w:sz w:val="18"/>
          <w:szCs w:val="18"/>
        </w:rPr>
        <w:t xml:space="preserve"> Подршка развоју пчеларства, 7.</w:t>
      </w:r>
      <w:r w:rsidRPr="002F0E5B">
        <w:rPr>
          <w:rFonts w:ascii="Cambria" w:hAnsi="Cambria"/>
          <w:sz w:val="18"/>
          <w:szCs w:val="18"/>
        </w:rPr>
        <w:t>Подршка рекордерима у пољопривредној произ</w:t>
      </w:r>
      <w:r>
        <w:rPr>
          <w:rFonts w:ascii="Cambria" w:hAnsi="Cambria"/>
          <w:sz w:val="18"/>
          <w:szCs w:val="18"/>
        </w:rPr>
        <w:t>водњи, 8.</w:t>
      </w:r>
      <w:r w:rsidRPr="002F0E5B">
        <w:rPr>
          <w:rFonts w:ascii="Cambria" w:hAnsi="Cambria"/>
          <w:sz w:val="18"/>
          <w:szCs w:val="18"/>
        </w:rPr>
        <w:t>Подршка општ</w:t>
      </w:r>
      <w:r>
        <w:rPr>
          <w:rFonts w:ascii="Cambria" w:hAnsi="Cambria"/>
          <w:sz w:val="18"/>
          <w:szCs w:val="18"/>
        </w:rPr>
        <w:t>им сервисима у пољопривреди, 9.</w:t>
      </w:r>
      <w:r w:rsidRPr="002F0E5B">
        <w:rPr>
          <w:rFonts w:ascii="Cambria" w:hAnsi="Cambria"/>
          <w:sz w:val="18"/>
          <w:szCs w:val="18"/>
        </w:rPr>
        <w:t>Подршка управљањ</w:t>
      </w:r>
      <w:r>
        <w:rPr>
          <w:rFonts w:ascii="Cambria" w:hAnsi="Cambria"/>
          <w:sz w:val="18"/>
          <w:szCs w:val="18"/>
        </w:rPr>
        <w:t>у ризицима у појлопривреди, 10.</w:t>
      </w:r>
      <w:r w:rsidRPr="002F0E5B">
        <w:rPr>
          <w:rFonts w:ascii="Cambria" w:hAnsi="Cambria"/>
          <w:sz w:val="18"/>
          <w:szCs w:val="18"/>
        </w:rPr>
        <w:t>Субвенције и подршка за постојеће в</w:t>
      </w:r>
      <w:r>
        <w:rPr>
          <w:rFonts w:ascii="Cambria" w:hAnsi="Cambria"/>
          <w:sz w:val="18"/>
          <w:szCs w:val="18"/>
        </w:rPr>
        <w:t>оденице и њихово одржавање, 11.</w:t>
      </w:r>
      <w:r w:rsidRPr="002F0E5B">
        <w:rPr>
          <w:rFonts w:ascii="Cambria" w:hAnsi="Cambria"/>
          <w:sz w:val="18"/>
          <w:szCs w:val="18"/>
        </w:rPr>
        <w:t>Подршка развој</w:t>
      </w:r>
      <w:r>
        <w:rPr>
          <w:rFonts w:ascii="Cambria" w:hAnsi="Cambria"/>
          <w:sz w:val="18"/>
          <w:szCs w:val="18"/>
        </w:rPr>
        <w:t>у туризма у општини Беране, 12.</w:t>
      </w:r>
      <w:r w:rsidRPr="002F0E5B">
        <w:rPr>
          <w:rFonts w:ascii="Cambria" w:hAnsi="Cambria"/>
          <w:sz w:val="18"/>
          <w:szCs w:val="18"/>
        </w:rPr>
        <w:t>Субвенције за набавку соларних панела, 13</w:t>
      </w:r>
      <w:r>
        <w:rPr>
          <w:rFonts w:ascii="Cambria" w:hAnsi="Cambria"/>
          <w:sz w:val="18"/>
          <w:szCs w:val="18"/>
        </w:rPr>
        <w:t>.</w:t>
      </w:r>
      <w:r w:rsidRPr="002F0E5B">
        <w:rPr>
          <w:rFonts w:ascii="Cambria" w:hAnsi="Cambria"/>
          <w:sz w:val="18"/>
          <w:szCs w:val="18"/>
        </w:rPr>
        <w:t>Набавка софтвера и опреме за израду базе података пољопривредних произвођаћа, 14. Субвенција у плаћању обавеза осигурања новорегистр</w:t>
      </w:r>
      <w:r>
        <w:rPr>
          <w:rFonts w:ascii="Cambria" w:hAnsi="Cambria"/>
          <w:sz w:val="18"/>
          <w:szCs w:val="18"/>
        </w:rPr>
        <w:t>ованим пољопривредним произвођач</w:t>
      </w:r>
      <w:r w:rsidRPr="002F0E5B">
        <w:rPr>
          <w:rFonts w:ascii="Cambria" w:hAnsi="Cambria"/>
          <w:sz w:val="18"/>
          <w:szCs w:val="18"/>
        </w:rPr>
        <w:t>има</w:t>
      </w:r>
    </w:p>
    <w:p w:rsidR="008B78CB" w:rsidRPr="00F7360E" w:rsidRDefault="008B78CB" w:rsidP="000A57F6">
      <w:pPr>
        <w:pStyle w:val="FootnoteText"/>
        <w:jc w:val="both"/>
        <w:rPr>
          <w:rFonts w:ascii="Cambria" w:hAnsi="Cambria"/>
          <w:sz w:val="18"/>
          <w:szCs w:val="18"/>
        </w:rPr>
      </w:pPr>
    </w:p>
  </w:footnote>
  <w:footnote w:id="8">
    <w:p w:rsidR="008B78CB" w:rsidRPr="009B06E4" w:rsidRDefault="008B78CB" w:rsidP="006A529A">
      <w:pPr>
        <w:pStyle w:val="FootnoteText"/>
        <w:jc w:val="both"/>
        <w:rPr>
          <w:rFonts w:ascii="Cambria" w:hAnsi="Cambria"/>
          <w:sz w:val="18"/>
          <w:szCs w:val="18"/>
        </w:rPr>
      </w:pPr>
      <w:r w:rsidRPr="009B06E4">
        <w:rPr>
          <w:rStyle w:val="FootnoteReference"/>
          <w:rFonts w:ascii="Cambria" w:hAnsi="Cambria"/>
          <w:sz w:val="18"/>
          <w:szCs w:val="18"/>
        </w:rPr>
        <w:footnoteRef/>
      </w:r>
      <w:r w:rsidRPr="009B06E4">
        <w:rPr>
          <w:rFonts w:ascii="Cambria" w:hAnsi="Cambria"/>
          <w:sz w:val="18"/>
          <w:szCs w:val="18"/>
        </w:rPr>
        <w:t xml:space="preserve"> Ibid. </w:t>
      </w:r>
    </w:p>
  </w:footnote>
  <w:footnote w:id="9">
    <w:p w:rsidR="008B78CB" w:rsidRPr="009B06E4" w:rsidRDefault="008B78CB">
      <w:pPr>
        <w:pStyle w:val="FootnoteText"/>
        <w:rPr>
          <w:lang w:val="sl-SI"/>
        </w:rPr>
      </w:pPr>
      <w:r w:rsidRPr="009B06E4">
        <w:rPr>
          <w:rStyle w:val="FootnoteReference"/>
          <w:rFonts w:ascii="Cambria" w:hAnsi="Cambria"/>
          <w:sz w:val="18"/>
          <w:szCs w:val="18"/>
        </w:rPr>
        <w:footnoteRef/>
      </w:r>
      <w:r w:rsidRPr="009B06E4">
        <w:rPr>
          <w:rFonts w:ascii="Cambria" w:hAnsi="Cambria"/>
          <w:sz w:val="18"/>
          <w:szCs w:val="18"/>
        </w:rPr>
        <w:t xml:space="preserve"> </w:t>
      </w:r>
      <w:r w:rsidRPr="00050811">
        <w:rPr>
          <w:rFonts w:ascii="Cambria" w:hAnsi="Cambria"/>
          <w:sz w:val="18"/>
          <w:szCs w:val="18"/>
          <w:lang w:val="sl-SI"/>
        </w:rPr>
        <w:t>Стратегија развоја туризма у Црној Гори до 2020. године</w:t>
      </w:r>
    </w:p>
  </w:footnote>
  <w:footnote w:id="10">
    <w:p w:rsidR="008B78CB" w:rsidRPr="00F7360E" w:rsidRDefault="008B78CB" w:rsidP="006A529A">
      <w:pPr>
        <w:pStyle w:val="FootnoteText"/>
        <w:rPr>
          <w:rFonts w:ascii="Cambria" w:hAnsi="Cambria"/>
          <w:sz w:val="18"/>
          <w:szCs w:val="18"/>
        </w:rPr>
      </w:pPr>
      <w:r w:rsidRPr="00F7360E">
        <w:rPr>
          <w:rStyle w:val="FootnoteReference"/>
          <w:rFonts w:ascii="Cambria" w:hAnsi="Cambria"/>
          <w:sz w:val="18"/>
          <w:szCs w:val="18"/>
        </w:rPr>
        <w:footnoteRef/>
      </w:r>
      <w:r w:rsidRPr="00F7360E">
        <w:rPr>
          <w:rFonts w:ascii="Cambria" w:hAnsi="Cambria"/>
          <w:sz w:val="18"/>
          <w:szCs w:val="18"/>
        </w:rPr>
        <w:t xml:space="preserve"> </w:t>
      </w:r>
      <w:r w:rsidRPr="002953BC">
        <w:rPr>
          <w:rFonts w:ascii="Cambria" w:hAnsi="Cambria"/>
          <w:sz w:val="18"/>
          <w:szCs w:val="18"/>
        </w:rPr>
        <w:t>Стратешки план развоја Општине Беране за период 2019-2023.</w:t>
      </w:r>
    </w:p>
  </w:footnote>
  <w:footnote w:id="11">
    <w:p w:rsidR="008B78CB" w:rsidRPr="004D3049" w:rsidRDefault="008B78CB" w:rsidP="00BF0C19">
      <w:pPr>
        <w:pStyle w:val="FootnoteText"/>
        <w:jc w:val="both"/>
      </w:pPr>
      <w:r>
        <w:rPr>
          <w:rStyle w:val="FootnoteReference"/>
        </w:rPr>
        <w:footnoteRef/>
      </w:r>
      <w:r>
        <w:t xml:space="preserve"> </w:t>
      </w:r>
      <w:r>
        <w:rPr>
          <w:rFonts w:ascii="Cambria" w:hAnsi="Cambria"/>
          <w:sz w:val="18"/>
          <w:szCs w:val="18"/>
        </w:rPr>
        <w:t>Композитни</w:t>
      </w:r>
      <w:r w:rsidRPr="000D1BB9">
        <w:rPr>
          <w:rFonts w:ascii="Cambria" w:hAnsi="Cambria"/>
          <w:sz w:val="18"/>
          <w:szCs w:val="18"/>
        </w:rPr>
        <w:t xml:space="preserve"> </w:t>
      </w:r>
      <w:r w:rsidRPr="002953BC">
        <w:rPr>
          <w:rFonts w:ascii="Cambria" w:hAnsi="Cambria"/>
          <w:sz w:val="18"/>
          <w:szCs w:val="18"/>
        </w:rPr>
        <w:t>индикатор сачињавају сљедећи показатељи стања на тржишту рада: Густина насељености, Миграциони салдо, изражен као нето миграције / укупно становништво, Број чланова породице који примају МОП као % укупног становништва; Високошколци на програму / укупно становништво; Запослени / укупно становништво; Просјечна зарада; Платни фонд пер цапита; Незапослени / укупно становништво; Активни пословни субјекти пер цапита; Број слободних радних мјеста / број становника.  Композитни индикатор тржишта рада израчунава се једноставно из својих саставних ђелова, односно 10 репрезентативних индикатора. За сваки индикатор општине се рангирају оцјенама од 1 до 21, при чему је 1 оцјена коју има најбоља општина, а 21 резултат општине која стоји најлошије у погледу посматраног индикатора. Више у: Анализа локалних тржишта рада у Црној Гори, М. Арандаренко, М. Мирковић, 2020</w:t>
      </w:r>
    </w:p>
  </w:footnote>
  <w:footnote w:id="12">
    <w:p w:rsidR="008B78CB" w:rsidRPr="004D3049" w:rsidRDefault="008B78CB">
      <w:pPr>
        <w:pStyle w:val="FootnoteText"/>
      </w:pPr>
      <w:r>
        <w:rPr>
          <w:rStyle w:val="FootnoteReference"/>
        </w:rPr>
        <w:footnoteRef/>
      </w:r>
      <w:r>
        <w:t xml:space="preserve"> </w:t>
      </w:r>
      <w:r>
        <w:rPr>
          <w:rFonts w:ascii="Cambria" w:hAnsi="Cambria"/>
          <w:sz w:val="18"/>
          <w:szCs w:val="18"/>
        </w:rPr>
        <w:t xml:space="preserve">Због  </w:t>
      </w:r>
      <w:r w:rsidRPr="002953BC">
        <w:rPr>
          <w:rFonts w:ascii="Cambria" w:hAnsi="Cambria"/>
          <w:sz w:val="18"/>
          <w:szCs w:val="18"/>
        </w:rPr>
        <w:t>упоредивости, индекс за 2018. годину обухвата стање на тржишту рада и општине Беране и општине Петњица.</w:t>
      </w:r>
    </w:p>
  </w:footnote>
  <w:footnote w:id="13">
    <w:p w:rsidR="008B78CB" w:rsidRPr="00D732B2" w:rsidRDefault="008B78CB">
      <w:pPr>
        <w:pStyle w:val="FootnoteText"/>
      </w:pPr>
      <w:r>
        <w:rPr>
          <w:rStyle w:val="FootnoteReference"/>
        </w:rPr>
        <w:footnoteRef/>
      </w:r>
      <w:r>
        <w:t xml:space="preserve"> </w:t>
      </w:r>
      <w:r w:rsidRPr="003E7382">
        <w:rPr>
          <w:rFonts w:ascii="Cambria" w:hAnsi="Cambria"/>
          <w:iCs/>
          <w:color w:val="000000" w:themeColor="text1"/>
          <w:sz w:val="18"/>
        </w:rPr>
        <w:t>Црногорска привреда 2018, Привредна Комора Црне Горе</w:t>
      </w:r>
    </w:p>
  </w:footnote>
  <w:footnote w:id="14">
    <w:p w:rsidR="008B78CB" w:rsidRPr="00953238" w:rsidRDefault="008B78CB">
      <w:pPr>
        <w:pStyle w:val="FootnoteText"/>
      </w:pPr>
      <w:r>
        <w:rPr>
          <w:rStyle w:val="FootnoteReference"/>
        </w:rPr>
        <w:footnoteRef/>
      </w:r>
      <w:r>
        <w:t xml:space="preserve"> </w:t>
      </w:r>
      <w:r w:rsidRPr="008B0A04">
        <w:rPr>
          <w:rFonts w:ascii="Cambria" w:hAnsi="Cambria"/>
          <w:sz w:val="18"/>
          <w:szCs w:val="18"/>
          <w:lang w:val="sl-SI"/>
        </w:rPr>
        <w:t>Издвајање општине Петњица из општине Беране је утицало на смањење броја становника у 2018. Међутим, укупан број становника у општинама Беране и Петњица у 2018. је био за 5,4% мањи од броја становника у општини Беране 2011. (када је податак укључивао популацију обје општине), т</w:t>
      </w:r>
      <w:r>
        <w:rPr>
          <w:rFonts w:ascii="Cambria" w:hAnsi="Cambria"/>
          <w:sz w:val="18"/>
          <w:szCs w:val="18"/>
          <w:lang w:val="sl-SI"/>
        </w:rPr>
        <w:t xml:space="preserve">ако да се раст платног фонда </w:t>
      </w:r>
      <w:r>
        <w:rPr>
          <w:rFonts w:ascii="Cambria" w:hAnsi="Cambria"/>
          <w:sz w:val="18"/>
          <w:szCs w:val="18"/>
        </w:rPr>
        <w:t>per capita</w:t>
      </w:r>
      <w:r w:rsidRPr="008B0A04">
        <w:rPr>
          <w:rFonts w:ascii="Cambria" w:hAnsi="Cambria"/>
          <w:sz w:val="18"/>
          <w:szCs w:val="18"/>
          <w:lang w:val="sl-SI"/>
        </w:rPr>
        <w:t xml:space="preserve"> може објаснити и смањењем броја становника.</w:t>
      </w:r>
    </w:p>
  </w:footnote>
  <w:footnote w:id="15">
    <w:p w:rsidR="008B78CB" w:rsidRPr="00BD67E4" w:rsidRDefault="008B78CB">
      <w:pPr>
        <w:pStyle w:val="FootnoteText"/>
        <w:rPr>
          <w:rFonts w:ascii="Cambria" w:hAnsi="Cambria"/>
          <w:sz w:val="18"/>
          <w:szCs w:val="18"/>
          <w:lang w:val="sl-SI"/>
        </w:rPr>
      </w:pPr>
      <w:r w:rsidRPr="00BD67E4">
        <w:rPr>
          <w:rStyle w:val="FootnoteReference"/>
          <w:rFonts w:ascii="Cambria" w:hAnsi="Cambria"/>
          <w:sz w:val="18"/>
          <w:szCs w:val="18"/>
        </w:rPr>
        <w:footnoteRef/>
      </w:r>
      <w:r w:rsidRPr="00BD67E4">
        <w:rPr>
          <w:rFonts w:ascii="Cambria" w:hAnsi="Cambria"/>
          <w:sz w:val="18"/>
          <w:szCs w:val="18"/>
        </w:rPr>
        <w:t xml:space="preserve"> </w:t>
      </w:r>
      <w:r w:rsidRPr="00BD67E4">
        <w:rPr>
          <w:rFonts w:ascii="Cambria" w:hAnsi="Cambria"/>
          <w:sz w:val="18"/>
          <w:szCs w:val="18"/>
          <w:lang w:val="sl-SI"/>
        </w:rPr>
        <w:t xml:space="preserve"> </w:t>
      </w:r>
      <w:r w:rsidRPr="00991A1C">
        <w:rPr>
          <w:rFonts w:ascii="Cambria" w:hAnsi="Cambria"/>
          <w:sz w:val="18"/>
          <w:szCs w:val="18"/>
          <w:lang w:val="sl-SI"/>
        </w:rPr>
        <w:t>Подаци о незапосленима и програмима и мјерама преузети су из Годишњих извјештаја о раду ЗЗЗЦГ или посредовано директно од ЗЗЗЦГ за потребе израде локалних стратегија запошљавања</w:t>
      </w:r>
    </w:p>
  </w:footnote>
  <w:footnote w:id="16">
    <w:p w:rsidR="008B78CB" w:rsidRPr="00DC350E" w:rsidRDefault="008B78CB" w:rsidP="00DC350E">
      <w:pPr>
        <w:pStyle w:val="FootnoteText"/>
        <w:jc w:val="both"/>
      </w:pPr>
      <w:r>
        <w:rPr>
          <w:rStyle w:val="FootnoteReference"/>
        </w:rPr>
        <w:footnoteRef/>
      </w:r>
      <w:r w:rsidRPr="00D3165F">
        <w:rPr>
          <w:rFonts w:ascii="Cambria" w:hAnsi="Cambria"/>
          <w:sz w:val="18"/>
          <w:szCs w:val="18"/>
        </w:rPr>
        <w:t xml:space="preserve">Под нискоквалификованим особама се сматрају особе са стеченим </w:t>
      </w:r>
      <w:r>
        <w:rPr>
          <w:rFonts w:ascii="Cambria" w:hAnsi="Cambria"/>
          <w:sz w:val="18"/>
          <w:szCs w:val="18"/>
        </w:rPr>
        <w:t>I и</w:t>
      </w:r>
      <w:r w:rsidRPr="000D1BB9">
        <w:rPr>
          <w:rFonts w:ascii="Cambria" w:hAnsi="Cambria"/>
          <w:sz w:val="18"/>
          <w:szCs w:val="18"/>
        </w:rPr>
        <w:t xml:space="preserve"> II </w:t>
      </w:r>
      <w:r w:rsidRPr="00D3165F">
        <w:rPr>
          <w:rFonts w:ascii="Cambria" w:hAnsi="Cambria"/>
          <w:sz w:val="18"/>
          <w:szCs w:val="18"/>
        </w:rPr>
        <w:t xml:space="preserve">степеном квалификација према Националном оквиру квалификација; Под средњеквалификованим особама се сматрају особе са стеченим </w:t>
      </w:r>
      <w:r>
        <w:rPr>
          <w:rFonts w:ascii="Cambria" w:hAnsi="Cambria"/>
          <w:sz w:val="18"/>
          <w:szCs w:val="18"/>
        </w:rPr>
        <w:t xml:space="preserve">III, IV и </w:t>
      </w:r>
      <w:r w:rsidRPr="000D1BB9">
        <w:rPr>
          <w:rFonts w:ascii="Cambria" w:hAnsi="Cambria"/>
          <w:sz w:val="18"/>
          <w:szCs w:val="18"/>
        </w:rPr>
        <w:t xml:space="preserve"> V </w:t>
      </w:r>
      <w:r w:rsidRPr="00D3165F">
        <w:rPr>
          <w:rFonts w:ascii="Cambria" w:hAnsi="Cambria"/>
          <w:sz w:val="18"/>
          <w:szCs w:val="18"/>
        </w:rPr>
        <w:t xml:space="preserve">степеном квалификација према Националном оквиру квлификација; Под висококвалификованим особама се сматрају особе са стеченим </w:t>
      </w:r>
      <w:r>
        <w:rPr>
          <w:rFonts w:ascii="Cambria" w:hAnsi="Cambria"/>
          <w:sz w:val="18"/>
          <w:szCs w:val="18"/>
        </w:rPr>
        <w:t>VI, VII, VII2 и VIII степеном</w:t>
      </w:r>
      <w:r w:rsidRPr="000D1BB9">
        <w:rPr>
          <w:rFonts w:ascii="Cambria" w:hAnsi="Cambria"/>
          <w:sz w:val="18"/>
          <w:szCs w:val="18"/>
        </w:rPr>
        <w:t xml:space="preserve"> </w:t>
      </w:r>
      <w:r w:rsidRPr="00D3165F">
        <w:rPr>
          <w:rFonts w:ascii="Cambria" w:hAnsi="Cambria"/>
          <w:sz w:val="18"/>
          <w:szCs w:val="18"/>
        </w:rPr>
        <w:t>квалификација према Националном оквиру квалификација.</w:t>
      </w:r>
    </w:p>
  </w:footnote>
  <w:footnote w:id="17">
    <w:p w:rsidR="008B78CB" w:rsidRPr="00CF7FA3" w:rsidRDefault="008B78CB" w:rsidP="00066CC4">
      <w:pPr>
        <w:pStyle w:val="FootnoteText"/>
        <w:rPr>
          <w:rFonts w:ascii="Cambria" w:hAnsi="Cambria"/>
          <w:sz w:val="18"/>
          <w:szCs w:val="18"/>
          <w:lang w:val="sl-SI"/>
        </w:rPr>
      </w:pPr>
      <w:r w:rsidRPr="00CF7FA3">
        <w:rPr>
          <w:rStyle w:val="FootnoteReference"/>
          <w:rFonts w:ascii="Cambria" w:hAnsi="Cambria"/>
          <w:sz w:val="18"/>
          <w:szCs w:val="18"/>
        </w:rPr>
        <w:footnoteRef/>
      </w:r>
      <w:r w:rsidRPr="00CF7FA3">
        <w:rPr>
          <w:rFonts w:ascii="Cambria" w:hAnsi="Cambria"/>
          <w:sz w:val="18"/>
          <w:szCs w:val="18"/>
        </w:rPr>
        <w:t xml:space="preserve"> </w:t>
      </w:r>
      <w:r w:rsidRPr="00697839">
        <w:rPr>
          <w:rFonts w:ascii="Cambria" w:hAnsi="Cambria"/>
          <w:sz w:val="18"/>
          <w:szCs w:val="18"/>
          <w:lang w:val="sl-SI"/>
        </w:rPr>
        <w:t>Извор: Завод за запошљавање Црне Горе</w:t>
      </w:r>
    </w:p>
  </w:footnote>
  <w:footnote w:id="18">
    <w:p w:rsidR="008B78CB" w:rsidRPr="000D1BB9" w:rsidRDefault="008B78CB" w:rsidP="00204D27">
      <w:pPr>
        <w:pStyle w:val="FootnoteText"/>
        <w:rPr>
          <w:rFonts w:ascii="Cambria" w:hAnsi="Cambria"/>
          <w:sz w:val="18"/>
          <w:szCs w:val="18"/>
          <w:lang w:val="sl-SI"/>
        </w:rPr>
      </w:pPr>
      <w:r w:rsidRPr="000D1BB9">
        <w:rPr>
          <w:rStyle w:val="FootnoteReference"/>
          <w:rFonts w:ascii="Cambria" w:hAnsi="Cambria"/>
          <w:sz w:val="18"/>
          <w:szCs w:val="18"/>
        </w:rPr>
        <w:footnoteRef/>
      </w:r>
      <w:r w:rsidRPr="000D1BB9">
        <w:rPr>
          <w:rFonts w:ascii="Cambria" w:hAnsi="Cambria"/>
          <w:sz w:val="18"/>
          <w:szCs w:val="18"/>
        </w:rPr>
        <w:t xml:space="preserve"> </w:t>
      </w:r>
      <w:r w:rsidRPr="00697839">
        <w:rPr>
          <w:rFonts w:ascii="Cambria" w:hAnsi="Cambria"/>
          <w:sz w:val="18"/>
          <w:szCs w:val="18"/>
          <w:lang w:val="sl-SI"/>
        </w:rPr>
        <w:t>Усвојен 4. априла 2019.године</w:t>
      </w:r>
    </w:p>
  </w:footnote>
  <w:footnote w:id="19">
    <w:p w:rsidR="008B78CB" w:rsidRPr="005A6943" w:rsidRDefault="008B78CB" w:rsidP="00204D27">
      <w:pPr>
        <w:pStyle w:val="FootnoteText"/>
        <w:rPr>
          <w:rFonts w:ascii="Cambria" w:hAnsi="Cambria"/>
          <w:sz w:val="18"/>
          <w:szCs w:val="18"/>
          <w:lang w:val="sl-SI"/>
        </w:rPr>
      </w:pPr>
      <w:r w:rsidRPr="00CF7FA3">
        <w:rPr>
          <w:rStyle w:val="FootnoteReference"/>
          <w:rFonts w:ascii="Cambria" w:hAnsi="Cambria"/>
          <w:sz w:val="18"/>
          <w:szCs w:val="18"/>
        </w:rPr>
        <w:footnoteRef/>
      </w:r>
      <w:r w:rsidRPr="00CF7FA3">
        <w:rPr>
          <w:rFonts w:ascii="Cambria" w:hAnsi="Cambria"/>
          <w:sz w:val="18"/>
          <w:szCs w:val="18"/>
        </w:rPr>
        <w:t xml:space="preserve"> </w:t>
      </w:r>
      <w:r w:rsidRPr="00697839">
        <w:rPr>
          <w:rFonts w:ascii="Cambria" w:hAnsi="Cambria"/>
          <w:sz w:val="18"/>
          <w:szCs w:val="18"/>
          <w:lang w:val="sl-SI"/>
        </w:rPr>
        <w:t>Усвојен 4. априла 2019.године</w:t>
      </w:r>
    </w:p>
  </w:footnote>
  <w:footnote w:id="20">
    <w:p w:rsidR="008B78CB" w:rsidRPr="0090441A" w:rsidRDefault="008B78CB">
      <w:pPr>
        <w:pStyle w:val="FootnoteText"/>
        <w:rPr>
          <w:lang w:val="sl-SI"/>
        </w:rPr>
      </w:pPr>
      <w:r>
        <w:rPr>
          <w:rStyle w:val="FootnoteReference"/>
        </w:rPr>
        <w:footnoteRef/>
      </w:r>
      <w:r>
        <w:t xml:space="preserve"> </w:t>
      </w:r>
      <w:r w:rsidRPr="003A51F0">
        <w:rPr>
          <w:rFonts w:ascii="Cambria" w:hAnsi="Cambria"/>
          <w:sz w:val="18"/>
          <w:szCs w:val="18"/>
          <w:lang w:val="sl-SI"/>
        </w:rPr>
        <w:t>»Стоп сивој економији« 2016-2019; »Млади су наш потенцијал« 2016; »Оснажи ме и успјећу« 2018.</w:t>
      </w:r>
    </w:p>
  </w:footnote>
  <w:footnote w:id="21">
    <w:p w:rsidR="008B78CB" w:rsidRPr="000D1BB9" w:rsidRDefault="008B78CB" w:rsidP="003E69BE">
      <w:pPr>
        <w:pStyle w:val="FootnoteText"/>
        <w:rPr>
          <w:rFonts w:ascii="Cambria" w:hAnsi="Cambria"/>
          <w:sz w:val="18"/>
          <w:szCs w:val="18"/>
        </w:rPr>
      </w:pPr>
      <w:r w:rsidRPr="000D1BB9">
        <w:rPr>
          <w:rStyle w:val="FootnoteReference"/>
          <w:rFonts w:ascii="Cambria" w:hAnsi="Cambria"/>
          <w:sz w:val="18"/>
          <w:szCs w:val="18"/>
        </w:rPr>
        <w:footnoteRef/>
      </w:r>
      <w:r>
        <w:rPr>
          <w:rFonts w:ascii="Cambria" w:hAnsi="Cambria"/>
          <w:sz w:val="18"/>
          <w:szCs w:val="18"/>
        </w:rPr>
        <w:t xml:space="preserve"> </w:t>
      </w:r>
      <w:r w:rsidRPr="003A51F0">
        <w:rPr>
          <w:rFonts w:ascii="Cambria" w:hAnsi="Cambria"/>
          <w:sz w:val="18"/>
          <w:szCs w:val="18"/>
        </w:rPr>
        <w:t>Завод за запошљавање Црне Горе (2019) Извјештај о раду за 2019. годину</w:t>
      </w:r>
    </w:p>
  </w:footnote>
  <w:footnote w:id="22">
    <w:p w:rsidR="008B78CB" w:rsidRPr="000D1BB9" w:rsidRDefault="008B78CB" w:rsidP="00BC1F7E">
      <w:pPr>
        <w:pStyle w:val="FootnoteText"/>
        <w:rPr>
          <w:rFonts w:ascii="Cambria" w:hAnsi="Cambria"/>
          <w:sz w:val="18"/>
          <w:szCs w:val="18"/>
          <w:lang w:val="sl-SI"/>
        </w:rPr>
      </w:pPr>
      <w:r w:rsidRPr="000D1BB9">
        <w:rPr>
          <w:rStyle w:val="FootnoteReference"/>
          <w:rFonts w:ascii="Cambria" w:hAnsi="Cambria"/>
          <w:sz w:val="18"/>
          <w:szCs w:val="18"/>
        </w:rPr>
        <w:footnoteRef/>
      </w:r>
      <w:r w:rsidRPr="000D1BB9">
        <w:rPr>
          <w:rFonts w:ascii="Cambria" w:hAnsi="Cambria" w:cs="Times New Roman"/>
          <w:sz w:val="18"/>
          <w:szCs w:val="18"/>
        </w:rPr>
        <w:t>“</w:t>
      </w:r>
      <w:r w:rsidRPr="003A51F0">
        <w:t xml:space="preserve"> </w:t>
      </w:r>
      <w:r w:rsidRPr="003A51F0">
        <w:rPr>
          <w:rFonts w:ascii="Cambria" w:hAnsi="Cambria" w:cs="Arial"/>
          <w:sz w:val="18"/>
          <w:szCs w:val="18"/>
        </w:rPr>
        <w:t>Службени лист ЦГ”, бр.49/2008, 73/2010, 39/2011 и 55/2016</w:t>
      </w:r>
    </w:p>
  </w:footnote>
  <w:footnote w:id="23">
    <w:p w:rsidR="008B78CB" w:rsidRPr="0049160E" w:rsidRDefault="008B78CB">
      <w:pPr>
        <w:pStyle w:val="FootnoteText"/>
        <w:rPr>
          <w:rFonts w:ascii="Cambria" w:hAnsi="Cambria"/>
          <w:sz w:val="18"/>
          <w:szCs w:val="18"/>
          <w:lang w:val="sl-SI"/>
        </w:rPr>
      </w:pPr>
      <w:r w:rsidRPr="0049160E">
        <w:rPr>
          <w:rStyle w:val="FootnoteReference"/>
          <w:rFonts w:ascii="Cambria" w:hAnsi="Cambria"/>
          <w:sz w:val="18"/>
          <w:szCs w:val="18"/>
        </w:rPr>
        <w:footnoteRef/>
      </w:r>
      <w:r w:rsidRPr="0049160E">
        <w:rPr>
          <w:rFonts w:ascii="Cambria" w:hAnsi="Cambria"/>
          <w:sz w:val="18"/>
          <w:szCs w:val="18"/>
        </w:rPr>
        <w:t xml:space="preserve"> </w:t>
      </w:r>
      <w:r w:rsidR="00AA4FCB" w:rsidRPr="00AA4FCB">
        <w:rPr>
          <w:rFonts w:ascii="Cambria" w:hAnsi="Cambria"/>
          <w:sz w:val="18"/>
          <w:szCs w:val="18"/>
          <w:lang w:val="sl-SI"/>
        </w:rPr>
        <w:t>Анализа локалних тржишта рада у Црној Гори, М. Арандаренко, М. Мирковић, 2020</w:t>
      </w:r>
    </w:p>
  </w:footnote>
  <w:footnote w:id="24">
    <w:p w:rsidR="008B78CB" w:rsidRPr="00925E36" w:rsidRDefault="008B78CB">
      <w:pPr>
        <w:pStyle w:val="FootnoteText"/>
        <w:rPr>
          <w:rFonts w:ascii="Cambria" w:hAnsi="Cambria"/>
          <w:sz w:val="18"/>
          <w:szCs w:val="18"/>
          <w:lang w:val="sl-SI"/>
        </w:rPr>
      </w:pPr>
      <w:r w:rsidRPr="00925E36">
        <w:rPr>
          <w:rStyle w:val="FootnoteReference"/>
          <w:rFonts w:ascii="Cambria" w:hAnsi="Cambria"/>
          <w:color w:val="2F5496" w:themeColor="accent1" w:themeShade="BF"/>
          <w:sz w:val="18"/>
          <w:szCs w:val="18"/>
        </w:rPr>
        <w:footnoteRef/>
      </w:r>
      <w:r w:rsidRPr="00007364">
        <w:rPr>
          <w:rFonts w:ascii="Cambria" w:hAnsi="Cambria"/>
          <w:color w:val="2F5496" w:themeColor="accent1" w:themeShade="BF"/>
          <w:sz w:val="18"/>
          <w:szCs w:val="18"/>
        </w:rPr>
        <w:t xml:space="preserve">  </w:t>
      </w:r>
      <w:hyperlink r:id="rId1" w:tgtFrame="_blank" w:history="1">
        <w:r w:rsidRPr="00925E36">
          <w:rPr>
            <w:rStyle w:val="Hyperlink"/>
            <w:rFonts w:ascii="Cambria" w:hAnsi="Cambria" w:cs="Courier New"/>
            <w:color w:val="2F5496" w:themeColor="accent1" w:themeShade="BF"/>
            <w:sz w:val="18"/>
            <w:szCs w:val="18"/>
            <w:shd w:val="clear" w:color="auto" w:fill="FFFFFF"/>
          </w:rPr>
          <w:t>https://mps.gov.me/rubrike/obrazovanje-odraslih</w:t>
        </w:r>
      </w:hyperlink>
    </w:p>
  </w:footnote>
  <w:footnote w:id="25">
    <w:p w:rsidR="008B78CB" w:rsidRPr="007F7EA0" w:rsidRDefault="008B78CB">
      <w:pPr>
        <w:pStyle w:val="FootnoteText"/>
        <w:rPr>
          <w:rFonts w:ascii="Cambria" w:hAnsi="Cambria"/>
          <w:sz w:val="18"/>
          <w:szCs w:val="18"/>
          <w:lang w:val="sl-SI"/>
        </w:rPr>
      </w:pPr>
      <w:r>
        <w:rPr>
          <w:rStyle w:val="FootnoteReference"/>
        </w:rPr>
        <w:footnoteRef/>
      </w:r>
      <w:r>
        <w:t xml:space="preserve"> </w:t>
      </w:r>
      <w:r w:rsidR="00865C8B" w:rsidRPr="00865C8B">
        <w:rPr>
          <w:rFonts w:ascii="Cambria" w:hAnsi="Cambria"/>
          <w:sz w:val="18"/>
          <w:szCs w:val="18"/>
          <w:lang w:val="sl-SI"/>
        </w:rPr>
        <w:t>Статистика дохотка и услова живота, МОНСТАТ, 2018</w:t>
      </w:r>
    </w:p>
  </w:footnote>
  <w:footnote w:id="26">
    <w:p w:rsidR="008B78CB" w:rsidRPr="00F47510" w:rsidRDefault="008B78CB">
      <w:pPr>
        <w:pStyle w:val="FootnoteText"/>
        <w:rPr>
          <w:rFonts w:ascii="Cambria" w:hAnsi="Cambria"/>
          <w:sz w:val="18"/>
          <w:szCs w:val="18"/>
          <w:lang w:val="sl-SI"/>
        </w:rPr>
      </w:pPr>
      <w:r>
        <w:rPr>
          <w:rStyle w:val="FootnoteReference"/>
        </w:rPr>
        <w:footnoteRef/>
      </w:r>
      <w:r>
        <w:t xml:space="preserve"> </w:t>
      </w:r>
      <w:r w:rsidR="00941690" w:rsidRPr="00941690">
        <w:rPr>
          <w:rFonts w:ascii="Cambria" w:hAnsi="Cambria"/>
          <w:sz w:val="18"/>
          <w:szCs w:val="18"/>
        </w:rPr>
        <w:t>Црногорска привреда, Привредна Комора Црне Горе</w:t>
      </w:r>
      <w:r w:rsidRPr="00F47510">
        <w:rPr>
          <w:rFonts w:ascii="Cambria" w:hAnsi="Cambria"/>
          <w:sz w:val="18"/>
          <w:szCs w:val="18"/>
          <w:lang w:val="sl-SI"/>
        </w:rPr>
        <w:t>; https://www.privrednakomora.me/multimedija</w:t>
      </w:r>
    </w:p>
  </w:footnote>
  <w:footnote w:id="27">
    <w:p w:rsidR="008B78CB" w:rsidRPr="00F47510" w:rsidRDefault="008B78CB">
      <w:pPr>
        <w:pStyle w:val="FootnoteText"/>
        <w:rPr>
          <w:lang w:val="sl-SI"/>
        </w:rPr>
      </w:pPr>
      <w:r>
        <w:rPr>
          <w:rStyle w:val="FootnoteReference"/>
        </w:rPr>
        <w:footnoteRef/>
      </w:r>
      <w:r>
        <w:t xml:space="preserve"> </w:t>
      </w:r>
      <w:r w:rsidR="00941690" w:rsidRPr="00941690">
        <w:rPr>
          <w:rFonts w:ascii="Cambria" w:hAnsi="Cambria"/>
          <w:sz w:val="18"/>
          <w:szCs w:val="18"/>
          <w:lang w:val="sl-SI"/>
        </w:rPr>
        <w:t>Извјештај о раду за 2019. годину Завод за запошљавање Црне Горе</w:t>
      </w:r>
    </w:p>
  </w:footnote>
  <w:footnote w:id="28">
    <w:p w:rsidR="008B78CB" w:rsidRPr="00C43791" w:rsidRDefault="008B78CB">
      <w:pPr>
        <w:pStyle w:val="FootnoteText"/>
        <w:rPr>
          <w:lang w:val="sl-SI"/>
        </w:rPr>
      </w:pPr>
      <w:r>
        <w:rPr>
          <w:rStyle w:val="FootnoteReference"/>
        </w:rPr>
        <w:footnoteRef/>
      </w:r>
      <w:r>
        <w:t xml:space="preserve"> </w:t>
      </w:r>
      <w:hyperlink r:id="rId2" w:history="1">
        <w:r w:rsidRPr="00C43791">
          <w:rPr>
            <w:rStyle w:val="Hyperlink"/>
            <w:rFonts w:ascii="Cambria" w:hAnsi="Cambria"/>
            <w:sz w:val="18"/>
            <w:szCs w:val="18"/>
          </w:rPr>
          <w:t>https://mps.gov.me/rubrike/obrazovanje-odraslih</w:t>
        </w:r>
      </w:hyperlink>
      <w:r w:rsidRPr="00C43791">
        <w:rPr>
          <w:rFonts w:ascii="Cambria" w:hAnsi="Cambria"/>
          <w:sz w:val="18"/>
          <w:szCs w:val="18"/>
        </w:rPr>
        <w:t>; 5.1.2021</w:t>
      </w:r>
    </w:p>
  </w:footnote>
  <w:footnote w:id="29">
    <w:p w:rsidR="008B78CB" w:rsidRPr="004D30E1" w:rsidRDefault="008B78CB" w:rsidP="0032380F">
      <w:pPr>
        <w:pStyle w:val="FootnoteText"/>
        <w:rPr>
          <w:rFonts w:ascii="Cambria" w:hAnsi="Cambria"/>
          <w:sz w:val="18"/>
          <w:szCs w:val="18"/>
        </w:rPr>
      </w:pPr>
      <w:r>
        <w:rPr>
          <w:rStyle w:val="FootnoteReference"/>
        </w:rPr>
        <w:footnoteRef/>
      </w:r>
      <w:r>
        <w:t xml:space="preserve"> </w:t>
      </w:r>
      <w:r w:rsidRPr="004D30E1">
        <w:rPr>
          <w:rFonts w:ascii="Cambria" w:hAnsi="Cambria"/>
          <w:sz w:val="18"/>
          <w:szCs w:val="18"/>
        </w:rPr>
        <w:t>Активности Бироа рада су планиране на основи спровођења Програма рада ЗЗЗЦГ у претходним годинама. Програм рада ЗЗЗЦГ за 2021. годину у фази припреме овог Акционог плана запошљавања још није усвојен</w:t>
      </w:r>
      <w:r>
        <w:rPr>
          <w:rFonts w:ascii="Cambria" w:hAnsi="Cambria"/>
          <w:sz w:val="18"/>
          <w:szCs w:val="18"/>
        </w:rPr>
        <w:t>.</w:t>
      </w:r>
    </w:p>
    <w:p w:rsidR="008B78CB" w:rsidRPr="0032380F" w:rsidRDefault="008B78CB">
      <w:pPr>
        <w:pStyle w:val="FootnoteText"/>
        <w:rPr>
          <w:lang w:val="sl-SI"/>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CB" w:rsidRPr="005721D1" w:rsidRDefault="008B78CB" w:rsidP="005721D1">
    <w:pPr>
      <w:pStyle w:val="Header"/>
      <w:jc w:val="center"/>
    </w:pPr>
    <w:r w:rsidRPr="005721D1">
      <w:t>Стратегија з</w:t>
    </w:r>
    <w:r>
      <w:t>апошљавања Општине Беране, предлог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CB" w:rsidRPr="00E33076" w:rsidRDefault="008B78CB" w:rsidP="00E33076">
    <w:pPr>
      <w:pStyle w:val="Header"/>
      <w:jc w:val="center"/>
    </w:pPr>
    <w:r w:rsidRPr="00E33076">
      <w:t>Акциони план запошљавања општине Беране за 2021. годину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7DA"/>
    <w:multiLevelType w:val="hybridMultilevel"/>
    <w:tmpl w:val="C2248526"/>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E95754"/>
    <w:multiLevelType w:val="hybridMultilevel"/>
    <w:tmpl w:val="D512C5C0"/>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75E4DE0"/>
    <w:multiLevelType w:val="hybridMultilevel"/>
    <w:tmpl w:val="A330115E"/>
    <w:lvl w:ilvl="0" w:tplc="0424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B4C6C"/>
    <w:multiLevelType w:val="hybridMultilevel"/>
    <w:tmpl w:val="0CC40386"/>
    <w:lvl w:ilvl="0" w:tplc="AA9EE508">
      <w:start w:val="1"/>
      <w:numFmt w:val="bullet"/>
      <w:lvlText w:val="•"/>
      <w:lvlJc w:val="left"/>
      <w:pPr>
        <w:tabs>
          <w:tab w:val="num" w:pos="720"/>
        </w:tabs>
        <w:ind w:left="720" w:hanging="360"/>
      </w:pPr>
      <w:rPr>
        <w:rFonts w:ascii="Arial" w:hAnsi="Arial" w:hint="default"/>
      </w:rPr>
    </w:lvl>
    <w:lvl w:ilvl="1" w:tplc="1EAC0CBC">
      <w:start w:val="13245"/>
      <w:numFmt w:val="bullet"/>
      <w:lvlText w:val="–"/>
      <w:lvlJc w:val="left"/>
      <w:pPr>
        <w:tabs>
          <w:tab w:val="num" w:pos="1440"/>
        </w:tabs>
        <w:ind w:left="1440" w:hanging="360"/>
      </w:pPr>
      <w:rPr>
        <w:rFonts w:ascii="Arial" w:hAnsi="Arial" w:hint="default"/>
      </w:rPr>
    </w:lvl>
    <w:lvl w:ilvl="2" w:tplc="04744904" w:tentative="1">
      <w:start w:val="1"/>
      <w:numFmt w:val="bullet"/>
      <w:lvlText w:val="•"/>
      <w:lvlJc w:val="left"/>
      <w:pPr>
        <w:tabs>
          <w:tab w:val="num" w:pos="2160"/>
        </w:tabs>
        <w:ind w:left="2160" w:hanging="360"/>
      </w:pPr>
      <w:rPr>
        <w:rFonts w:ascii="Arial" w:hAnsi="Arial" w:hint="default"/>
      </w:rPr>
    </w:lvl>
    <w:lvl w:ilvl="3" w:tplc="70FE2C80" w:tentative="1">
      <w:start w:val="1"/>
      <w:numFmt w:val="bullet"/>
      <w:lvlText w:val="•"/>
      <w:lvlJc w:val="left"/>
      <w:pPr>
        <w:tabs>
          <w:tab w:val="num" w:pos="2880"/>
        </w:tabs>
        <w:ind w:left="2880" w:hanging="360"/>
      </w:pPr>
      <w:rPr>
        <w:rFonts w:ascii="Arial" w:hAnsi="Arial" w:hint="default"/>
      </w:rPr>
    </w:lvl>
    <w:lvl w:ilvl="4" w:tplc="9926DE58" w:tentative="1">
      <w:start w:val="1"/>
      <w:numFmt w:val="bullet"/>
      <w:lvlText w:val="•"/>
      <w:lvlJc w:val="left"/>
      <w:pPr>
        <w:tabs>
          <w:tab w:val="num" w:pos="3600"/>
        </w:tabs>
        <w:ind w:left="3600" w:hanging="360"/>
      </w:pPr>
      <w:rPr>
        <w:rFonts w:ascii="Arial" w:hAnsi="Arial" w:hint="default"/>
      </w:rPr>
    </w:lvl>
    <w:lvl w:ilvl="5" w:tplc="78C227DE" w:tentative="1">
      <w:start w:val="1"/>
      <w:numFmt w:val="bullet"/>
      <w:lvlText w:val="•"/>
      <w:lvlJc w:val="left"/>
      <w:pPr>
        <w:tabs>
          <w:tab w:val="num" w:pos="4320"/>
        </w:tabs>
        <w:ind w:left="4320" w:hanging="360"/>
      </w:pPr>
      <w:rPr>
        <w:rFonts w:ascii="Arial" w:hAnsi="Arial" w:hint="default"/>
      </w:rPr>
    </w:lvl>
    <w:lvl w:ilvl="6" w:tplc="C93C8DD8" w:tentative="1">
      <w:start w:val="1"/>
      <w:numFmt w:val="bullet"/>
      <w:lvlText w:val="•"/>
      <w:lvlJc w:val="left"/>
      <w:pPr>
        <w:tabs>
          <w:tab w:val="num" w:pos="5040"/>
        </w:tabs>
        <w:ind w:left="5040" w:hanging="360"/>
      </w:pPr>
      <w:rPr>
        <w:rFonts w:ascii="Arial" w:hAnsi="Arial" w:hint="default"/>
      </w:rPr>
    </w:lvl>
    <w:lvl w:ilvl="7" w:tplc="0F4297AA" w:tentative="1">
      <w:start w:val="1"/>
      <w:numFmt w:val="bullet"/>
      <w:lvlText w:val="•"/>
      <w:lvlJc w:val="left"/>
      <w:pPr>
        <w:tabs>
          <w:tab w:val="num" w:pos="5760"/>
        </w:tabs>
        <w:ind w:left="5760" w:hanging="360"/>
      </w:pPr>
      <w:rPr>
        <w:rFonts w:ascii="Arial" w:hAnsi="Arial" w:hint="default"/>
      </w:rPr>
    </w:lvl>
    <w:lvl w:ilvl="8" w:tplc="04268E96" w:tentative="1">
      <w:start w:val="1"/>
      <w:numFmt w:val="bullet"/>
      <w:lvlText w:val="•"/>
      <w:lvlJc w:val="left"/>
      <w:pPr>
        <w:tabs>
          <w:tab w:val="num" w:pos="6480"/>
        </w:tabs>
        <w:ind w:left="6480" w:hanging="360"/>
      </w:pPr>
      <w:rPr>
        <w:rFonts w:ascii="Arial" w:hAnsi="Arial" w:hint="default"/>
      </w:rPr>
    </w:lvl>
  </w:abstractNum>
  <w:abstractNum w:abstractNumId="4">
    <w:nsid w:val="0AA75300"/>
    <w:multiLevelType w:val="hybridMultilevel"/>
    <w:tmpl w:val="E61EB168"/>
    <w:lvl w:ilvl="0" w:tplc="0424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EE3691"/>
    <w:multiLevelType w:val="hybridMultilevel"/>
    <w:tmpl w:val="509A9D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3973A01"/>
    <w:multiLevelType w:val="hybridMultilevel"/>
    <w:tmpl w:val="D99604FE"/>
    <w:lvl w:ilvl="0" w:tplc="E6E4664E">
      <w:start w:val="1"/>
      <w:numFmt w:val="bullet"/>
      <w:lvlText w:val=""/>
      <w:lvlJc w:val="left"/>
      <w:pPr>
        <w:tabs>
          <w:tab w:val="num" w:pos="720"/>
        </w:tabs>
        <w:ind w:left="720" w:hanging="360"/>
      </w:pPr>
      <w:rPr>
        <w:rFonts w:ascii="Wingdings" w:hAnsi="Wingdings" w:hint="default"/>
      </w:rPr>
    </w:lvl>
    <w:lvl w:ilvl="1" w:tplc="176E39BE" w:tentative="1">
      <w:start w:val="1"/>
      <w:numFmt w:val="bullet"/>
      <w:lvlText w:val=""/>
      <w:lvlJc w:val="left"/>
      <w:pPr>
        <w:tabs>
          <w:tab w:val="num" w:pos="1440"/>
        </w:tabs>
        <w:ind w:left="1440" w:hanging="360"/>
      </w:pPr>
      <w:rPr>
        <w:rFonts w:ascii="Wingdings" w:hAnsi="Wingdings" w:hint="default"/>
      </w:rPr>
    </w:lvl>
    <w:lvl w:ilvl="2" w:tplc="80DE50FA" w:tentative="1">
      <w:start w:val="1"/>
      <w:numFmt w:val="bullet"/>
      <w:lvlText w:val=""/>
      <w:lvlJc w:val="left"/>
      <w:pPr>
        <w:tabs>
          <w:tab w:val="num" w:pos="2160"/>
        </w:tabs>
        <w:ind w:left="2160" w:hanging="360"/>
      </w:pPr>
      <w:rPr>
        <w:rFonts w:ascii="Wingdings" w:hAnsi="Wingdings" w:hint="default"/>
      </w:rPr>
    </w:lvl>
    <w:lvl w:ilvl="3" w:tplc="0896E36A" w:tentative="1">
      <w:start w:val="1"/>
      <w:numFmt w:val="bullet"/>
      <w:lvlText w:val=""/>
      <w:lvlJc w:val="left"/>
      <w:pPr>
        <w:tabs>
          <w:tab w:val="num" w:pos="2880"/>
        </w:tabs>
        <w:ind w:left="2880" w:hanging="360"/>
      </w:pPr>
      <w:rPr>
        <w:rFonts w:ascii="Wingdings" w:hAnsi="Wingdings" w:hint="default"/>
      </w:rPr>
    </w:lvl>
    <w:lvl w:ilvl="4" w:tplc="0F58FFFA" w:tentative="1">
      <w:start w:val="1"/>
      <w:numFmt w:val="bullet"/>
      <w:lvlText w:val=""/>
      <w:lvlJc w:val="left"/>
      <w:pPr>
        <w:tabs>
          <w:tab w:val="num" w:pos="3600"/>
        </w:tabs>
        <w:ind w:left="3600" w:hanging="360"/>
      </w:pPr>
      <w:rPr>
        <w:rFonts w:ascii="Wingdings" w:hAnsi="Wingdings" w:hint="default"/>
      </w:rPr>
    </w:lvl>
    <w:lvl w:ilvl="5" w:tplc="C0446A3A" w:tentative="1">
      <w:start w:val="1"/>
      <w:numFmt w:val="bullet"/>
      <w:lvlText w:val=""/>
      <w:lvlJc w:val="left"/>
      <w:pPr>
        <w:tabs>
          <w:tab w:val="num" w:pos="4320"/>
        </w:tabs>
        <w:ind w:left="4320" w:hanging="360"/>
      </w:pPr>
      <w:rPr>
        <w:rFonts w:ascii="Wingdings" w:hAnsi="Wingdings" w:hint="default"/>
      </w:rPr>
    </w:lvl>
    <w:lvl w:ilvl="6" w:tplc="C20A917A" w:tentative="1">
      <w:start w:val="1"/>
      <w:numFmt w:val="bullet"/>
      <w:lvlText w:val=""/>
      <w:lvlJc w:val="left"/>
      <w:pPr>
        <w:tabs>
          <w:tab w:val="num" w:pos="5040"/>
        </w:tabs>
        <w:ind w:left="5040" w:hanging="360"/>
      </w:pPr>
      <w:rPr>
        <w:rFonts w:ascii="Wingdings" w:hAnsi="Wingdings" w:hint="default"/>
      </w:rPr>
    </w:lvl>
    <w:lvl w:ilvl="7" w:tplc="6C0A3D0E" w:tentative="1">
      <w:start w:val="1"/>
      <w:numFmt w:val="bullet"/>
      <w:lvlText w:val=""/>
      <w:lvlJc w:val="left"/>
      <w:pPr>
        <w:tabs>
          <w:tab w:val="num" w:pos="5760"/>
        </w:tabs>
        <w:ind w:left="5760" w:hanging="360"/>
      </w:pPr>
      <w:rPr>
        <w:rFonts w:ascii="Wingdings" w:hAnsi="Wingdings" w:hint="default"/>
      </w:rPr>
    </w:lvl>
    <w:lvl w:ilvl="8" w:tplc="A5286180" w:tentative="1">
      <w:start w:val="1"/>
      <w:numFmt w:val="bullet"/>
      <w:lvlText w:val=""/>
      <w:lvlJc w:val="left"/>
      <w:pPr>
        <w:tabs>
          <w:tab w:val="num" w:pos="6480"/>
        </w:tabs>
        <w:ind w:left="6480" w:hanging="360"/>
      </w:pPr>
      <w:rPr>
        <w:rFonts w:ascii="Wingdings" w:hAnsi="Wingdings" w:hint="default"/>
      </w:rPr>
    </w:lvl>
  </w:abstractNum>
  <w:abstractNum w:abstractNumId="7">
    <w:nsid w:val="13CC23C8"/>
    <w:multiLevelType w:val="hybridMultilevel"/>
    <w:tmpl w:val="D4485FCC"/>
    <w:lvl w:ilvl="0" w:tplc="0424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C225F"/>
    <w:multiLevelType w:val="hybridMultilevel"/>
    <w:tmpl w:val="A6824836"/>
    <w:lvl w:ilvl="0" w:tplc="6A06F610">
      <w:start w:val="4"/>
      <w:numFmt w:val="bullet"/>
      <w:lvlText w:val="-"/>
      <w:lvlJc w:val="left"/>
      <w:pPr>
        <w:ind w:left="1560" w:hanging="360"/>
      </w:pPr>
      <w:rPr>
        <w:rFonts w:ascii="Cambria" w:eastAsiaTheme="minorHAnsi" w:hAnsi="Cambria" w:cs="Times New Roman" w:hint="default"/>
      </w:rPr>
    </w:lvl>
    <w:lvl w:ilvl="1" w:tplc="6A06F610">
      <w:start w:val="4"/>
      <w:numFmt w:val="bullet"/>
      <w:lvlText w:val="-"/>
      <w:lvlJc w:val="left"/>
      <w:pPr>
        <w:ind w:left="2280" w:hanging="360"/>
      </w:pPr>
      <w:rPr>
        <w:rFonts w:ascii="Cambria" w:eastAsiaTheme="minorHAnsi" w:hAnsi="Cambria" w:cs="Times New Roman"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nsid w:val="1DBE2AB0"/>
    <w:multiLevelType w:val="hybridMultilevel"/>
    <w:tmpl w:val="268E8E9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200938CC"/>
    <w:multiLevelType w:val="multilevel"/>
    <w:tmpl w:val="4E22CE0E"/>
    <w:lvl w:ilvl="0">
      <w:start w:val="1"/>
      <w:numFmt w:val="decimal"/>
      <w:lvlText w:val="%1."/>
      <w:lvlJc w:val="left"/>
      <w:pPr>
        <w:ind w:left="426" w:hanging="360"/>
      </w:pPr>
    </w:lvl>
    <w:lvl w:ilvl="1">
      <w:start w:val="2"/>
      <w:numFmt w:val="decimal"/>
      <w:isLgl/>
      <w:lvlText w:val="%1.%2"/>
      <w:lvlJc w:val="left"/>
      <w:pPr>
        <w:ind w:left="462" w:hanging="396"/>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11">
    <w:nsid w:val="21241028"/>
    <w:multiLevelType w:val="hybridMultilevel"/>
    <w:tmpl w:val="F0161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1335E2B"/>
    <w:multiLevelType w:val="hybridMultilevel"/>
    <w:tmpl w:val="E6F26E42"/>
    <w:lvl w:ilvl="0" w:tplc="5E5A38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A66BCD"/>
    <w:multiLevelType w:val="hybridMultilevel"/>
    <w:tmpl w:val="B15A7A56"/>
    <w:lvl w:ilvl="0" w:tplc="0424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6E5EA6"/>
    <w:multiLevelType w:val="hybridMultilevel"/>
    <w:tmpl w:val="D2DE1DBE"/>
    <w:lvl w:ilvl="0" w:tplc="1C509E7E">
      <w:start w:val="1"/>
      <w:numFmt w:val="bullet"/>
      <w:lvlText w:val=""/>
      <w:lvlJc w:val="left"/>
      <w:pPr>
        <w:tabs>
          <w:tab w:val="num" w:pos="720"/>
        </w:tabs>
        <w:ind w:left="720" w:hanging="360"/>
      </w:pPr>
      <w:rPr>
        <w:rFonts w:ascii="Wingdings" w:hAnsi="Wingdings" w:hint="default"/>
      </w:rPr>
    </w:lvl>
    <w:lvl w:ilvl="1" w:tplc="B5A28FB0" w:tentative="1">
      <w:start w:val="1"/>
      <w:numFmt w:val="bullet"/>
      <w:lvlText w:val=""/>
      <w:lvlJc w:val="left"/>
      <w:pPr>
        <w:tabs>
          <w:tab w:val="num" w:pos="1440"/>
        </w:tabs>
        <w:ind w:left="1440" w:hanging="360"/>
      </w:pPr>
      <w:rPr>
        <w:rFonts w:ascii="Wingdings" w:hAnsi="Wingdings" w:hint="default"/>
      </w:rPr>
    </w:lvl>
    <w:lvl w:ilvl="2" w:tplc="DD14036A" w:tentative="1">
      <w:start w:val="1"/>
      <w:numFmt w:val="bullet"/>
      <w:lvlText w:val=""/>
      <w:lvlJc w:val="left"/>
      <w:pPr>
        <w:tabs>
          <w:tab w:val="num" w:pos="2160"/>
        </w:tabs>
        <w:ind w:left="2160" w:hanging="360"/>
      </w:pPr>
      <w:rPr>
        <w:rFonts w:ascii="Wingdings" w:hAnsi="Wingdings" w:hint="default"/>
      </w:rPr>
    </w:lvl>
    <w:lvl w:ilvl="3" w:tplc="5CBC1CE2" w:tentative="1">
      <w:start w:val="1"/>
      <w:numFmt w:val="bullet"/>
      <w:lvlText w:val=""/>
      <w:lvlJc w:val="left"/>
      <w:pPr>
        <w:tabs>
          <w:tab w:val="num" w:pos="2880"/>
        </w:tabs>
        <w:ind w:left="2880" w:hanging="360"/>
      </w:pPr>
      <w:rPr>
        <w:rFonts w:ascii="Wingdings" w:hAnsi="Wingdings" w:hint="default"/>
      </w:rPr>
    </w:lvl>
    <w:lvl w:ilvl="4" w:tplc="666E15E4" w:tentative="1">
      <w:start w:val="1"/>
      <w:numFmt w:val="bullet"/>
      <w:lvlText w:val=""/>
      <w:lvlJc w:val="left"/>
      <w:pPr>
        <w:tabs>
          <w:tab w:val="num" w:pos="3600"/>
        </w:tabs>
        <w:ind w:left="3600" w:hanging="360"/>
      </w:pPr>
      <w:rPr>
        <w:rFonts w:ascii="Wingdings" w:hAnsi="Wingdings" w:hint="default"/>
      </w:rPr>
    </w:lvl>
    <w:lvl w:ilvl="5" w:tplc="3C62FF70" w:tentative="1">
      <w:start w:val="1"/>
      <w:numFmt w:val="bullet"/>
      <w:lvlText w:val=""/>
      <w:lvlJc w:val="left"/>
      <w:pPr>
        <w:tabs>
          <w:tab w:val="num" w:pos="4320"/>
        </w:tabs>
        <w:ind w:left="4320" w:hanging="360"/>
      </w:pPr>
      <w:rPr>
        <w:rFonts w:ascii="Wingdings" w:hAnsi="Wingdings" w:hint="default"/>
      </w:rPr>
    </w:lvl>
    <w:lvl w:ilvl="6" w:tplc="F5927DC4" w:tentative="1">
      <w:start w:val="1"/>
      <w:numFmt w:val="bullet"/>
      <w:lvlText w:val=""/>
      <w:lvlJc w:val="left"/>
      <w:pPr>
        <w:tabs>
          <w:tab w:val="num" w:pos="5040"/>
        </w:tabs>
        <w:ind w:left="5040" w:hanging="360"/>
      </w:pPr>
      <w:rPr>
        <w:rFonts w:ascii="Wingdings" w:hAnsi="Wingdings" w:hint="default"/>
      </w:rPr>
    </w:lvl>
    <w:lvl w:ilvl="7" w:tplc="2E7A7070" w:tentative="1">
      <w:start w:val="1"/>
      <w:numFmt w:val="bullet"/>
      <w:lvlText w:val=""/>
      <w:lvlJc w:val="left"/>
      <w:pPr>
        <w:tabs>
          <w:tab w:val="num" w:pos="5760"/>
        </w:tabs>
        <w:ind w:left="5760" w:hanging="360"/>
      </w:pPr>
      <w:rPr>
        <w:rFonts w:ascii="Wingdings" w:hAnsi="Wingdings" w:hint="default"/>
      </w:rPr>
    </w:lvl>
    <w:lvl w:ilvl="8" w:tplc="10A60832" w:tentative="1">
      <w:start w:val="1"/>
      <w:numFmt w:val="bullet"/>
      <w:lvlText w:val=""/>
      <w:lvlJc w:val="left"/>
      <w:pPr>
        <w:tabs>
          <w:tab w:val="num" w:pos="6480"/>
        </w:tabs>
        <w:ind w:left="6480" w:hanging="360"/>
      </w:pPr>
      <w:rPr>
        <w:rFonts w:ascii="Wingdings" w:hAnsi="Wingdings" w:hint="default"/>
      </w:rPr>
    </w:lvl>
  </w:abstractNum>
  <w:abstractNum w:abstractNumId="15">
    <w:nsid w:val="30B303E9"/>
    <w:multiLevelType w:val="hybridMultilevel"/>
    <w:tmpl w:val="549676AC"/>
    <w:lvl w:ilvl="0" w:tplc="0424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2B16229"/>
    <w:multiLevelType w:val="hybridMultilevel"/>
    <w:tmpl w:val="1178922C"/>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38B2497E"/>
    <w:multiLevelType w:val="multilevel"/>
    <w:tmpl w:val="C3D65F30"/>
    <w:lvl w:ilvl="0">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2"/>
      <w:numFmt w:val="decimal"/>
      <w:isLgl/>
      <w:lvlText w:val="%1.%2"/>
      <w:lvlJc w:val="left"/>
      <w:pPr>
        <w:ind w:left="70" w:hanging="396"/>
      </w:pPr>
      <w:rPr>
        <w:rFonts w:hint="default"/>
      </w:rPr>
    </w:lvl>
    <w:lvl w:ilvl="2">
      <w:start w:val="1"/>
      <w:numFmt w:val="decimal"/>
      <w:isLgl/>
      <w:lvlText w:val="%1.%2.%3"/>
      <w:lvlJc w:val="left"/>
      <w:pPr>
        <w:ind w:left="394" w:hanging="720"/>
      </w:pPr>
      <w:rPr>
        <w:rFonts w:hint="default"/>
      </w:rPr>
    </w:lvl>
    <w:lvl w:ilvl="3">
      <w:start w:val="1"/>
      <w:numFmt w:val="decimal"/>
      <w:isLgl/>
      <w:lvlText w:val="%1.%2.%3.%4"/>
      <w:lvlJc w:val="left"/>
      <w:pPr>
        <w:ind w:left="394" w:hanging="720"/>
      </w:pPr>
      <w:rPr>
        <w:rFonts w:hint="default"/>
      </w:rPr>
    </w:lvl>
    <w:lvl w:ilvl="4">
      <w:start w:val="1"/>
      <w:numFmt w:val="decimal"/>
      <w:isLgl/>
      <w:lvlText w:val="%1.%2.%3.%4.%5"/>
      <w:lvlJc w:val="left"/>
      <w:pPr>
        <w:ind w:left="754" w:hanging="1080"/>
      </w:pPr>
      <w:rPr>
        <w:rFonts w:hint="default"/>
      </w:rPr>
    </w:lvl>
    <w:lvl w:ilvl="5">
      <w:start w:val="1"/>
      <w:numFmt w:val="decimal"/>
      <w:isLgl/>
      <w:lvlText w:val="%1.%2.%3.%4.%5.%6"/>
      <w:lvlJc w:val="left"/>
      <w:pPr>
        <w:ind w:left="754" w:hanging="1080"/>
      </w:pPr>
      <w:rPr>
        <w:rFonts w:hint="default"/>
      </w:rPr>
    </w:lvl>
    <w:lvl w:ilvl="6">
      <w:start w:val="1"/>
      <w:numFmt w:val="decimal"/>
      <w:isLgl/>
      <w:lvlText w:val="%1.%2.%3.%4.%5.%6.%7"/>
      <w:lvlJc w:val="left"/>
      <w:pPr>
        <w:ind w:left="1114" w:hanging="1440"/>
      </w:pPr>
      <w:rPr>
        <w:rFonts w:hint="default"/>
      </w:rPr>
    </w:lvl>
    <w:lvl w:ilvl="7">
      <w:start w:val="1"/>
      <w:numFmt w:val="decimal"/>
      <w:isLgl/>
      <w:lvlText w:val="%1.%2.%3.%4.%5.%6.%7.%8"/>
      <w:lvlJc w:val="left"/>
      <w:pPr>
        <w:ind w:left="1114" w:hanging="1440"/>
      </w:pPr>
      <w:rPr>
        <w:rFonts w:hint="default"/>
      </w:rPr>
    </w:lvl>
    <w:lvl w:ilvl="8">
      <w:start w:val="1"/>
      <w:numFmt w:val="decimal"/>
      <w:isLgl/>
      <w:lvlText w:val="%1.%2.%3.%4.%5.%6.%7.%8.%9"/>
      <w:lvlJc w:val="left"/>
      <w:pPr>
        <w:ind w:left="1474" w:hanging="1800"/>
      </w:pPr>
      <w:rPr>
        <w:rFonts w:hint="default"/>
      </w:rPr>
    </w:lvl>
  </w:abstractNum>
  <w:abstractNum w:abstractNumId="18">
    <w:nsid w:val="3AEE6AC1"/>
    <w:multiLevelType w:val="multilevel"/>
    <w:tmpl w:val="A920C944"/>
    <w:lvl w:ilvl="0">
      <w:start w:val="1"/>
      <w:numFmt w:val="decimal"/>
      <w:lvlText w:val="%1."/>
      <w:lvlJc w:val="left"/>
      <w:pPr>
        <w:ind w:left="720" w:hanging="360"/>
      </w:pPr>
      <w:rPr>
        <w:sz w:val="26"/>
        <w:szCs w:val="26"/>
      </w:rPr>
    </w:lvl>
    <w:lvl w:ilvl="1">
      <w:start w:val="3"/>
      <w:numFmt w:val="decimal"/>
      <w:isLgl/>
      <w:lvlText w:val="%1.%2"/>
      <w:lvlJc w:val="left"/>
      <w:pPr>
        <w:ind w:left="864" w:hanging="50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F9C110E"/>
    <w:multiLevelType w:val="hybridMultilevel"/>
    <w:tmpl w:val="B3008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43E54"/>
    <w:multiLevelType w:val="hybridMultilevel"/>
    <w:tmpl w:val="A140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683462"/>
    <w:multiLevelType w:val="hybridMultilevel"/>
    <w:tmpl w:val="B426CCF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nsid w:val="45591A82"/>
    <w:multiLevelType w:val="hybridMultilevel"/>
    <w:tmpl w:val="059471C2"/>
    <w:lvl w:ilvl="0" w:tplc="9D729E70">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6142105"/>
    <w:multiLevelType w:val="hybridMultilevel"/>
    <w:tmpl w:val="E3A2533C"/>
    <w:lvl w:ilvl="0" w:tplc="E6E466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0132E3"/>
    <w:multiLevelType w:val="hybridMultilevel"/>
    <w:tmpl w:val="7234C04A"/>
    <w:lvl w:ilvl="0" w:tplc="7A800B8E">
      <w:start w:val="1"/>
      <w:numFmt w:val="bullet"/>
      <w:lvlText w:val=""/>
      <w:lvlJc w:val="left"/>
      <w:pPr>
        <w:ind w:left="360" w:hanging="360"/>
      </w:pPr>
      <w:rPr>
        <w:rFonts w:ascii="Wingdings" w:hAnsi="Wingdings" w:hint="default"/>
        <w:color w:val="auto"/>
      </w:rPr>
    </w:lvl>
    <w:lvl w:ilvl="1" w:tplc="87EA7E54">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284F81"/>
    <w:multiLevelType w:val="hybridMultilevel"/>
    <w:tmpl w:val="9D4A9B68"/>
    <w:lvl w:ilvl="0" w:tplc="5E5A38D0">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A10A15"/>
    <w:multiLevelType w:val="hybridMultilevel"/>
    <w:tmpl w:val="F37A340E"/>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6B4CFC"/>
    <w:multiLevelType w:val="hybridMultilevel"/>
    <w:tmpl w:val="4D8456E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9E44011"/>
    <w:multiLevelType w:val="hybridMultilevel"/>
    <w:tmpl w:val="3A18049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A280CE1"/>
    <w:multiLevelType w:val="hybridMultilevel"/>
    <w:tmpl w:val="5F887372"/>
    <w:lvl w:ilvl="0" w:tplc="04240005">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0">
    <w:nsid w:val="614D0B5C"/>
    <w:multiLevelType w:val="hybridMultilevel"/>
    <w:tmpl w:val="7D5A482A"/>
    <w:lvl w:ilvl="0" w:tplc="F4529450">
      <w:start w:val="1"/>
      <w:numFmt w:val="decimal"/>
      <w:lvlText w:val="%1."/>
      <w:lvlJc w:val="left"/>
      <w:pPr>
        <w:ind w:left="360" w:hanging="360"/>
      </w:pPr>
      <w:rPr>
        <w:rFonts w:ascii="Cambria" w:hAnsi="Cambria" w:hint="default"/>
        <w:sz w:val="22"/>
        <w:szCs w:val="22"/>
      </w:rPr>
    </w:lvl>
    <w:lvl w:ilvl="1" w:tplc="DCBCCD56">
      <w:start w:val="1"/>
      <w:numFmt w:val="decimal"/>
      <w:lvlText w:val="%2."/>
      <w:lvlJc w:val="left"/>
      <w:pPr>
        <w:ind w:left="1080" w:hanging="360"/>
      </w:pPr>
      <w:rPr>
        <w:rFont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631D1BA4"/>
    <w:multiLevelType w:val="hybridMultilevel"/>
    <w:tmpl w:val="070CC446"/>
    <w:lvl w:ilvl="0" w:tplc="04090005">
      <w:start w:val="1"/>
      <w:numFmt w:val="bullet"/>
      <w:lvlText w:val=""/>
      <w:lvlJc w:val="left"/>
      <w:pPr>
        <w:ind w:left="360" w:hanging="360"/>
      </w:pPr>
      <w:rPr>
        <w:rFonts w:ascii="Wingdings" w:hAnsi="Wingdings" w:hint="default"/>
      </w:rPr>
    </w:lvl>
    <w:lvl w:ilvl="1" w:tplc="659CA354">
      <w:numFmt w:val="bullet"/>
      <w:lvlText w:val="-"/>
      <w:lvlJc w:val="left"/>
      <w:pPr>
        <w:ind w:left="1080" w:hanging="360"/>
      </w:pPr>
      <w:rPr>
        <w:rFonts w:ascii="Cambria" w:eastAsiaTheme="minorHAnsi" w:hAnsi="Cambri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0001C0"/>
    <w:multiLevelType w:val="hybridMultilevel"/>
    <w:tmpl w:val="C75465CC"/>
    <w:lvl w:ilvl="0" w:tplc="C3EE209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90B68"/>
    <w:multiLevelType w:val="hybridMultilevel"/>
    <w:tmpl w:val="99A60F6C"/>
    <w:lvl w:ilvl="0" w:tplc="042F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06177F2"/>
    <w:multiLevelType w:val="hybridMultilevel"/>
    <w:tmpl w:val="7CD680F0"/>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73920"/>
    <w:multiLevelType w:val="hybridMultilevel"/>
    <w:tmpl w:val="5E0096F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nsid w:val="74F534EF"/>
    <w:multiLevelType w:val="hybridMultilevel"/>
    <w:tmpl w:val="7EAE6A60"/>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76C947E4"/>
    <w:multiLevelType w:val="hybridMultilevel"/>
    <w:tmpl w:val="C024C0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C4538AE"/>
    <w:multiLevelType w:val="hybridMultilevel"/>
    <w:tmpl w:val="764CA6A6"/>
    <w:lvl w:ilvl="0" w:tplc="AA9EE508">
      <w:start w:val="1"/>
      <w:numFmt w:val="bullet"/>
      <w:lvlText w:val="•"/>
      <w:lvlJc w:val="left"/>
      <w:pPr>
        <w:tabs>
          <w:tab w:val="num" w:pos="720"/>
        </w:tabs>
        <w:ind w:left="720" w:hanging="360"/>
      </w:pPr>
      <w:rPr>
        <w:rFonts w:ascii="Arial" w:hAnsi="Arial" w:hint="default"/>
      </w:rPr>
    </w:lvl>
    <w:lvl w:ilvl="1" w:tplc="87EA7E54">
      <w:start w:val="1"/>
      <w:numFmt w:val="bullet"/>
      <w:lvlText w:val="-"/>
      <w:lvlJc w:val="left"/>
      <w:pPr>
        <w:tabs>
          <w:tab w:val="num" w:pos="1440"/>
        </w:tabs>
        <w:ind w:left="1440" w:hanging="360"/>
      </w:pPr>
      <w:rPr>
        <w:rFonts w:ascii="Calibri" w:hAnsi="Calibri" w:hint="default"/>
      </w:rPr>
    </w:lvl>
    <w:lvl w:ilvl="2" w:tplc="04744904" w:tentative="1">
      <w:start w:val="1"/>
      <w:numFmt w:val="bullet"/>
      <w:lvlText w:val="•"/>
      <w:lvlJc w:val="left"/>
      <w:pPr>
        <w:tabs>
          <w:tab w:val="num" w:pos="2160"/>
        </w:tabs>
        <w:ind w:left="2160" w:hanging="360"/>
      </w:pPr>
      <w:rPr>
        <w:rFonts w:ascii="Arial" w:hAnsi="Arial" w:hint="default"/>
      </w:rPr>
    </w:lvl>
    <w:lvl w:ilvl="3" w:tplc="70FE2C80" w:tentative="1">
      <w:start w:val="1"/>
      <w:numFmt w:val="bullet"/>
      <w:lvlText w:val="•"/>
      <w:lvlJc w:val="left"/>
      <w:pPr>
        <w:tabs>
          <w:tab w:val="num" w:pos="2880"/>
        </w:tabs>
        <w:ind w:left="2880" w:hanging="360"/>
      </w:pPr>
      <w:rPr>
        <w:rFonts w:ascii="Arial" w:hAnsi="Arial" w:hint="default"/>
      </w:rPr>
    </w:lvl>
    <w:lvl w:ilvl="4" w:tplc="9926DE58" w:tentative="1">
      <w:start w:val="1"/>
      <w:numFmt w:val="bullet"/>
      <w:lvlText w:val="•"/>
      <w:lvlJc w:val="left"/>
      <w:pPr>
        <w:tabs>
          <w:tab w:val="num" w:pos="3600"/>
        </w:tabs>
        <w:ind w:left="3600" w:hanging="360"/>
      </w:pPr>
      <w:rPr>
        <w:rFonts w:ascii="Arial" w:hAnsi="Arial" w:hint="default"/>
      </w:rPr>
    </w:lvl>
    <w:lvl w:ilvl="5" w:tplc="78C227DE" w:tentative="1">
      <w:start w:val="1"/>
      <w:numFmt w:val="bullet"/>
      <w:lvlText w:val="•"/>
      <w:lvlJc w:val="left"/>
      <w:pPr>
        <w:tabs>
          <w:tab w:val="num" w:pos="4320"/>
        </w:tabs>
        <w:ind w:left="4320" w:hanging="360"/>
      </w:pPr>
      <w:rPr>
        <w:rFonts w:ascii="Arial" w:hAnsi="Arial" w:hint="default"/>
      </w:rPr>
    </w:lvl>
    <w:lvl w:ilvl="6" w:tplc="C93C8DD8" w:tentative="1">
      <w:start w:val="1"/>
      <w:numFmt w:val="bullet"/>
      <w:lvlText w:val="•"/>
      <w:lvlJc w:val="left"/>
      <w:pPr>
        <w:tabs>
          <w:tab w:val="num" w:pos="5040"/>
        </w:tabs>
        <w:ind w:left="5040" w:hanging="360"/>
      </w:pPr>
      <w:rPr>
        <w:rFonts w:ascii="Arial" w:hAnsi="Arial" w:hint="default"/>
      </w:rPr>
    </w:lvl>
    <w:lvl w:ilvl="7" w:tplc="0F4297AA" w:tentative="1">
      <w:start w:val="1"/>
      <w:numFmt w:val="bullet"/>
      <w:lvlText w:val="•"/>
      <w:lvlJc w:val="left"/>
      <w:pPr>
        <w:tabs>
          <w:tab w:val="num" w:pos="5760"/>
        </w:tabs>
        <w:ind w:left="5760" w:hanging="360"/>
      </w:pPr>
      <w:rPr>
        <w:rFonts w:ascii="Arial" w:hAnsi="Arial" w:hint="default"/>
      </w:rPr>
    </w:lvl>
    <w:lvl w:ilvl="8" w:tplc="04268E96" w:tentative="1">
      <w:start w:val="1"/>
      <w:numFmt w:val="bullet"/>
      <w:lvlText w:val="•"/>
      <w:lvlJc w:val="left"/>
      <w:pPr>
        <w:tabs>
          <w:tab w:val="num" w:pos="6480"/>
        </w:tabs>
        <w:ind w:left="6480" w:hanging="360"/>
      </w:pPr>
      <w:rPr>
        <w:rFonts w:ascii="Arial" w:hAnsi="Arial" w:hint="default"/>
      </w:rPr>
    </w:lvl>
  </w:abstractNum>
  <w:abstractNum w:abstractNumId="39">
    <w:nsid w:val="7D0B60DF"/>
    <w:multiLevelType w:val="hybridMultilevel"/>
    <w:tmpl w:val="9F24BC80"/>
    <w:lvl w:ilvl="0" w:tplc="0424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4"/>
  </w:num>
  <w:num w:numId="4">
    <w:abstractNumId w:val="24"/>
  </w:num>
  <w:num w:numId="5">
    <w:abstractNumId w:val="17"/>
  </w:num>
  <w:num w:numId="6">
    <w:abstractNumId w:val="18"/>
  </w:num>
  <w:num w:numId="7">
    <w:abstractNumId w:val="27"/>
  </w:num>
  <w:num w:numId="8">
    <w:abstractNumId w:val="0"/>
  </w:num>
  <w:num w:numId="9">
    <w:abstractNumId w:val="22"/>
  </w:num>
  <w:num w:numId="10">
    <w:abstractNumId w:val="30"/>
  </w:num>
  <w:num w:numId="11">
    <w:abstractNumId w:val="1"/>
  </w:num>
  <w:num w:numId="12">
    <w:abstractNumId w:val="39"/>
  </w:num>
  <w:num w:numId="13">
    <w:abstractNumId w:val="4"/>
  </w:num>
  <w:num w:numId="14">
    <w:abstractNumId w:val="29"/>
  </w:num>
  <w:num w:numId="15">
    <w:abstractNumId w:val="3"/>
  </w:num>
  <w:num w:numId="16">
    <w:abstractNumId w:val="21"/>
  </w:num>
  <w:num w:numId="17">
    <w:abstractNumId w:val="12"/>
  </w:num>
  <w:num w:numId="18">
    <w:abstractNumId w:val="33"/>
  </w:num>
  <w:num w:numId="19">
    <w:abstractNumId w:val="31"/>
  </w:num>
  <w:num w:numId="20">
    <w:abstractNumId w:val="26"/>
  </w:num>
  <w:num w:numId="21">
    <w:abstractNumId w:val="32"/>
  </w:num>
  <w:num w:numId="22">
    <w:abstractNumId w:val="2"/>
  </w:num>
  <w:num w:numId="23">
    <w:abstractNumId w:val="7"/>
  </w:num>
  <w:num w:numId="24">
    <w:abstractNumId w:val="15"/>
  </w:num>
  <w:num w:numId="25">
    <w:abstractNumId w:val="35"/>
  </w:num>
  <w:num w:numId="26">
    <w:abstractNumId w:val="13"/>
  </w:num>
  <w:num w:numId="27">
    <w:abstractNumId w:val="19"/>
  </w:num>
  <w:num w:numId="28">
    <w:abstractNumId w:val="8"/>
  </w:num>
  <w:num w:numId="29">
    <w:abstractNumId w:val="28"/>
  </w:num>
  <w:num w:numId="30">
    <w:abstractNumId w:val="34"/>
  </w:num>
  <w:num w:numId="31">
    <w:abstractNumId w:val="38"/>
  </w:num>
  <w:num w:numId="32">
    <w:abstractNumId w:val="5"/>
  </w:num>
  <w:num w:numId="33">
    <w:abstractNumId w:val="11"/>
  </w:num>
  <w:num w:numId="34">
    <w:abstractNumId w:val="16"/>
  </w:num>
  <w:num w:numId="35">
    <w:abstractNumId w:val="9"/>
  </w:num>
  <w:num w:numId="36">
    <w:abstractNumId w:val="20"/>
  </w:num>
  <w:num w:numId="37">
    <w:abstractNumId w:val="36"/>
  </w:num>
  <w:num w:numId="38">
    <w:abstractNumId w:val="37"/>
  </w:num>
  <w:num w:numId="39">
    <w:abstractNumId w:val="23"/>
  </w:num>
  <w:num w:numId="40">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0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DA06C9"/>
    <w:rsid w:val="00001F0F"/>
    <w:rsid w:val="00002A6E"/>
    <w:rsid w:val="0000543F"/>
    <w:rsid w:val="000056F1"/>
    <w:rsid w:val="00007364"/>
    <w:rsid w:val="00014AFB"/>
    <w:rsid w:val="00017764"/>
    <w:rsid w:val="00023E29"/>
    <w:rsid w:val="000260CD"/>
    <w:rsid w:val="000312B1"/>
    <w:rsid w:val="000358D1"/>
    <w:rsid w:val="00037EF9"/>
    <w:rsid w:val="0004593C"/>
    <w:rsid w:val="0004779E"/>
    <w:rsid w:val="00050811"/>
    <w:rsid w:val="00055896"/>
    <w:rsid w:val="00066CC4"/>
    <w:rsid w:val="000717EC"/>
    <w:rsid w:val="0007184F"/>
    <w:rsid w:val="000728FC"/>
    <w:rsid w:val="0007334B"/>
    <w:rsid w:val="000806C3"/>
    <w:rsid w:val="00084B36"/>
    <w:rsid w:val="00085901"/>
    <w:rsid w:val="00085AE2"/>
    <w:rsid w:val="000951AD"/>
    <w:rsid w:val="000A31F8"/>
    <w:rsid w:val="000A4DC0"/>
    <w:rsid w:val="000A57F6"/>
    <w:rsid w:val="000A74A3"/>
    <w:rsid w:val="000B0C03"/>
    <w:rsid w:val="000B304A"/>
    <w:rsid w:val="000B4213"/>
    <w:rsid w:val="000B4B13"/>
    <w:rsid w:val="000B6258"/>
    <w:rsid w:val="000C235F"/>
    <w:rsid w:val="000C7868"/>
    <w:rsid w:val="000C7CC4"/>
    <w:rsid w:val="000D2257"/>
    <w:rsid w:val="000D3781"/>
    <w:rsid w:val="000D42DC"/>
    <w:rsid w:val="000D5164"/>
    <w:rsid w:val="000D54E9"/>
    <w:rsid w:val="000E0A6E"/>
    <w:rsid w:val="000E15FC"/>
    <w:rsid w:val="000E3567"/>
    <w:rsid w:val="000E4975"/>
    <w:rsid w:val="000E507C"/>
    <w:rsid w:val="000E72A0"/>
    <w:rsid w:val="000F5F45"/>
    <w:rsid w:val="000F7D33"/>
    <w:rsid w:val="00102A79"/>
    <w:rsid w:val="001070D0"/>
    <w:rsid w:val="00114BEC"/>
    <w:rsid w:val="00115E1A"/>
    <w:rsid w:val="00123156"/>
    <w:rsid w:val="00123A85"/>
    <w:rsid w:val="00123FF0"/>
    <w:rsid w:val="0013406A"/>
    <w:rsid w:val="00135060"/>
    <w:rsid w:val="001363E1"/>
    <w:rsid w:val="0013747C"/>
    <w:rsid w:val="00140404"/>
    <w:rsid w:val="00141A61"/>
    <w:rsid w:val="00142033"/>
    <w:rsid w:val="00145DDD"/>
    <w:rsid w:val="00146E64"/>
    <w:rsid w:val="00160B04"/>
    <w:rsid w:val="00164B39"/>
    <w:rsid w:val="00173A75"/>
    <w:rsid w:val="00177044"/>
    <w:rsid w:val="00181460"/>
    <w:rsid w:val="00181EF2"/>
    <w:rsid w:val="0018458F"/>
    <w:rsid w:val="00185113"/>
    <w:rsid w:val="001874B5"/>
    <w:rsid w:val="001938E5"/>
    <w:rsid w:val="00194BDE"/>
    <w:rsid w:val="00194CA9"/>
    <w:rsid w:val="001953FF"/>
    <w:rsid w:val="001A3768"/>
    <w:rsid w:val="001A553F"/>
    <w:rsid w:val="001B2FF4"/>
    <w:rsid w:val="001B65CE"/>
    <w:rsid w:val="001C0517"/>
    <w:rsid w:val="001C5B1C"/>
    <w:rsid w:val="001C7D02"/>
    <w:rsid w:val="001D2719"/>
    <w:rsid w:val="001D2FCC"/>
    <w:rsid w:val="001E0902"/>
    <w:rsid w:val="001E0C53"/>
    <w:rsid w:val="001E3862"/>
    <w:rsid w:val="001E68E4"/>
    <w:rsid w:val="001F0B27"/>
    <w:rsid w:val="001F119D"/>
    <w:rsid w:val="001F1232"/>
    <w:rsid w:val="001F1244"/>
    <w:rsid w:val="001F3757"/>
    <w:rsid w:val="001F4414"/>
    <w:rsid w:val="002047CF"/>
    <w:rsid w:val="00204D27"/>
    <w:rsid w:val="00205855"/>
    <w:rsid w:val="002071E9"/>
    <w:rsid w:val="002120EE"/>
    <w:rsid w:val="00216F69"/>
    <w:rsid w:val="002173E7"/>
    <w:rsid w:val="00222567"/>
    <w:rsid w:val="002232C5"/>
    <w:rsid w:val="00225057"/>
    <w:rsid w:val="00225678"/>
    <w:rsid w:val="00231203"/>
    <w:rsid w:val="0023215E"/>
    <w:rsid w:val="00233C84"/>
    <w:rsid w:val="002351B1"/>
    <w:rsid w:val="00235E36"/>
    <w:rsid w:val="0023608F"/>
    <w:rsid w:val="002366A6"/>
    <w:rsid w:val="00246DD4"/>
    <w:rsid w:val="00255BC1"/>
    <w:rsid w:val="00255F91"/>
    <w:rsid w:val="0026469A"/>
    <w:rsid w:val="00266BD4"/>
    <w:rsid w:val="00266F07"/>
    <w:rsid w:val="00270C50"/>
    <w:rsid w:val="00271C5E"/>
    <w:rsid w:val="00272045"/>
    <w:rsid w:val="0027238D"/>
    <w:rsid w:val="00272DFC"/>
    <w:rsid w:val="00275C63"/>
    <w:rsid w:val="002762E4"/>
    <w:rsid w:val="002766B5"/>
    <w:rsid w:val="00276A2C"/>
    <w:rsid w:val="00276A94"/>
    <w:rsid w:val="00276B63"/>
    <w:rsid w:val="00280F72"/>
    <w:rsid w:val="00284F53"/>
    <w:rsid w:val="00292432"/>
    <w:rsid w:val="002953BC"/>
    <w:rsid w:val="00296051"/>
    <w:rsid w:val="0029770B"/>
    <w:rsid w:val="002A3315"/>
    <w:rsid w:val="002A44A0"/>
    <w:rsid w:val="002A73C2"/>
    <w:rsid w:val="002B520C"/>
    <w:rsid w:val="002C132C"/>
    <w:rsid w:val="002C50CB"/>
    <w:rsid w:val="002C6E8F"/>
    <w:rsid w:val="002D6335"/>
    <w:rsid w:val="002D6F62"/>
    <w:rsid w:val="002E1FEB"/>
    <w:rsid w:val="002E73D1"/>
    <w:rsid w:val="002F0E5B"/>
    <w:rsid w:val="002F2909"/>
    <w:rsid w:val="0030283B"/>
    <w:rsid w:val="00307B4D"/>
    <w:rsid w:val="00312484"/>
    <w:rsid w:val="0031456A"/>
    <w:rsid w:val="00314800"/>
    <w:rsid w:val="00316B12"/>
    <w:rsid w:val="00322AEB"/>
    <w:rsid w:val="0032380F"/>
    <w:rsid w:val="00332811"/>
    <w:rsid w:val="0033353F"/>
    <w:rsid w:val="003345DE"/>
    <w:rsid w:val="0034157B"/>
    <w:rsid w:val="00342864"/>
    <w:rsid w:val="00346EAA"/>
    <w:rsid w:val="003470EE"/>
    <w:rsid w:val="0034746C"/>
    <w:rsid w:val="003504F6"/>
    <w:rsid w:val="00355538"/>
    <w:rsid w:val="0036245D"/>
    <w:rsid w:val="0036471E"/>
    <w:rsid w:val="003649D3"/>
    <w:rsid w:val="00364EC7"/>
    <w:rsid w:val="00365DE5"/>
    <w:rsid w:val="00372853"/>
    <w:rsid w:val="00373246"/>
    <w:rsid w:val="00374056"/>
    <w:rsid w:val="0037436F"/>
    <w:rsid w:val="0037465D"/>
    <w:rsid w:val="00381C07"/>
    <w:rsid w:val="003922CA"/>
    <w:rsid w:val="00395BC5"/>
    <w:rsid w:val="00396AA6"/>
    <w:rsid w:val="003975FB"/>
    <w:rsid w:val="003A51F0"/>
    <w:rsid w:val="003A6C78"/>
    <w:rsid w:val="003A705B"/>
    <w:rsid w:val="003B12AC"/>
    <w:rsid w:val="003B1B8C"/>
    <w:rsid w:val="003B1BAD"/>
    <w:rsid w:val="003C049F"/>
    <w:rsid w:val="003C3953"/>
    <w:rsid w:val="003C527A"/>
    <w:rsid w:val="003C7BCA"/>
    <w:rsid w:val="003D3D46"/>
    <w:rsid w:val="003D7FEC"/>
    <w:rsid w:val="003E0C91"/>
    <w:rsid w:val="003E5E9C"/>
    <w:rsid w:val="003E6020"/>
    <w:rsid w:val="003E69BE"/>
    <w:rsid w:val="003E7382"/>
    <w:rsid w:val="003E7AE7"/>
    <w:rsid w:val="003F0390"/>
    <w:rsid w:val="003F10A8"/>
    <w:rsid w:val="003F38F1"/>
    <w:rsid w:val="003F5C2F"/>
    <w:rsid w:val="004032F1"/>
    <w:rsid w:val="00403B10"/>
    <w:rsid w:val="00404D8F"/>
    <w:rsid w:val="004052BF"/>
    <w:rsid w:val="00406159"/>
    <w:rsid w:val="0041199A"/>
    <w:rsid w:val="00413FE6"/>
    <w:rsid w:val="00414B77"/>
    <w:rsid w:val="00421DD2"/>
    <w:rsid w:val="00425433"/>
    <w:rsid w:val="00425CA9"/>
    <w:rsid w:val="004309F9"/>
    <w:rsid w:val="00431653"/>
    <w:rsid w:val="00431B4C"/>
    <w:rsid w:val="00432B1F"/>
    <w:rsid w:val="004365DE"/>
    <w:rsid w:val="00436AA3"/>
    <w:rsid w:val="00437065"/>
    <w:rsid w:val="00443B66"/>
    <w:rsid w:val="0044632A"/>
    <w:rsid w:val="0045255F"/>
    <w:rsid w:val="00452A0D"/>
    <w:rsid w:val="0045461F"/>
    <w:rsid w:val="00462F46"/>
    <w:rsid w:val="00463D97"/>
    <w:rsid w:val="00465C16"/>
    <w:rsid w:val="00473416"/>
    <w:rsid w:val="004739AF"/>
    <w:rsid w:val="00473AC8"/>
    <w:rsid w:val="00473D27"/>
    <w:rsid w:val="00476FE5"/>
    <w:rsid w:val="00481821"/>
    <w:rsid w:val="00482A92"/>
    <w:rsid w:val="00483C30"/>
    <w:rsid w:val="00486860"/>
    <w:rsid w:val="0049160E"/>
    <w:rsid w:val="00493400"/>
    <w:rsid w:val="004967EA"/>
    <w:rsid w:val="004A19DD"/>
    <w:rsid w:val="004B1678"/>
    <w:rsid w:val="004B590C"/>
    <w:rsid w:val="004B745C"/>
    <w:rsid w:val="004B74AB"/>
    <w:rsid w:val="004C0AF8"/>
    <w:rsid w:val="004C1125"/>
    <w:rsid w:val="004C799B"/>
    <w:rsid w:val="004D17C2"/>
    <w:rsid w:val="004D3049"/>
    <w:rsid w:val="004D30E1"/>
    <w:rsid w:val="004D327D"/>
    <w:rsid w:val="004D611E"/>
    <w:rsid w:val="004D681C"/>
    <w:rsid w:val="004D7F30"/>
    <w:rsid w:val="004E2225"/>
    <w:rsid w:val="004E3492"/>
    <w:rsid w:val="004E4054"/>
    <w:rsid w:val="004E5213"/>
    <w:rsid w:val="004E6FC2"/>
    <w:rsid w:val="004F23EA"/>
    <w:rsid w:val="004F2DB4"/>
    <w:rsid w:val="004F4141"/>
    <w:rsid w:val="0050030E"/>
    <w:rsid w:val="00501746"/>
    <w:rsid w:val="0050286B"/>
    <w:rsid w:val="00502A4A"/>
    <w:rsid w:val="0050302C"/>
    <w:rsid w:val="00511545"/>
    <w:rsid w:val="00516541"/>
    <w:rsid w:val="0052195D"/>
    <w:rsid w:val="0052219A"/>
    <w:rsid w:val="00523E19"/>
    <w:rsid w:val="00523F69"/>
    <w:rsid w:val="0052421C"/>
    <w:rsid w:val="00527782"/>
    <w:rsid w:val="00527B4C"/>
    <w:rsid w:val="00533612"/>
    <w:rsid w:val="005339EB"/>
    <w:rsid w:val="00535116"/>
    <w:rsid w:val="0053784E"/>
    <w:rsid w:val="00545030"/>
    <w:rsid w:val="00547395"/>
    <w:rsid w:val="005521F4"/>
    <w:rsid w:val="005533A0"/>
    <w:rsid w:val="0055591F"/>
    <w:rsid w:val="00556DC8"/>
    <w:rsid w:val="0056170D"/>
    <w:rsid w:val="00566726"/>
    <w:rsid w:val="00566E92"/>
    <w:rsid w:val="005721D1"/>
    <w:rsid w:val="00575932"/>
    <w:rsid w:val="00576F2A"/>
    <w:rsid w:val="00580D3C"/>
    <w:rsid w:val="005823D6"/>
    <w:rsid w:val="0058431C"/>
    <w:rsid w:val="00587278"/>
    <w:rsid w:val="005913E9"/>
    <w:rsid w:val="00591E02"/>
    <w:rsid w:val="00593A7E"/>
    <w:rsid w:val="00593EFC"/>
    <w:rsid w:val="00594409"/>
    <w:rsid w:val="00594543"/>
    <w:rsid w:val="005A11EA"/>
    <w:rsid w:val="005A5F53"/>
    <w:rsid w:val="005A659B"/>
    <w:rsid w:val="005A6943"/>
    <w:rsid w:val="005A7B52"/>
    <w:rsid w:val="005B3176"/>
    <w:rsid w:val="005B3CF2"/>
    <w:rsid w:val="005B5EAB"/>
    <w:rsid w:val="005C2AB8"/>
    <w:rsid w:val="005C4BC5"/>
    <w:rsid w:val="005C73E5"/>
    <w:rsid w:val="005D5A3D"/>
    <w:rsid w:val="005D5C09"/>
    <w:rsid w:val="005E01A3"/>
    <w:rsid w:val="005E27BC"/>
    <w:rsid w:val="005E3F96"/>
    <w:rsid w:val="005E52D9"/>
    <w:rsid w:val="005E7C88"/>
    <w:rsid w:val="005F346E"/>
    <w:rsid w:val="005F64FE"/>
    <w:rsid w:val="005F6648"/>
    <w:rsid w:val="00605648"/>
    <w:rsid w:val="00610688"/>
    <w:rsid w:val="006110E3"/>
    <w:rsid w:val="00612FF9"/>
    <w:rsid w:val="00613F96"/>
    <w:rsid w:val="006231DA"/>
    <w:rsid w:val="006238CB"/>
    <w:rsid w:val="00623D51"/>
    <w:rsid w:val="006247F8"/>
    <w:rsid w:val="0062497C"/>
    <w:rsid w:val="00627604"/>
    <w:rsid w:val="0063137F"/>
    <w:rsid w:val="00632C13"/>
    <w:rsid w:val="006339B0"/>
    <w:rsid w:val="00633B5F"/>
    <w:rsid w:val="00633F8F"/>
    <w:rsid w:val="00634F6A"/>
    <w:rsid w:val="00640621"/>
    <w:rsid w:val="00640DBF"/>
    <w:rsid w:val="006442CC"/>
    <w:rsid w:val="00644C94"/>
    <w:rsid w:val="006527C3"/>
    <w:rsid w:val="00652A5D"/>
    <w:rsid w:val="0066139C"/>
    <w:rsid w:val="006644BA"/>
    <w:rsid w:val="006664BA"/>
    <w:rsid w:val="006711DE"/>
    <w:rsid w:val="00680225"/>
    <w:rsid w:val="006827CA"/>
    <w:rsid w:val="00682ADA"/>
    <w:rsid w:val="0068745C"/>
    <w:rsid w:val="0068781C"/>
    <w:rsid w:val="00692E0C"/>
    <w:rsid w:val="0069610A"/>
    <w:rsid w:val="00697839"/>
    <w:rsid w:val="006A0735"/>
    <w:rsid w:val="006A3AA2"/>
    <w:rsid w:val="006A529A"/>
    <w:rsid w:val="006A5C7B"/>
    <w:rsid w:val="006C24ED"/>
    <w:rsid w:val="006C3CFA"/>
    <w:rsid w:val="006C526F"/>
    <w:rsid w:val="006C796E"/>
    <w:rsid w:val="006D02FE"/>
    <w:rsid w:val="006D281D"/>
    <w:rsid w:val="006D3DC9"/>
    <w:rsid w:val="006D5CE5"/>
    <w:rsid w:val="006E10C8"/>
    <w:rsid w:val="006E2FB6"/>
    <w:rsid w:val="006F1132"/>
    <w:rsid w:val="006F11DA"/>
    <w:rsid w:val="006F46ED"/>
    <w:rsid w:val="006F4E9A"/>
    <w:rsid w:val="006F4F2E"/>
    <w:rsid w:val="006F613F"/>
    <w:rsid w:val="0070225E"/>
    <w:rsid w:val="00710376"/>
    <w:rsid w:val="00716103"/>
    <w:rsid w:val="00716D04"/>
    <w:rsid w:val="00716F63"/>
    <w:rsid w:val="00717715"/>
    <w:rsid w:val="007221C3"/>
    <w:rsid w:val="00722CD0"/>
    <w:rsid w:val="00724966"/>
    <w:rsid w:val="00727B1F"/>
    <w:rsid w:val="007334B5"/>
    <w:rsid w:val="00736F12"/>
    <w:rsid w:val="007371D3"/>
    <w:rsid w:val="00740761"/>
    <w:rsid w:val="0074090B"/>
    <w:rsid w:val="00741B82"/>
    <w:rsid w:val="007530E9"/>
    <w:rsid w:val="00754E2A"/>
    <w:rsid w:val="00755716"/>
    <w:rsid w:val="0075643B"/>
    <w:rsid w:val="007646C1"/>
    <w:rsid w:val="00765DA9"/>
    <w:rsid w:val="00766346"/>
    <w:rsid w:val="0076699A"/>
    <w:rsid w:val="00770360"/>
    <w:rsid w:val="00771390"/>
    <w:rsid w:val="007720AA"/>
    <w:rsid w:val="007742BC"/>
    <w:rsid w:val="00776BBA"/>
    <w:rsid w:val="00780E63"/>
    <w:rsid w:val="00780F5E"/>
    <w:rsid w:val="0078673E"/>
    <w:rsid w:val="00793E98"/>
    <w:rsid w:val="007946EA"/>
    <w:rsid w:val="007A1C12"/>
    <w:rsid w:val="007A4C20"/>
    <w:rsid w:val="007A62F4"/>
    <w:rsid w:val="007B02D2"/>
    <w:rsid w:val="007C5560"/>
    <w:rsid w:val="007C6393"/>
    <w:rsid w:val="007C7544"/>
    <w:rsid w:val="007D03B3"/>
    <w:rsid w:val="007D2C2A"/>
    <w:rsid w:val="007D40C2"/>
    <w:rsid w:val="007D7160"/>
    <w:rsid w:val="007E3FFE"/>
    <w:rsid w:val="007E7AB4"/>
    <w:rsid w:val="007F1E56"/>
    <w:rsid w:val="007F6886"/>
    <w:rsid w:val="007F707E"/>
    <w:rsid w:val="007F72A4"/>
    <w:rsid w:val="007F7EA0"/>
    <w:rsid w:val="00800AA6"/>
    <w:rsid w:val="00802C93"/>
    <w:rsid w:val="00803505"/>
    <w:rsid w:val="0080437C"/>
    <w:rsid w:val="00804694"/>
    <w:rsid w:val="00805C3C"/>
    <w:rsid w:val="00806598"/>
    <w:rsid w:val="00806815"/>
    <w:rsid w:val="00811065"/>
    <w:rsid w:val="00812BD8"/>
    <w:rsid w:val="00817C76"/>
    <w:rsid w:val="00824BA5"/>
    <w:rsid w:val="00824F58"/>
    <w:rsid w:val="00830225"/>
    <w:rsid w:val="0083638C"/>
    <w:rsid w:val="00836D1D"/>
    <w:rsid w:val="00842082"/>
    <w:rsid w:val="00843CF4"/>
    <w:rsid w:val="0085041F"/>
    <w:rsid w:val="00852093"/>
    <w:rsid w:val="00853EF0"/>
    <w:rsid w:val="00854B98"/>
    <w:rsid w:val="00861702"/>
    <w:rsid w:val="00864E9B"/>
    <w:rsid w:val="00865C8B"/>
    <w:rsid w:val="00865FFD"/>
    <w:rsid w:val="00874AA3"/>
    <w:rsid w:val="008766DA"/>
    <w:rsid w:val="0087736F"/>
    <w:rsid w:val="0088019E"/>
    <w:rsid w:val="00884410"/>
    <w:rsid w:val="00885EA6"/>
    <w:rsid w:val="008870B3"/>
    <w:rsid w:val="008903D5"/>
    <w:rsid w:val="00891023"/>
    <w:rsid w:val="00896654"/>
    <w:rsid w:val="008A576B"/>
    <w:rsid w:val="008A6A05"/>
    <w:rsid w:val="008B0908"/>
    <w:rsid w:val="008B0A04"/>
    <w:rsid w:val="008B1D1B"/>
    <w:rsid w:val="008B1D9C"/>
    <w:rsid w:val="008B29AD"/>
    <w:rsid w:val="008B308D"/>
    <w:rsid w:val="008B322D"/>
    <w:rsid w:val="008B4DA3"/>
    <w:rsid w:val="008B593B"/>
    <w:rsid w:val="008B78CB"/>
    <w:rsid w:val="008C22A8"/>
    <w:rsid w:val="008D6738"/>
    <w:rsid w:val="008D70A3"/>
    <w:rsid w:val="008E0A1A"/>
    <w:rsid w:val="008E2AC5"/>
    <w:rsid w:val="008F0DF1"/>
    <w:rsid w:val="008F2DBB"/>
    <w:rsid w:val="008F48B5"/>
    <w:rsid w:val="00900D46"/>
    <w:rsid w:val="0090302B"/>
    <w:rsid w:val="00903308"/>
    <w:rsid w:val="00903A1F"/>
    <w:rsid w:val="0090441A"/>
    <w:rsid w:val="00910108"/>
    <w:rsid w:val="009103AD"/>
    <w:rsid w:val="00910D7F"/>
    <w:rsid w:val="009142B3"/>
    <w:rsid w:val="00914557"/>
    <w:rsid w:val="00917D80"/>
    <w:rsid w:val="009205AB"/>
    <w:rsid w:val="00922A5E"/>
    <w:rsid w:val="00925E36"/>
    <w:rsid w:val="00926C1C"/>
    <w:rsid w:val="00933C26"/>
    <w:rsid w:val="00936A32"/>
    <w:rsid w:val="00936CA1"/>
    <w:rsid w:val="0094002D"/>
    <w:rsid w:val="00941690"/>
    <w:rsid w:val="00942193"/>
    <w:rsid w:val="00945446"/>
    <w:rsid w:val="00953238"/>
    <w:rsid w:val="00955A52"/>
    <w:rsid w:val="0096055C"/>
    <w:rsid w:val="00961474"/>
    <w:rsid w:val="009715DE"/>
    <w:rsid w:val="00975379"/>
    <w:rsid w:val="0098246D"/>
    <w:rsid w:val="00983497"/>
    <w:rsid w:val="009845E9"/>
    <w:rsid w:val="00986F70"/>
    <w:rsid w:val="00991A1C"/>
    <w:rsid w:val="009A2AEE"/>
    <w:rsid w:val="009A3205"/>
    <w:rsid w:val="009A3C8E"/>
    <w:rsid w:val="009A6334"/>
    <w:rsid w:val="009A64ED"/>
    <w:rsid w:val="009A66E5"/>
    <w:rsid w:val="009B06E4"/>
    <w:rsid w:val="009B1EE4"/>
    <w:rsid w:val="009B1F74"/>
    <w:rsid w:val="009B3320"/>
    <w:rsid w:val="009B40EE"/>
    <w:rsid w:val="009B48A5"/>
    <w:rsid w:val="009B4F22"/>
    <w:rsid w:val="009C0CAC"/>
    <w:rsid w:val="009C25C1"/>
    <w:rsid w:val="009C4503"/>
    <w:rsid w:val="009C6E36"/>
    <w:rsid w:val="009D0780"/>
    <w:rsid w:val="009D0CB2"/>
    <w:rsid w:val="009D1404"/>
    <w:rsid w:val="009D150F"/>
    <w:rsid w:val="009D154E"/>
    <w:rsid w:val="009D1629"/>
    <w:rsid w:val="009D27A9"/>
    <w:rsid w:val="009E207A"/>
    <w:rsid w:val="009E2C87"/>
    <w:rsid w:val="009E667A"/>
    <w:rsid w:val="009E7DC3"/>
    <w:rsid w:val="009F3494"/>
    <w:rsid w:val="00A01B40"/>
    <w:rsid w:val="00A051FE"/>
    <w:rsid w:val="00A07DEE"/>
    <w:rsid w:val="00A13EDD"/>
    <w:rsid w:val="00A140D6"/>
    <w:rsid w:val="00A143F2"/>
    <w:rsid w:val="00A15D4E"/>
    <w:rsid w:val="00A169C8"/>
    <w:rsid w:val="00A16BC0"/>
    <w:rsid w:val="00A2069D"/>
    <w:rsid w:val="00A33F98"/>
    <w:rsid w:val="00A34888"/>
    <w:rsid w:val="00A53DF7"/>
    <w:rsid w:val="00A54304"/>
    <w:rsid w:val="00A5511D"/>
    <w:rsid w:val="00A555DD"/>
    <w:rsid w:val="00A60C11"/>
    <w:rsid w:val="00A614E6"/>
    <w:rsid w:val="00A663D5"/>
    <w:rsid w:val="00A71463"/>
    <w:rsid w:val="00A73130"/>
    <w:rsid w:val="00A739FF"/>
    <w:rsid w:val="00A75196"/>
    <w:rsid w:val="00A7656C"/>
    <w:rsid w:val="00A80443"/>
    <w:rsid w:val="00A8165B"/>
    <w:rsid w:val="00A86204"/>
    <w:rsid w:val="00A901AE"/>
    <w:rsid w:val="00A901B4"/>
    <w:rsid w:val="00A926E1"/>
    <w:rsid w:val="00A92B0E"/>
    <w:rsid w:val="00A93795"/>
    <w:rsid w:val="00A955B0"/>
    <w:rsid w:val="00A96C9D"/>
    <w:rsid w:val="00A97E25"/>
    <w:rsid w:val="00AA1A44"/>
    <w:rsid w:val="00AA4FCB"/>
    <w:rsid w:val="00AA56E7"/>
    <w:rsid w:val="00AB0128"/>
    <w:rsid w:val="00AB0C76"/>
    <w:rsid w:val="00AB3B2A"/>
    <w:rsid w:val="00AB3D8C"/>
    <w:rsid w:val="00AB50D5"/>
    <w:rsid w:val="00AC25CE"/>
    <w:rsid w:val="00AC3954"/>
    <w:rsid w:val="00AC4A47"/>
    <w:rsid w:val="00AC6A4D"/>
    <w:rsid w:val="00AD0E36"/>
    <w:rsid w:val="00AD1B90"/>
    <w:rsid w:val="00AE0369"/>
    <w:rsid w:val="00AE235C"/>
    <w:rsid w:val="00AE3738"/>
    <w:rsid w:val="00AE44BD"/>
    <w:rsid w:val="00AE4CDD"/>
    <w:rsid w:val="00AF2498"/>
    <w:rsid w:val="00B0266D"/>
    <w:rsid w:val="00B02D23"/>
    <w:rsid w:val="00B03006"/>
    <w:rsid w:val="00B104E7"/>
    <w:rsid w:val="00B12AB6"/>
    <w:rsid w:val="00B12F63"/>
    <w:rsid w:val="00B21E3D"/>
    <w:rsid w:val="00B2221B"/>
    <w:rsid w:val="00B27481"/>
    <w:rsid w:val="00B42D7E"/>
    <w:rsid w:val="00B442CA"/>
    <w:rsid w:val="00B5222C"/>
    <w:rsid w:val="00B55436"/>
    <w:rsid w:val="00B61002"/>
    <w:rsid w:val="00B66CE8"/>
    <w:rsid w:val="00B66D81"/>
    <w:rsid w:val="00B67260"/>
    <w:rsid w:val="00B679CD"/>
    <w:rsid w:val="00B707A4"/>
    <w:rsid w:val="00B740A1"/>
    <w:rsid w:val="00B80901"/>
    <w:rsid w:val="00B81B19"/>
    <w:rsid w:val="00B83471"/>
    <w:rsid w:val="00B8464F"/>
    <w:rsid w:val="00B85597"/>
    <w:rsid w:val="00B8622D"/>
    <w:rsid w:val="00B87F88"/>
    <w:rsid w:val="00B918A9"/>
    <w:rsid w:val="00B927B2"/>
    <w:rsid w:val="00B93947"/>
    <w:rsid w:val="00BA1FDF"/>
    <w:rsid w:val="00BA627E"/>
    <w:rsid w:val="00BB5974"/>
    <w:rsid w:val="00BC0BC8"/>
    <w:rsid w:val="00BC1F7E"/>
    <w:rsid w:val="00BC319B"/>
    <w:rsid w:val="00BC36BE"/>
    <w:rsid w:val="00BC4130"/>
    <w:rsid w:val="00BC44E5"/>
    <w:rsid w:val="00BC481B"/>
    <w:rsid w:val="00BC5E16"/>
    <w:rsid w:val="00BC69FF"/>
    <w:rsid w:val="00BC77D5"/>
    <w:rsid w:val="00BD67E4"/>
    <w:rsid w:val="00BD7203"/>
    <w:rsid w:val="00BE0E5B"/>
    <w:rsid w:val="00BF0C19"/>
    <w:rsid w:val="00BF2142"/>
    <w:rsid w:val="00BF40F7"/>
    <w:rsid w:val="00BF4B7C"/>
    <w:rsid w:val="00C03986"/>
    <w:rsid w:val="00C058B9"/>
    <w:rsid w:val="00C0597A"/>
    <w:rsid w:val="00C06E5B"/>
    <w:rsid w:val="00C13488"/>
    <w:rsid w:val="00C15925"/>
    <w:rsid w:val="00C24777"/>
    <w:rsid w:val="00C33F7E"/>
    <w:rsid w:val="00C35DA9"/>
    <w:rsid w:val="00C40FEE"/>
    <w:rsid w:val="00C4122A"/>
    <w:rsid w:val="00C4151A"/>
    <w:rsid w:val="00C43791"/>
    <w:rsid w:val="00C43D2C"/>
    <w:rsid w:val="00C43E2B"/>
    <w:rsid w:val="00C468F5"/>
    <w:rsid w:val="00C519C2"/>
    <w:rsid w:val="00C5596D"/>
    <w:rsid w:val="00C57437"/>
    <w:rsid w:val="00C57A68"/>
    <w:rsid w:val="00C61FC3"/>
    <w:rsid w:val="00C672D9"/>
    <w:rsid w:val="00C70E53"/>
    <w:rsid w:val="00C8311D"/>
    <w:rsid w:val="00C8416C"/>
    <w:rsid w:val="00C846B1"/>
    <w:rsid w:val="00C85E50"/>
    <w:rsid w:val="00C871B2"/>
    <w:rsid w:val="00C87A66"/>
    <w:rsid w:val="00C901BF"/>
    <w:rsid w:val="00C91AB6"/>
    <w:rsid w:val="00C9458B"/>
    <w:rsid w:val="00C954A0"/>
    <w:rsid w:val="00CA1329"/>
    <w:rsid w:val="00CA3507"/>
    <w:rsid w:val="00CA7B33"/>
    <w:rsid w:val="00CB0A83"/>
    <w:rsid w:val="00CB506A"/>
    <w:rsid w:val="00CB6451"/>
    <w:rsid w:val="00CB655A"/>
    <w:rsid w:val="00CB6F1B"/>
    <w:rsid w:val="00CB7082"/>
    <w:rsid w:val="00CC00B2"/>
    <w:rsid w:val="00CC1699"/>
    <w:rsid w:val="00CC1C73"/>
    <w:rsid w:val="00CC1F93"/>
    <w:rsid w:val="00CC22A6"/>
    <w:rsid w:val="00CD3E0B"/>
    <w:rsid w:val="00CE2E18"/>
    <w:rsid w:val="00CE426E"/>
    <w:rsid w:val="00CE48EC"/>
    <w:rsid w:val="00CE6A25"/>
    <w:rsid w:val="00CE79A9"/>
    <w:rsid w:val="00CE7F87"/>
    <w:rsid w:val="00CF2150"/>
    <w:rsid w:val="00CF38F5"/>
    <w:rsid w:val="00CF6415"/>
    <w:rsid w:val="00CF7FA3"/>
    <w:rsid w:val="00D00340"/>
    <w:rsid w:val="00D031F8"/>
    <w:rsid w:val="00D04B40"/>
    <w:rsid w:val="00D07E4C"/>
    <w:rsid w:val="00D11296"/>
    <w:rsid w:val="00D1510E"/>
    <w:rsid w:val="00D17489"/>
    <w:rsid w:val="00D276CA"/>
    <w:rsid w:val="00D3113D"/>
    <w:rsid w:val="00D314E3"/>
    <w:rsid w:val="00D3165F"/>
    <w:rsid w:val="00D34DAE"/>
    <w:rsid w:val="00D35D39"/>
    <w:rsid w:val="00D403AE"/>
    <w:rsid w:val="00D41BA1"/>
    <w:rsid w:val="00D4344D"/>
    <w:rsid w:val="00D43D8A"/>
    <w:rsid w:val="00D4523C"/>
    <w:rsid w:val="00D458A7"/>
    <w:rsid w:val="00D50195"/>
    <w:rsid w:val="00D5174A"/>
    <w:rsid w:val="00D5533C"/>
    <w:rsid w:val="00D56478"/>
    <w:rsid w:val="00D56A0F"/>
    <w:rsid w:val="00D57C04"/>
    <w:rsid w:val="00D62334"/>
    <w:rsid w:val="00D6234A"/>
    <w:rsid w:val="00D63561"/>
    <w:rsid w:val="00D64149"/>
    <w:rsid w:val="00D6627B"/>
    <w:rsid w:val="00D732B2"/>
    <w:rsid w:val="00D800A0"/>
    <w:rsid w:val="00D81279"/>
    <w:rsid w:val="00D822A2"/>
    <w:rsid w:val="00D851A1"/>
    <w:rsid w:val="00D86412"/>
    <w:rsid w:val="00D91EC5"/>
    <w:rsid w:val="00D920C5"/>
    <w:rsid w:val="00D957E9"/>
    <w:rsid w:val="00DA06C9"/>
    <w:rsid w:val="00DB0A8F"/>
    <w:rsid w:val="00DB6044"/>
    <w:rsid w:val="00DB7C5A"/>
    <w:rsid w:val="00DC17C4"/>
    <w:rsid w:val="00DC350E"/>
    <w:rsid w:val="00DC7542"/>
    <w:rsid w:val="00DD30B3"/>
    <w:rsid w:val="00DD4A39"/>
    <w:rsid w:val="00DD5D06"/>
    <w:rsid w:val="00DD6F9E"/>
    <w:rsid w:val="00DE0B76"/>
    <w:rsid w:val="00DE1D93"/>
    <w:rsid w:val="00DE5B1F"/>
    <w:rsid w:val="00DF2F82"/>
    <w:rsid w:val="00DF342B"/>
    <w:rsid w:val="00DF3799"/>
    <w:rsid w:val="00DF439E"/>
    <w:rsid w:val="00DF5590"/>
    <w:rsid w:val="00DF578D"/>
    <w:rsid w:val="00DF650D"/>
    <w:rsid w:val="00E0199F"/>
    <w:rsid w:val="00E02A46"/>
    <w:rsid w:val="00E03D5D"/>
    <w:rsid w:val="00E04118"/>
    <w:rsid w:val="00E04E03"/>
    <w:rsid w:val="00E06FC2"/>
    <w:rsid w:val="00E11647"/>
    <w:rsid w:val="00E16AF6"/>
    <w:rsid w:val="00E20687"/>
    <w:rsid w:val="00E21D3D"/>
    <w:rsid w:val="00E222BD"/>
    <w:rsid w:val="00E2531B"/>
    <w:rsid w:val="00E27FCA"/>
    <w:rsid w:val="00E3049C"/>
    <w:rsid w:val="00E315A0"/>
    <w:rsid w:val="00E3237A"/>
    <w:rsid w:val="00E33076"/>
    <w:rsid w:val="00E35DC8"/>
    <w:rsid w:val="00E36111"/>
    <w:rsid w:val="00E41036"/>
    <w:rsid w:val="00E47085"/>
    <w:rsid w:val="00E51B0E"/>
    <w:rsid w:val="00E52552"/>
    <w:rsid w:val="00E5640C"/>
    <w:rsid w:val="00E57268"/>
    <w:rsid w:val="00E61197"/>
    <w:rsid w:val="00E62642"/>
    <w:rsid w:val="00E62759"/>
    <w:rsid w:val="00E650EC"/>
    <w:rsid w:val="00E66FDD"/>
    <w:rsid w:val="00E67D5B"/>
    <w:rsid w:val="00E70DD1"/>
    <w:rsid w:val="00E72EEA"/>
    <w:rsid w:val="00E739A9"/>
    <w:rsid w:val="00E75C49"/>
    <w:rsid w:val="00E761AE"/>
    <w:rsid w:val="00E8339E"/>
    <w:rsid w:val="00E83740"/>
    <w:rsid w:val="00E84B99"/>
    <w:rsid w:val="00E87176"/>
    <w:rsid w:val="00E90253"/>
    <w:rsid w:val="00E9293B"/>
    <w:rsid w:val="00E97849"/>
    <w:rsid w:val="00EA016B"/>
    <w:rsid w:val="00EA2BDC"/>
    <w:rsid w:val="00EA45FD"/>
    <w:rsid w:val="00EA797F"/>
    <w:rsid w:val="00EB00CC"/>
    <w:rsid w:val="00EB68D1"/>
    <w:rsid w:val="00EC3261"/>
    <w:rsid w:val="00EC55A2"/>
    <w:rsid w:val="00EC6919"/>
    <w:rsid w:val="00EC745E"/>
    <w:rsid w:val="00ED1ADB"/>
    <w:rsid w:val="00ED4AEE"/>
    <w:rsid w:val="00ED72C9"/>
    <w:rsid w:val="00EE03C8"/>
    <w:rsid w:val="00EE3B4D"/>
    <w:rsid w:val="00EE4632"/>
    <w:rsid w:val="00EF0265"/>
    <w:rsid w:val="00EF05B5"/>
    <w:rsid w:val="00EF11C0"/>
    <w:rsid w:val="00EF1267"/>
    <w:rsid w:val="00EF3C91"/>
    <w:rsid w:val="00EF77D6"/>
    <w:rsid w:val="00F014E7"/>
    <w:rsid w:val="00F059AF"/>
    <w:rsid w:val="00F0787D"/>
    <w:rsid w:val="00F1476F"/>
    <w:rsid w:val="00F16DD6"/>
    <w:rsid w:val="00F16DF8"/>
    <w:rsid w:val="00F218E8"/>
    <w:rsid w:val="00F2426A"/>
    <w:rsid w:val="00F31DA9"/>
    <w:rsid w:val="00F34769"/>
    <w:rsid w:val="00F36F4A"/>
    <w:rsid w:val="00F4020D"/>
    <w:rsid w:val="00F4557B"/>
    <w:rsid w:val="00F4651A"/>
    <w:rsid w:val="00F47510"/>
    <w:rsid w:val="00F52613"/>
    <w:rsid w:val="00F5286F"/>
    <w:rsid w:val="00F54FF3"/>
    <w:rsid w:val="00F578C6"/>
    <w:rsid w:val="00F608CF"/>
    <w:rsid w:val="00F64335"/>
    <w:rsid w:val="00F65DC5"/>
    <w:rsid w:val="00F72821"/>
    <w:rsid w:val="00F72B84"/>
    <w:rsid w:val="00F7360E"/>
    <w:rsid w:val="00F81980"/>
    <w:rsid w:val="00F83593"/>
    <w:rsid w:val="00F851E4"/>
    <w:rsid w:val="00F86FCC"/>
    <w:rsid w:val="00F878D7"/>
    <w:rsid w:val="00F91E92"/>
    <w:rsid w:val="00F960A0"/>
    <w:rsid w:val="00FA0D85"/>
    <w:rsid w:val="00FA1757"/>
    <w:rsid w:val="00FA3C88"/>
    <w:rsid w:val="00FA59E0"/>
    <w:rsid w:val="00FB1C38"/>
    <w:rsid w:val="00FB209B"/>
    <w:rsid w:val="00FB60A8"/>
    <w:rsid w:val="00FC4BCF"/>
    <w:rsid w:val="00FD0919"/>
    <w:rsid w:val="00FD14DD"/>
    <w:rsid w:val="00FD4AC0"/>
    <w:rsid w:val="00FD6BED"/>
    <w:rsid w:val="00FE7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szCs w:val="18"/>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55"/>
    <w:rPr>
      <w:lang w:val="en-GB"/>
    </w:rPr>
  </w:style>
  <w:style w:type="paragraph" w:styleId="Heading1">
    <w:name w:val="heading 1"/>
    <w:basedOn w:val="Normal"/>
    <w:next w:val="Normal"/>
    <w:link w:val="Heading1Char"/>
    <w:uiPriority w:val="9"/>
    <w:qFormat/>
    <w:rsid w:val="00F16DF8"/>
    <w:pPr>
      <w:keepNext/>
      <w:keepLines/>
      <w:numPr>
        <w:numId w:val="5"/>
      </w:numPr>
      <w:shd w:val="clear" w:color="auto" w:fill="2F5496" w:themeFill="accent1" w:themeFillShade="BF"/>
      <w:spacing w:before="240"/>
      <w:outlineLvl w:val="0"/>
    </w:pPr>
    <w:rPr>
      <w:rFonts w:eastAsiaTheme="majorEastAsia" w:cstheme="majorBidi"/>
      <w:b/>
      <w:color w:val="FFFFFF" w:themeColor="background1"/>
      <w:sz w:val="26"/>
      <w:szCs w:val="32"/>
    </w:rPr>
  </w:style>
  <w:style w:type="paragraph" w:styleId="Heading2">
    <w:name w:val="heading 2"/>
    <w:basedOn w:val="Normal"/>
    <w:next w:val="Normal"/>
    <w:link w:val="Heading2Char"/>
    <w:uiPriority w:val="9"/>
    <w:unhideWhenUsed/>
    <w:qFormat/>
    <w:rsid w:val="004D327D"/>
    <w:pPr>
      <w:keepNext/>
      <w:keepLines/>
      <w:spacing w:before="4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7E3FFE"/>
    <w:pPr>
      <w:keepNext/>
      <w:keepLines/>
      <w:spacing w:before="40"/>
      <w:outlineLvl w:val="2"/>
    </w:pPr>
    <w:rPr>
      <w:rFonts w:eastAsiaTheme="majorEastAsia" w:cstheme="majorBidi"/>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DF8"/>
    <w:rPr>
      <w:rFonts w:eastAsiaTheme="majorEastAsia" w:cstheme="majorBidi"/>
      <w:b/>
      <w:color w:val="FFFFFF" w:themeColor="background1"/>
      <w:sz w:val="26"/>
      <w:szCs w:val="32"/>
      <w:shd w:val="clear" w:color="auto" w:fill="2F5496" w:themeFill="accent1" w:themeFillShade="BF"/>
      <w:lang w:val="en-GB"/>
    </w:rPr>
  </w:style>
  <w:style w:type="character" w:customStyle="1" w:styleId="Heading2Char">
    <w:name w:val="Heading 2 Char"/>
    <w:basedOn w:val="DefaultParagraphFont"/>
    <w:link w:val="Heading2"/>
    <w:uiPriority w:val="9"/>
    <w:rsid w:val="004D327D"/>
    <w:rPr>
      <w:rFonts w:eastAsiaTheme="majorEastAsia" w:cstheme="majorBidi"/>
      <w:b/>
      <w:color w:val="2F5496" w:themeColor="accent1" w:themeShade="BF"/>
      <w:sz w:val="24"/>
      <w:szCs w:val="26"/>
      <w:lang w:val="en-GB"/>
    </w:rPr>
  </w:style>
  <w:style w:type="character" w:customStyle="1" w:styleId="Heading3Char">
    <w:name w:val="Heading 3 Char"/>
    <w:basedOn w:val="DefaultParagraphFont"/>
    <w:link w:val="Heading3"/>
    <w:uiPriority w:val="9"/>
    <w:rsid w:val="007E3FFE"/>
    <w:rPr>
      <w:rFonts w:eastAsiaTheme="majorEastAsia" w:cstheme="majorBidi"/>
      <w:b/>
      <w:color w:val="000000" w:themeColor="text1"/>
      <w:sz w:val="22"/>
      <w:szCs w:val="24"/>
      <w:lang w:val="en-GB"/>
    </w:rPr>
  </w:style>
  <w:style w:type="paragraph" w:styleId="ListParagraph">
    <w:name w:val="List Paragraph"/>
    <w:aliases w:val="Bullet Points,Liststycke SKL,Bullet list,Table of contents numbered,Liste Paragraf,Normal bullet 2,içindekiler vb,Sombreado multicolor - Énfasis 31,List Paragraph1,Bullet OFM,List Paragraph (numbered (a)),List Paragraph11,Numbered List"/>
    <w:basedOn w:val="Normal"/>
    <w:link w:val="ListParagraphChar"/>
    <w:uiPriority w:val="34"/>
    <w:qFormat/>
    <w:rsid w:val="00DA06C9"/>
    <w:pPr>
      <w:ind w:left="720"/>
      <w:contextualSpacing/>
    </w:p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 Paragraph1 Char,Bullet OFM Char"/>
    <w:link w:val="ListParagraph"/>
    <w:uiPriority w:val="34"/>
    <w:qFormat/>
    <w:locked/>
    <w:rsid w:val="009F3494"/>
    <w:rPr>
      <w:lang w:val="en-GB"/>
    </w:rPr>
  </w:style>
  <w:style w:type="paragraph" w:styleId="FootnoteText">
    <w:name w:val="footnote text"/>
    <w:aliases w:val="single space,footnote text,FOOTNOTES,fn,Testo nota a piè di pagina Carattere,Geneva 9,Font: Geneva 9,Boston 10,f,Footnote Text Char Char,Footnote Text Char Char Char,ft,Voetnoottekst Maarten,Fußnote,Footnote Text Char1 Char,A"/>
    <w:basedOn w:val="Normal"/>
    <w:link w:val="FootnoteTextChar"/>
    <w:uiPriority w:val="99"/>
    <w:unhideWhenUsed/>
    <w:rsid w:val="00DA06C9"/>
    <w:rPr>
      <w:rFonts w:asciiTheme="minorHAnsi" w:hAnsiTheme="minorHAnsi" w:cstheme="minorBidi"/>
      <w:szCs w:val="20"/>
      <w:lang w:val="en-US"/>
    </w:rPr>
  </w:style>
  <w:style w:type="character" w:customStyle="1" w:styleId="FootnoteTextChar">
    <w:name w:val="Footnote Text Char"/>
    <w:aliases w:val="single space Char,footnote text Char,FOOTNOTES Char,fn Char,Testo nota a piè di pagina Carattere Char,Geneva 9 Char,Font: Geneva 9 Char,Boston 10 Char,f Char,Footnote Text Char Char Char1,Footnote Text Char Char Char Char,ft Char"/>
    <w:basedOn w:val="DefaultParagraphFont"/>
    <w:link w:val="FootnoteText"/>
    <w:uiPriority w:val="99"/>
    <w:rsid w:val="00DA06C9"/>
    <w:rPr>
      <w:rFonts w:asciiTheme="minorHAnsi" w:hAnsiTheme="minorHAnsi" w:cstheme="minorBidi"/>
      <w:szCs w:val="20"/>
      <w:lang w:val="en-US"/>
    </w:rPr>
  </w:style>
  <w:style w:type="character" w:styleId="FootnoteReference">
    <w:name w:val="footnote reference"/>
    <w:aliases w:val="16 Point,Superscript 6 Point"/>
    <w:basedOn w:val="DefaultParagraphFont"/>
    <w:uiPriority w:val="99"/>
    <w:unhideWhenUsed/>
    <w:rsid w:val="00DA06C9"/>
    <w:rPr>
      <w:vertAlign w:val="superscript"/>
    </w:rPr>
  </w:style>
  <w:style w:type="table" w:styleId="TableGrid">
    <w:name w:val="Table Grid"/>
    <w:basedOn w:val="TableNormal"/>
    <w:uiPriority w:val="39"/>
    <w:rsid w:val="00F16D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7EC"/>
    <w:pPr>
      <w:tabs>
        <w:tab w:val="center" w:pos="4536"/>
        <w:tab w:val="right" w:pos="9072"/>
      </w:tabs>
    </w:pPr>
  </w:style>
  <w:style w:type="character" w:customStyle="1" w:styleId="HeaderChar">
    <w:name w:val="Header Char"/>
    <w:basedOn w:val="DefaultParagraphFont"/>
    <w:link w:val="Header"/>
    <w:uiPriority w:val="99"/>
    <w:rsid w:val="000717EC"/>
    <w:rPr>
      <w:lang w:val="en-GB"/>
    </w:rPr>
  </w:style>
  <w:style w:type="paragraph" w:styleId="Footer">
    <w:name w:val="footer"/>
    <w:basedOn w:val="Normal"/>
    <w:link w:val="FooterChar"/>
    <w:uiPriority w:val="99"/>
    <w:unhideWhenUsed/>
    <w:rsid w:val="000717EC"/>
    <w:pPr>
      <w:tabs>
        <w:tab w:val="center" w:pos="4536"/>
        <w:tab w:val="right" w:pos="9072"/>
      </w:tabs>
    </w:pPr>
  </w:style>
  <w:style w:type="character" w:customStyle="1" w:styleId="FooterChar">
    <w:name w:val="Footer Char"/>
    <w:basedOn w:val="DefaultParagraphFont"/>
    <w:link w:val="Footer"/>
    <w:uiPriority w:val="99"/>
    <w:rsid w:val="000717EC"/>
    <w:rPr>
      <w:lang w:val="en-GB"/>
    </w:rPr>
  </w:style>
  <w:style w:type="paragraph" w:styleId="NoSpacing">
    <w:name w:val="No Spacing"/>
    <w:link w:val="NoSpacingChar"/>
    <w:uiPriority w:val="99"/>
    <w:qFormat/>
    <w:rsid w:val="00164B39"/>
    <w:rPr>
      <w:rFonts w:ascii="Calibri" w:eastAsia="Times New Roman" w:hAnsi="Calibri" w:cs="Calibri"/>
      <w:sz w:val="22"/>
      <w:szCs w:val="22"/>
      <w:lang w:val="en-US"/>
    </w:rPr>
  </w:style>
  <w:style w:type="character" w:customStyle="1" w:styleId="NoSpacingChar">
    <w:name w:val="No Spacing Char"/>
    <w:link w:val="NoSpacing"/>
    <w:uiPriority w:val="99"/>
    <w:locked/>
    <w:rsid w:val="00164B39"/>
    <w:rPr>
      <w:rFonts w:ascii="Calibri" w:eastAsia="Times New Roman" w:hAnsi="Calibri" w:cs="Calibri"/>
      <w:sz w:val="22"/>
      <w:szCs w:val="22"/>
      <w:lang w:val="en-US"/>
    </w:rPr>
  </w:style>
  <w:style w:type="paragraph" w:styleId="NormalWeb">
    <w:name w:val="Normal (Web)"/>
    <w:basedOn w:val="Normal"/>
    <w:uiPriority w:val="99"/>
    <w:semiHidden/>
    <w:unhideWhenUsed/>
    <w:rsid w:val="00633B5F"/>
    <w:pPr>
      <w:spacing w:before="100" w:beforeAutospacing="1" w:after="100" w:afterAutospacing="1"/>
    </w:pPr>
    <w:rPr>
      <w:rFonts w:ascii="Times New Roman" w:eastAsia="Times New Roman" w:hAnsi="Times New Roman"/>
      <w:sz w:val="24"/>
      <w:szCs w:val="24"/>
      <w:lang w:val="sl-SI" w:eastAsia="sl-SI"/>
    </w:rPr>
  </w:style>
  <w:style w:type="paragraph" w:styleId="BalloonText">
    <w:name w:val="Balloon Text"/>
    <w:basedOn w:val="Normal"/>
    <w:link w:val="BalloonTextChar"/>
    <w:uiPriority w:val="99"/>
    <w:semiHidden/>
    <w:unhideWhenUsed/>
    <w:rsid w:val="00C8416C"/>
    <w:rPr>
      <w:rFonts w:ascii="Segoe UI" w:hAnsi="Segoe UI" w:cs="Segoe UI"/>
      <w:sz w:val="18"/>
    </w:rPr>
  </w:style>
  <w:style w:type="character" w:customStyle="1" w:styleId="BalloonTextChar">
    <w:name w:val="Balloon Text Char"/>
    <w:basedOn w:val="DefaultParagraphFont"/>
    <w:link w:val="BalloonText"/>
    <w:uiPriority w:val="99"/>
    <w:semiHidden/>
    <w:rsid w:val="00C8416C"/>
    <w:rPr>
      <w:rFonts w:ascii="Segoe UI" w:hAnsi="Segoe UI" w:cs="Segoe UI"/>
      <w:sz w:val="18"/>
      <w:lang w:val="en-GB"/>
    </w:rPr>
  </w:style>
  <w:style w:type="paragraph" w:styleId="TOC1">
    <w:name w:val="toc 1"/>
    <w:basedOn w:val="Normal"/>
    <w:next w:val="Normal"/>
    <w:autoRedefine/>
    <w:uiPriority w:val="39"/>
    <w:unhideWhenUsed/>
    <w:rsid w:val="00986F70"/>
    <w:pPr>
      <w:tabs>
        <w:tab w:val="left" w:pos="400"/>
        <w:tab w:val="right" w:leader="dot" w:pos="9231"/>
      </w:tabs>
      <w:spacing w:before="120" w:after="120"/>
    </w:pPr>
    <w:rPr>
      <w:rFonts w:cstheme="minorHAnsi"/>
      <w:b/>
      <w:bCs/>
      <w:caps/>
      <w:noProof/>
      <w:color w:val="2F5496" w:themeColor="accent1" w:themeShade="BF"/>
      <w:sz w:val="22"/>
      <w:szCs w:val="22"/>
    </w:rPr>
  </w:style>
  <w:style w:type="paragraph" w:styleId="TOC2">
    <w:name w:val="toc 2"/>
    <w:basedOn w:val="Normal"/>
    <w:next w:val="Normal"/>
    <w:autoRedefine/>
    <w:uiPriority w:val="39"/>
    <w:unhideWhenUsed/>
    <w:rsid w:val="009D1629"/>
    <w:pPr>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CE48EC"/>
    <w:pPr>
      <w:ind w:left="400"/>
    </w:pPr>
    <w:rPr>
      <w:rFonts w:asciiTheme="minorHAnsi" w:hAnsiTheme="minorHAnsi" w:cstheme="minorHAnsi"/>
      <w:i/>
      <w:iCs/>
      <w:szCs w:val="20"/>
    </w:rPr>
  </w:style>
  <w:style w:type="paragraph" w:styleId="TOC4">
    <w:name w:val="toc 4"/>
    <w:basedOn w:val="Normal"/>
    <w:next w:val="Normal"/>
    <w:autoRedefine/>
    <w:uiPriority w:val="39"/>
    <w:unhideWhenUsed/>
    <w:rsid w:val="00CE48EC"/>
    <w:pPr>
      <w:ind w:left="600"/>
    </w:pPr>
    <w:rPr>
      <w:rFonts w:asciiTheme="minorHAnsi" w:hAnsiTheme="minorHAnsi" w:cstheme="minorHAnsi"/>
      <w:sz w:val="18"/>
    </w:rPr>
  </w:style>
  <w:style w:type="paragraph" w:styleId="TOC5">
    <w:name w:val="toc 5"/>
    <w:basedOn w:val="Normal"/>
    <w:next w:val="Normal"/>
    <w:autoRedefine/>
    <w:uiPriority w:val="39"/>
    <w:unhideWhenUsed/>
    <w:rsid w:val="00CE48EC"/>
    <w:pPr>
      <w:ind w:left="800"/>
    </w:pPr>
    <w:rPr>
      <w:rFonts w:asciiTheme="minorHAnsi" w:hAnsiTheme="minorHAnsi" w:cstheme="minorHAnsi"/>
      <w:sz w:val="18"/>
    </w:rPr>
  </w:style>
  <w:style w:type="paragraph" w:styleId="TOC6">
    <w:name w:val="toc 6"/>
    <w:basedOn w:val="Normal"/>
    <w:next w:val="Normal"/>
    <w:autoRedefine/>
    <w:uiPriority w:val="39"/>
    <w:unhideWhenUsed/>
    <w:rsid w:val="00CE48EC"/>
    <w:pPr>
      <w:ind w:left="1000"/>
    </w:pPr>
    <w:rPr>
      <w:rFonts w:asciiTheme="minorHAnsi" w:hAnsiTheme="minorHAnsi" w:cstheme="minorHAnsi"/>
      <w:sz w:val="18"/>
    </w:rPr>
  </w:style>
  <w:style w:type="paragraph" w:styleId="TOC7">
    <w:name w:val="toc 7"/>
    <w:basedOn w:val="Normal"/>
    <w:next w:val="Normal"/>
    <w:autoRedefine/>
    <w:uiPriority w:val="39"/>
    <w:unhideWhenUsed/>
    <w:rsid w:val="00CE48EC"/>
    <w:pPr>
      <w:ind w:left="1200"/>
    </w:pPr>
    <w:rPr>
      <w:rFonts w:asciiTheme="minorHAnsi" w:hAnsiTheme="minorHAnsi" w:cstheme="minorHAnsi"/>
      <w:sz w:val="18"/>
    </w:rPr>
  </w:style>
  <w:style w:type="paragraph" w:styleId="TOC8">
    <w:name w:val="toc 8"/>
    <w:basedOn w:val="Normal"/>
    <w:next w:val="Normal"/>
    <w:autoRedefine/>
    <w:uiPriority w:val="39"/>
    <w:unhideWhenUsed/>
    <w:rsid w:val="00CE48EC"/>
    <w:pPr>
      <w:ind w:left="1400"/>
    </w:pPr>
    <w:rPr>
      <w:rFonts w:asciiTheme="minorHAnsi" w:hAnsiTheme="minorHAnsi" w:cstheme="minorHAnsi"/>
      <w:sz w:val="18"/>
    </w:rPr>
  </w:style>
  <w:style w:type="paragraph" w:styleId="TOC9">
    <w:name w:val="toc 9"/>
    <w:basedOn w:val="Normal"/>
    <w:next w:val="Normal"/>
    <w:autoRedefine/>
    <w:uiPriority w:val="39"/>
    <w:unhideWhenUsed/>
    <w:rsid w:val="00CE48EC"/>
    <w:pPr>
      <w:ind w:left="1600"/>
    </w:pPr>
    <w:rPr>
      <w:rFonts w:asciiTheme="minorHAnsi" w:hAnsiTheme="minorHAnsi" w:cstheme="minorHAnsi"/>
      <w:sz w:val="18"/>
    </w:rPr>
  </w:style>
  <w:style w:type="character" w:styleId="Hyperlink">
    <w:name w:val="Hyperlink"/>
    <w:basedOn w:val="DefaultParagraphFont"/>
    <w:uiPriority w:val="99"/>
    <w:unhideWhenUsed/>
    <w:rsid w:val="00CE48EC"/>
    <w:rPr>
      <w:color w:val="0563C1" w:themeColor="hyperlink"/>
      <w:u w:val="single"/>
    </w:rPr>
  </w:style>
  <w:style w:type="character" w:styleId="Emphasis">
    <w:name w:val="Emphasis"/>
    <w:basedOn w:val="DefaultParagraphFont"/>
    <w:uiPriority w:val="20"/>
    <w:qFormat/>
    <w:rsid w:val="000E3567"/>
    <w:rPr>
      <w:i/>
      <w:iCs/>
    </w:rPr>
  </w:style>
  <w:style w:type="character" w:styleId="CommentReference">
    <w:name w:val="annotation reference"/>
    <w:basedOn w:val="DefaultParagraphFont"/>
    <w:uiPriority w:val="99"/>
    <w:semiHidden/>
    <w:unhideWhenUsed/>
    <w:rsid w:val="004E3492"/>
    <w:rPr>
      <w:sz w:val="16"/>
      <w:szCs w:val="16"/>
    </w:rPr>
  </w:style>
  <w:style w:type="paragraph" w:styleId="CommentText">
    <w:name w:val="annotation text"/>
    <w:basedOn w:val="Normal"/>
    <w:link w:val="CommentTextChar"/>
    <w:uiPriority w:val="99"/>
    <w:unhideWhenUsed/>
    <w:rsid w:val="004E3492"/>
    <w:rPr>
      <w:szCs w:val="20"/>
    </w:rPr>
  </w:style>
  <w:style w:type="character" w:customStyle="1" w:styleId="CommentTextChar">
    <w:name w:val="Comment Text Char"/>
    <w:basedOn w:val="DefaultParagraphFont"/>
    <w:link w:val="CommentText"/>
    <w:uiPriority w:val="99"/>
    <w:rsid w:val="004E3492"/>
    <w:rPr>
      <w:szCs w:val="20"/>
      <w:lang w:val="en-GB"/>
    </w:rPr>
  </w:style>
  <w:style w:type="paragraph" w:styleId="CommentSubject">
    <w:name w:val="annotation subject"/>
    <w:basedOn w:val="CommentText"/>
    <w:next w:val="CommentText"/>
    <w:link w:val="CommentSubjectChar"/>
    <w:uiPriority w:val="99"/>
    <w:semiHidden/>
    <w:unhideWhenUsed/>
    <w:rsid w:val="004E3492"/>
    <w:rPr>
      <w:b/>
      <w:bCs/>
    </w:rPr>
  </w:style>
  <w:style w:type="character" w:customStyle="1" w:styleId="CommentSubjectChar">
    <w:name w:val="Comment Subject Char"/>
    <w:basedOn w:val="CommentTextChar"/>
    <w:link w:val="CommentSubject"/>
    <w:uiPriority w:val="99"/>
    <w:semiHidden/>
    <w:rsid w:val="004E3492"/>
    <w:rPr>
      <w:b/>
      <w:bCs/>
      <w:szCs w:val="20"/>
      <w:lang w:val="en-GB"/>
    </w:rPr>
  </w:style>
  <w:style w:type="character" w:customStyle="1" w:styleId="Nerazreenaomemba1">
    <w:name w:val="Nerazrešena omemba1"/>
    <w:basedOn w:val="DefaultParagraphFont"/>
    <w:uiPriority w:val="99"/>
    <w:semiHidden/>
    <w:unhideWhenUsed/>
    <w:rsid w:val="00CA1329"/>
    <w:rPr>
      <w:color w:val="605E5C"/>
      <w:shd w:val="clear" w:color="auto" w:fill="E1DFDD"/>
    </w:rPr>
  </w:style>
  <w:style w:type="table" w:customStyle="1" w:styleId="Navadnatabela21">
    <w:name w:val="Navadna tabela 21"/>
    <w:basedOn w:val="TableNormal"/>
    <w:uiPriority w:val="42"/>
    <w:rsid w:val="00B2748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erazreenaomemba2">
    <w:name w:val="Nerazrešena omemba2"/>
    <w:basedOn w:val="DefaultParagraphFont"/>
    <w:uiPriority w:val="99"/>
    <w:semiHidden/>
    <w:unhideWhenUsed/>
    <w:rsid w:val="00D11296"/>
    <w:rPr>
      <w:color w:val="605E5C"/>
      <w:shd w:val="clear" w:color="auto" w:fill="E1DFDD"/>
    </w:rPr>
  </w:style>
  <w:style w:type="paragraph" w:styleId="EndnoteText">
    <w:name w:val="endnote text"/>
    <w:basedOn w:val="Normal"/>
    <w:link w:val="EndnoteTextChar"/>
    <w:uiPriority w:val="99"/>
    <w:semiHidden/>
    <w:unhideWhenUsed/>
    <w:rsid w:val="00DC17C4"/>
    <w:rPr>
      <w:szCs w:val="20"/>
    </w:rPr>
  </w:style>
  <w:style w:type="character" w:customStyle="1" w:styleId="EndnoteTextChar">
    <w:name w:val="Endnote Text Char"/>
    <w:basedOn w:val="DefaultParagraphFont"/>
    <w:link w:val="EndnoteText"/>
    <w:uiPriority w:val="99"/>
    <w:semiHidden/>
    <w:rsid w:val="00DC17C4"/>
    <w:rPr>
      <w:szCs w:val="20"/>
      <w:lang w:val="en-GB"/>
    </w:rPr>
  </w:style>
  <w:style w:type="character" w:styleId="EndnoteReference">
    <w:name w:val="endnote reference"/>
    <w:basedOn w:val="DefaultParagraphFont"/>
    <w:uiPriority w:val="99"/>
    <w:semiHidden/>
    <w:unhideWhenUsed/>
    <w:rsid w:val="00DC17C4"/>
    <w:rPr>
      <w:vertAlign w:val="superscript"/>
    </w:rPr>
  </w:style>
</w:styles>
</file>

<file path=word/webSettings.xml><?xml version="1.0" encoding="utf-8"?>
<w:webSettings xmlns:r="http://schemas.openxmlformats.org/officeDocument/2006/relationships" xmlns:w="http://schemas.openxmlformats.org/wordprocessingml/2006/main">
  <w:divs>
    <w:div w:id="1006956">
      <w:bodyDiv w:val="1"/>
      <w:marLeft w:val="0"/>
      <w:marRight w:val="0"/>
      <w:marTop w:val="0"/>
      <w:marBottom w:val="0"/>
      <w:divBdr>
        <w:top w:val="none" w:sz="0" w:space="0" w:color="auto"/>
        <w:left w:val="none" w:sz="0" w:space="0" w:color="auto"/>
        <w:bottom w:val="none" w:sz="0" w:space="0" w:color="auto"/>
        <w:right w:val="none" w:sz="0" w:space="0" w:color="auto"/>
      </w:divBdr>
    </w:div>
    <w:div w:id="16974124">
      <w:bodyDiv w:val="1"/>
      <w:marLeft w:val="0"/>
      <w:marRight w:val="0"/>
      <w:marTop w:val="0"/>
      <w:marBottom w:val="0"/>
      <w:divBdr>
        <w:top w:val="none" w:sz="0" w:space="0" w:color="auto"/>
        <w:left w:val="none" w:sz="0" w:space="0" w:color="auto"/>
        <w:bottom w:val="none" w:sz="0" w:space="0" w:color="auto"/>
        <w:right w:val="none" w:sz="0" w:space="0" w:color="auto"/>
      </w:divBdr>
    </w:div>
    <w:div w:id="25102355">
      <w:bodyDiv w:val="1"/>
      <w:marLeft w:val="0"/>
      <w:marRight w:val="0"/>
      <w:marTop w:val="0"/>
      <w:marBottom w:val="0"/>
      <w:divBdr>
        <w:top w:val="none" w:sz="0" w:space="0" w:color="auto"/>
        <w:left w:val="none" w:sz="0" w:space="0" w:color="auto"/>
        <w:bottom w:val="none" w:sz="0" w:space="0" w:color="auto"/>
        <w:right w:val="none" w:sz="0" w:space="0" w:color="auto"/>
      </w:divBdr>
    </w:div>
    <w:div w:id="31806679">
      <w:bodyDiv w:val="1"/>
      <w:marLeft w:val="0"/>
      <w:marRight w:val="0"/>
      <w:marTop w:val="0"/>
      <w:marBottom w:val="0"/>
      <w:divBdr>
        <w:top w:val="none" w:sz="0" w:space="0" w:color="auto"/>
        <w:left w:val="none" w:sz="0" w:space="0" w:color="auto"/>
        <w:bottom w:val="none" w:sz="0" w:space="0" w:color="auto"/>
        <w:right w:val="none" w:sz="0" w:space="0" w:color="auto"/>
      </w:divBdr>
    </w:div>
    <w:div w:id="47268824">
      <w:bodyDiv w:val="1"/>
      <w:marLeft w:val="0"/>
      <w:marRight w:val="0"/>
      <w:marTop w:val="0"/>
      <w:marBottom w:val="0"/>
      <w:divBdr>
        <w:top w:val="none" w:sz="0" w:space="0" w:color="auto"/>
        <w:left w:val="none" w:sz="0" w:space="0" w:color="auto"/>
        <w:bottom w:val="none" w:sz="0" w:space="0" w:color="auto"/>
        <w:right w:val="none" w:sz="0" w:space="0" w:color="auto"/>
      </w:divBdr>
    </w:div>
    <w:div w:id="61106861">
      <w:bodyDiv w:val="1"/>
      <w:marLeft w:val="0"/>
      <w:marRight w:val="0"/>
      <w:marTop w:val="0"/>
      <w:marBottom w:val="0"/>
      <w:divBdr>
        <w:top w:val="none" w:sz="0" w:space="0" w:color="auto"/>
        <w:left w:val="none" w:sz="0" w:space="0" w:color="auto"/>
        <w:bottom w:val="none" w:sz="0" w:space="0" w:color="auto"/>
        <w:right w:val="none" w:sz="0" w:space="0" w:color="auto"/>
      </w:divBdr>
    </w:div>
    <w:div w:id="70856680">
      <w:bodyDiv w:val="1"/>
      <w:marLeft w:val="0"/>
      <w:marRight w:val="0"/>
      <w:marTop w:val="0"/>
      <w:marBottom w:val="0"/>
      <w:divBdr>
        <w:top w:val="none" w:sz="0" w:space="0" w:color="auto"/>
        <w:left w:val="none" w:sz="0" w:space="0" w:color="auto"/>
        <w:bottom w:val="none" w:sz="0" w:space="0" w:color="auto"/>
        <w:right w:val="none" w:sz="0" w:space="0" w:color="auto"/>
      </w:divBdr>
    </w:div>
    <w:div w:id="108089585">
      <w:bodyDiv w:val="1"/>
      <w:marLeft w:val="0"/>
      <w:marRight w:val="0"/>
      <w:marTop w:val="0"/>
      <w:marBottom w:val="0"/>
      <w:divBdr>
        <w:top w:val="none" w:sz="0" w:space="0" w:color="auto"/>
        <w:left w:val="none" w:sz="0" w:space="0" w:color="auto"/>
        <w:bottom w:val="none" w:sz="0" w:space="0" w:color="auto"/>
        <w:right w:val="none" w:sz="0" w:space="0" w:color="auto"/>
      </w:divBdr>
    </w:div>
    <w:div w:id="113911706">
      <w:bodyDiv w:val="1"/>
      <w:marLeft w:val="0"/>
      <w:marRight w:val="0"/>
      <w:marTop w:val="0"/>
      <w:marBottom w:val="0"/>
      <w:divBdr>
        <w:top w:val="none" w:sz="0" w:space="0" w:color="auto"/>
        <w:left w:val="none" w:sz="0" w:space="0" w:color="auto"/>
        <w:bottom w:val="none" w:sz="0" w:space="0" w:color="auto"/>
        <w:right w:val="none" w:sz="0" w:space="0" w:color="auto"/>
      </w:divBdr>
    </w:div>
    <w:div w:id="121920530">
      <w:bodyDiv w:val="1"/>
      <w:marLeft w:val="0"/>
      <w:marRight w:val="0"/>
      <w:marTop w:val="0"/>
      <w:marBottom w:val="0"/>
      <w:divBdr>
        <w:top w:val="none" w:sz="0" w:space="0" w:color="auto"/>
        <w:left w:val="none" w:sz="0" w:space="0" w:color="auto"/>
        <w:bottom w:val="none" w:sz="0" w:space="0" w:color="auto"/>
        <w:right w:val="none" w:sz="0" w:space="0" w:color="auto"/>
      </w:divBdr>
    </w:div>
    <w:div w:id="149450294">
      <w:bodyDiv w:val="1"/>
      <w:marLeft w:val="0"/>
      <w:marRight w:val="0"/>
      <w:marTop w:val="0"/>
      <w:marBottom w:val="0"/>
      <w:divBdr>
        <w:top w:val="none" w:sz="0" w:space="0" w:color="auto"/>
        <w:left w:val="none" w:sz="0" w:space="0" w:color="auto"/>
        <w:bottom w:val="none" w:sz="0" w:space="0" w:color="auto"/>
        <w:right w:val="none" w:sz="0" w:space="0" w:color="auto"/>
      </w:divBdr>
    </w:div>
    <w:div w:id="156195113">
      <w:bodyDiv w:val="1"/>
      <w:marLeft w:val="0"/>
      <w:marRight w:val="0"/>
      <w:marTop w:val="0"/>
      <w:marBottom w:val="0"/>
      <w:divBdr>
        <w:top w:val="none" w:sz="0" w:space="0" w:color="auto"/>
        <w:left w:val="none" w:sz="0" w:space="0" w:color="auto"/>
        <w:bottom w:val="none" w:sz="0" w:space="0" w:color="auto"/>
        <w:right w:val="none" w:sz="0" w:space="0" w:color="auto"/>
      </w:divBdr>
    </w:div>
    <w:div w:id="171649336">
      <w:bodyDiv w:val="1"/>
      <w:marLeft w:val="0"/>
      <w:marRight w:val="0"/>
      <w:marTop w:val="0"/>
      <w:marBottom w:val="0"/>
      <w:divBdr>
        <w:top w:val="none" w:sz="0" w:space="0" w:color="auto"/>
        <w:left w:val="none" w:sz="0" w:space="0" w:color="auto"/>
        <w:bottom w:val="none" w:sz="0" w:space="0" w:color="auto"/>
        <w:right w:val="none" w:sz="0" w:space="0" w:color="auto"/>
      </w:divBdr>
    </w:div>
    <w:div w:id="186673920">
      <w:bodyDiv w:val="1"/>
      <w:marLeft w:val="0"/>
      <w:marRight w:val="0"/>
      <w:marTop w:val="0"/>
      <w:marBottom w:val="0"/>
      <w:divBdr>
        <w:top w:val="none" w:sz="0" w:space="0" w:color="auto"/>
        <w:left w:val="none" w:sz="0" w:space="0" w:color="auto"/>
        <w:bottom w:val="none" w:sz="0" w:space="0" w:color="auto"/>
        <w:right w:val="none" w:sz="0" w:space="0" w:color="auto"/>
      </w:divBdr>
    </w:div>
    <w:div w:id="193271996">
      <w:bodyDiv w:val="1"/>
      <w:marLeft w:val="0"/>
      <w:marRight w:val="0"/>
      <w:marTop w:val="0"/>
      <w:marBottom w:val="0"/>
      <w:divBdr>
        <w:top w:val="none" w:sz="0" w:space="0" w:color="auto"/>
        <w:left w:val="none" w:sz="0" w:space="0" w:color="auto"/>
        <w:bottom w:val="none" w:sz="0" w:space="0" w:color="auto"/>
        <w:right w:val="none" w:sz="0" w:space="0" w:color="auto"/>
      </w:divBdr>
    </w:div>
    <w:div w:id="206064200">
      <w:bodyDiv w:val="1"/>
      <w:marLeft w:val="0"/>
      <w:marRight w:val="0"/>
      <w:marTop w:val="0"/>
      <w:marBottom w:val="0"/>
      <w:divBdr>
        <w:top w:val="none" w:sz="0" w:space="0" w:color="auto"/>
        <w:left w:val="none" w:sz="0" w:space="0" w:color="auto"/>
        <w:bottom w:val="none" w:sz="0" w:space="0" w:color="auto"/>
        <w:right w:val="none" w:sz="0" w:space="0" w:color="auto"/>
      </w:divBdr>
    </w:div>
    <w:div w:id="269514756">
      <w:bodyDiv w:val="1"/>
      <w:marLeft w:val="0"/>
      <w:marRight w:val="0"/>
      <w:marTop w:val="0"/>
      <w:marBottom w:val="0"/>
      <w:divBdr>
        <w:top w:val="none" w:sz="0" w:space="0" w:color="auto"/>
        <w:left w:val="none" w:sz="0" w:space="0" w:color="auto"/>
        <w:bottom w:val="none" w:sz="0" w:space="0" w:color="auto"/>
        <w:right w:val="none" w:sz="0" w:space="0" w:color="auto"/>
      </w:divBdr>
    </w:div>
    <w:div w:id="289358777">
      <w:bodyDiv w:val="1"/>
      <w:marLeft w:val="0"/>
      <w:marRight w:val="0"/>
      <w:marTop w:val="0"/>
      <w:marBottom w:val="0"/>
      <w:divBdr>
        <w:top w:val="none" w:sz="0" w:space="0" w:color="auto"/>
        <w:left w:val="none" w:sz="0" w:space="0" w:color="auto"/>
        <w:bottom w:val="none" w:sz="0" w:space="0" w:color="auto"/>
        <w:right w:val="none" w:sz="0" w:space="0" w:color="auto"/>
      </w:divBdr>
    </w:div>
    <w:div w:id="295988001">
      <w:bodyDiv w:val="1"/>
      <w:marLeft w:val="0"/>
      <w:marRight w:val="0"/>
      <w:marTop w:val="0"/>
      <w:marBottom w:val="0"/>
      <w:divBdr>
        <w:top w:val="none" w:sz="0" w:space="0" w:color="auto"/>
        <w:left w:val="none" w:sz="0" w:space="0" w:color="auto"/>
        <w:bottom w:val="none" w:sz="0" w:space="0" w:color="auto"/>
        <w:right w:val="none" w:sz="0" w:space="0" w:color="auto"/>
      </w:divBdr>
    </w:div>
    <w:div w:id="318968374">
      <w:bodyDiv w:val="1"/>
      <w:marLeft w:val="0"/>
      <w:marRight w:val="0"/>
      <w:marTop w:val="0"/>
      <w:marBottom w:val="0"/>
      <w:divBdr>
        <w:top w:val="none" w:sz="0" w:space="0" w:color="auto"/>
        <w:left w:val="none" w:sz="0" w:space="0" w:color="auto"/>
        <w:bottom w:val="none" w:sz="0" w:space="0" w:color="auto"/>
        <w:right w:val="none" w:sz="0" w:space="0" w:color="auto"/>
      </w:divBdr>
    </w:div>
    <w:div w:id="354884486">
      <w:bodyDiv w:val="1"/>
      <w:marLeft w:val="0"/>
      <w:marRight w:val="0"/>
      <w:marTop w:val="0"/>
      <w:marBottom w:val="0"/>
      <w:divBdr>
        <w:top w:val="none" w:sz="0" w:space="0" w:color="auto"/>
        <w:left w:val="none" w:sz="0" w:space="0" w:color="auto"/>
        <w:bottom w:val="none" w:sz="0" w:space="0" w:color="auto"/>
        <w:right w:val="none" w:sz="0" w:space="0" w:color="auto"/>
      </w:divBdr>
    </w:div>
    <w:div w:id="389421311">
      <w:bodyDiv w:val="1"/>
      <w:marLeft w:val="0"/>
      <w:marRight w:val="0"/>
      <w:marTop w:val="0"/>
      <w:marBottom w:val="0"/>
      <w:divBdr>
        <w:top w:val="none" w:sz="0" w:space="0" w:color="auto"/>
        <w:left w:val="none" w:sz="0" w:space="0" w:color="auto"/>
        <w:bottom w:val="none" w:sz="0" w:space="0" w:color="auto"/>
        <w:right w:val="none" w:sz="0" w:space="0" w:color="auto"/>
      </w:divBdr>
    </w:div>
    <w:div w:id="392196168">
      <w:bodyDiv w:val="1"/>
      <w:marLeft w:val="0"/>
      <w:marRight w:val="0"/>
      <w:marTop w:val="0"/>
      <w:marBottom w:val="0"/>
      <w:divBdr>
        <w:top w:val="none" w:sz="0" w:space="0" w:color="auto"/>
        <w:left w:val="none" w:sz="0" w:space="0" w:color="auto"/>
        <w:bottom w:val="none" w:sz="0" w:space="0" w:color="auto"/>
        <w:right w:val="none" w:sz="0" w:space="0" w:color="auto"/>
      </w:divBdr>
    </w:div>
    <w:div w:id="421489737">
      <w:bodyDiv w:val="1"/>
      <w:marLeft w:val="0"/>
      <w:marRight w:val="0"/>
      <w:marTop w:val="0"/>
      <w:marBottom w:val="0"/>
      <w:divBdr>
        <w:top w:val="none" w:sz="0" w:space="0" w:color="auto"/>
        <w:left w:val="none" w:sz="0" w:space="0" w:color="auto"/>
        <w:bottom w:val="none" w:sz="0" w:space="0" w:color="auto"/>
        <w:right w:val="none" w:sz="0" w:space="0" w:color="auto"/>
      </w:divBdr>
    </w:div>
    <w:div w:id="461655927">
      <w:bodyDiv w:val="1"/>
      <w:marLeft w:val="0"/>
      <w:marRight w:val="0"/>
      <w:marTop w:val="0"/>
      <w:marBottom w:val="0"/>
      <w:divBdr>
        <w:top w:val="none" w:sz="0" w:space="0" w:color="auto"/>
        <w:left w:val="none" w:sz="0" w:space="0" w:color="auto"/>
        <w:bottom w:val="none" w:sz="0" w:space="0" w:color="auto"/>
        <w:right w:val="none" w:sz="0" w:space="0" w:color="auto"/>
      </w:divBdr>
    </w:div>
    <w:div w:id="467433066">
      <w:bodyDiv w:val="1"/>
      <w:marLeft w:val="0"/>
      <w:marRight w:val="0"/>
      <w:marTop w:val="0"/>
      <w:marBottom w:val="0"/>
      <w:divBdr>
        <w:top w:val="none" w:sz="0" w:space="0" w:color="auto"/>
        <w:left w:val="none" w:sz="0" w:space="0" w:color="auto"/>
        <w:bottom w:val="none" w:sz="0" w:space="0" w:color="auto"/>
        <w:right w:val="none" w:sz="0" w:space="0" w:color="auto"/>
      </w:divBdr>
    </w:div>
    <w:div w:id="487210140">
      <w:bodyDiv w:val="1"/>
      <w:marLeft w:val="0"/>
      <w:marRight w:val="0"/>
      <w:marTop w:val="0"/>
      <w:marBottom w:val="0"/>
      <w:divBdr>
        <w:top w:val="none" w:sz="0" w:space="0" w:color="auto"/>
        <w:left w:val="none" w:sz="0" w:space="0" w:color="auto"/>
        <w:bottom w:val="none" w:sz="0" w:space="0" w:color="auto"/>
        <w:right w:val="none" w:sz="0" w:space="0" w:color="auto"/>
      </w:divBdr>
    </w:div>
    <w:div w:id="506091709">
      <w:bodyDiv w:val="1"/>
      <w:marLeft w:val="0"/>
      <w:marRight w:val="0"/>
      <w:marTop w:val="0"/>
      <w:marBottom w:val="0"/>
      <w:divBdr>
        <w:top w:val="none" w:sz="0" w:space="0" w:color="auto"/>
        <w:left w:val="none" w:sz="0" w:space="0" w:color="auto"/>
        <w:bottom w:val="none" w:sz="0" w:space="0" w:color="auto"/>
        <w:right w:val="none" w:sz="0" w:space="0" w:color="auto"/>
      </w:divBdr>
    </w:div>
    <w:div w:id="510486235">
      <w:bodyDiv w:val="1"/>
      <w:marLeft w:val="0"/>
      <w:marRight w:val="0"/>
      <w:marTop w:val="0"/>
      <w:marBottom w:val="0"/>
      <w:divBdr>
        <w:top w:val="none" w:sz="0" w:space="0" w:color="auto"/>
        <w:left w:val="none" w:sz="0" w:space="0" w:color="auto"/>
        <w:bottom w:val="none" w:sz="0" w:space="0" w:color="auto"/>
        <w:right w:val="none" w:sz="0" w:space="0" w:color="auto"/>
      </w:divBdr>
    </w:div>
    <w:div w:id="546721373">
      <w:bodyDiv w:val="1"/>
      <w:marLeft w:val="0"/>
      <w:marRight w:val="0"/>
      <w:marTop w:val="0"/>
      <w:marBottom w:val="0"/>
      <w:divBdr>
        <w:top w:val="none" w:sz="0" w:space="0" w:color="auto"/>
        <w:left w:val="none" w:sz="0" w:space="0" w:color="auto"/>
        <w:bottom w:val="none" w:sz="0" w:space="0" w:color="auto"/>
        <w:right w:val="none" w:sz="0" w:space="0" w:color="auto"/>
      </w:divBdr>
    </w:div>
    <w:div w:id="546912440">
      <w:bodyDiv w:val="1"/>
      <w:marLeft w:val="0"/>
      <w:marRight w:val="0"/>
      <w:marTop w:val="0"/>
      <w:marBottom w:val="0"/>
      <w:divBdr>
        <w:top w:val="none" w:sz="0" w:space="0" w:color="auto"/>
        <w:left w:val="none" w:sz="0" w:space="0" w:color="auto"/>
        <w:bottom w:val="none" w:sz="0" w:space="0" w:color="auto"/>
        <w:right w:val="none" w:sz="0" w:space="0" w:color="auto"/>
      </w:divBdr>
    </w:div>
    <w:div w:id="550270671">
      <w:bodyDiv w:val="1"/>
      <w:marLeft w:val="0"/>
      <w:marRight w:val="0"/>
      <w:marTop w:val="0"/>
      <w:marBottom w:val="0"/>
      <w:divBdr>
        <w:top w:val="none" w:sz="0" w:space="0" w:color="auto"/>
        <w:left w:val="none" w:sz="0" w:space="0" w:color="auto"/>
        <w:bottom w:val="none" w:sz="0" w:space="0" w:color="auto"/>
        <w:right w:val="none" w:sz="0" w:space="0" w:color="auto"/>
      </w:divBdr>
    </w:div>
    <w:div w:id="602227215">
      <w:bodyDiv w:val="1"/>
      <w:marLeft w:val="0"/>
      <w:marRight w:val="0"/>
      <w:marTop w:val="0"/>
      <w:marBottom w:val="0"/>
      <w:divBdr>
        <w:top w:val="none" w:sz="0" w:space="0" w:color="auto"/>
        <w:left w:val="none" w:sz="0" w:space="0" w:color="auto"/>
        <w:bottom w:val="none" w:sz="0" w:space="0" w:color="auto"/>
        <w:right w:val="none" w:sz="0" w:space="0" w:color="auto"/>
      </w:divBdr>
    </w:div>
    <w:div w:id="615526533">
      <w:bodyDiv w:val="1"/>
      <w:marLeft w:val="0"/>
      <w:marRight w:val="0"/>
      <w:marTop w:val="0"/>
      <w:marBottom w:val="0"/>
      <w:divBdr>
        <w:top w:val="none" w:sz="0" w:space="0" w:color="auto"/>
        <w:left w:val="none" w:sz="0" w:space="0" w:color="auto"/>
        <w:bottom w:val="none" w:sz="0" w:space="0" w:color="auto"/>
        <w:right w:val="none" w:sz="0" w:space="0" w:color="auto"/>
      </w:divBdr>
    </w:div>
    <w:div w:id="629287053">
      <w:bodyDiv w:val="1"/>
      <w:marLeft w:val="0"/>
      <w:marRight w:val="0"/>
      <w:marTop w:val="0"/>
      <w:marBottom w:val="0"/>
      <w:divBdr>
        <w:top w:val="none" w:sz="0" w:space="0" w:color="auto"/>
        <w:left w:val="none" w:sz="0" w:space="0" w:color="auto"/>
        <w:bottom w:val="none" w:sz="0" w:space="0" w:color="auto"/>
        <w:right w:val="none" w:sz="0" w:space="0" w:color="auto"/>
      </w:divBdr>
    </w:div>
    <w:div w:id="674846357">
      <w:bodyDiv w:val="1"/>
      <w:marLeft w:val="0"/>
      <w:marRight w:val="0"/>
      <w:marTop w:val="0"/>
      <w:marBottom w:val="0"/>
      <w:divBdr>
        <w:top w:val="none" w:sz="0" w:space="0" w:color="auto"/>
        <w:left w:val="none" w:sz="0" w:space="0" w:color="auto"/>
        <w:bottom w:val="none" w:sz="0" w:space="0" w:color="auto"/>
        <w:right w:val="none" w:sz="0" w:space="0" w:color="auto"/>
      </w:divBdr>
    </w:div>
    <w:div w:id="683556408">
      <w:bodyDiv w:val="1"/>
      <w:marLeft w:val="0"/>
      <w:marRight w:val="0"/>
      <w:marTop w:val="0"/>
      <w:marBottom w:val="0"/>
      <w:divBdr>
        <w:top w:val="none" w:sz="0" w:space="0" w:color="auto"/>
        <w:left w:val="none" w:sz="0" w:space="0" w:color="auto"/>
        <w:bottom w:val="none" w:sz="0" w:space="0" w:color="auto"/>
        <w:right w:val="none" w:sz="0" w:space="0" w:color="auto"/>
      </w:divBdr>
    </w:div>
    <w:div w:id="735052371">
      <w:bodyDiv w:val="1"/>
      <w:marLeft w:val="0"/>
      <w:marRight w:val="0"/>
      <w:marTop w:val="0"/>
      <w:marBottom w:val="0"/>
      <w:divBdr>
        <w:top w:val="none" w:sz="0" w:space="0" w:color="auto"/>
        <w:left w:val="none" w:sz="0" w:space="0" w:color="auto"/>
        <w:bottom w:val="none" w:sz="0" w:space="0" w:color="auto"/>
        <w:right w:val="none" w:sz="0" w:space="0" w:color="auto"/>
      </w:divBdr>
    </w:div>
    <w:div w:id="738329721">
      <w:bodyDiv w:val="1"/>
      <w:marLeft w:val="0"/>
      <w:marRight w:val="0"/>
      <w:marTop w:val="0"/>
      <w:marBottom w:val="0"/>
      <w:divBdr>
        <w:top w:val="none" w:sz="0" w:space="0" w:color="auto"/>
        <w:left w:val="none" w:sz="0" w:space="0" w:color="auto"/>
        <w:bottom w:val="none" w:sz="0" w:space="0" w:color="auto"/>
        <w:right w:val="none" w:sz="0" w:space="0" w:color="auto"/>
      </w:divBdr>
    </w:div>
    <w:div w:id="743375275">
      <w:bodyDiv w:val="1"/>
      <w:marLeft w:val="0"/>
      <w:marRight w:val="0"/>
      <w:marTop w:val="0"/>
      <w:marBottom w:val="0"/>
      <w:divBdr>
        <w:top w:val="none" w:sz="0" w:space="0" w:color="auto"/>
        <w:left w:val="none" w:sz="0" w:space="0" w:color="auto"/>
        <w:bottom w:val="none" w:sz="0" w:space="0" w:color="auto"/>
        <w:right w:val="none" w:sz="0" w:space="0" w:color="auto"/>
      </w:divBdr>
      <w:divsChild>
        <w:div w:id="663439713">
          <w:marLeft w:val="547"/>
          <w:marRight w:val="0"/>
          <w:marTop w:val="0"/>
          <w:marBottom w:val="0"/>
          <w:divBdr>
            <w:top w:val="none" w:sz="0" w:space="0" w:color="auto"/>
            <w:left w:val="none" w:sz="0" w:space="0" w:color="auto"/>
            <w:bottom w:val="none" w:sz="0" w:space="0" w:color="auto"/>
            <w:right w:val="none" w:sz="0" w:space="0" w:color="auto"/>
          </w:divBdr>
        </w:div>
      </w:divsChild>
    </w:div>
    <w:div w:id="753362360">
      <w:bodyDiv w:val="1"/>
      <w:marLeft w:val="0"/>
      <w:marRight w:val="0"/>
      <w:marTop w:val="0"/>
      <w:marBottom w:val="0"/>
      <w:divBdr>
        <w:top w:val="none" w:sz="0" w:space="0" w:color="auto"/>
        <w:left w:val="none" w:sz="0" w:space="0" w:color="auto"/>
        <w:bottom w:val="none" w:sz="0" w:space="0" w:color="auto"/>
        <w:right w:val="none" w:sz="0" w:space="0" w:color="auto"/>
      </w:divBdr>
    </w:div>
    <w:div w:id="758986680">
      <w:bodyDiv w:val="1"/>
      <w:marLeft w:val="0"/>
      <w:marRight w:val="0"/>
      <w:marTop w:val="0"/>
      <w:marBottom w:val="0"/>
      <w:divBdr>
        <w:top w:val="none" w:sz="0" w:space="0" w:color="auto"/>
        <w:left w:val="none" w:sz="0" w:space="0" w:color="auto"/>
        <w:bottom w:val="none" w:sz="0" w:space="0" w:color="auto"/>
        <w:right w:val="none" w:sz="0" w:space="0" w:color="auto"/>
      </w:divBdr>
    </w:div>
    <w:div w:id="765878915">
      <w:bodyDiv w:val="1"/>
      <w:marLeft w:val="0"/>
      <w:marRight w:val="0"/>
      <w:marTop w:val="0"/>
      <w:marBottom w:val="0"/>
      <w:divBdr>
        <w:top w:val="none" w:sz="0" w:space="0" w:color="auto"/>
        <w:left w:val="none" w:sz="0" w:space="0" w:color="auto"/>
        <w:bottom w:val="none" w:sz="0" w:space="0" w:color="auto"/>
        <w:right w:val="none" w:sz="0" w:space="0" w:color="auto"/>
      </w:divBdr>
    </w:div>
    <w:div w:id="768042533">
      <w:bodyDiv w:val="1"/>
      <w:marLeft w:val="0"/>
      <w:marRight w:val="0"/>
      <w:marTop w:val="0"/>
      <w:marBottom w:val="0"/>
      <w:divBdr>
        <w:top w:val="none" w:sz="0" w:space="0" w:color="auto"/>
        <w:left w:val="none" w:sz="0" w:space="0" w:color="auto"/>
        <w:bottom w:val="none" w:sz="0" w:space="0" w:color="auto"/>
        <w:right w:val="none" w:sz="0" w:space="0" w:color="auto"/>
      </w:divBdr>
    </w:div>
    <w:div w:id="778792470">
      <w:bodyDiv w:val="1"/>
      <w:marLeft w:val="0"/>
      <w:marRight w:val="0"/>
      <w:marTop w:val="0"/>
      <w:marBottom w:val="0"/>
      <w:divBdr>
        <w:top w:val="none" w:sz="0" w:space="0" w:color="auto"/>
        <w:left w:val="none" w:sz="0" w:space="0" w:color="auto"/>
        <w:bottom w:val="none" w:sz="0" w:space="0" w:color="auto"/>
        <w:right w:val="none" w:sz="0" w:space="0" w:color="auto"/>
      </w:divBdr>
    </w:div>
    <w:div w:id="797063651">
      <w:bodyDiv w:val="1"/>
      <w:marLeft w:val="0"/>
      <w:marRight w:val="0"/>
      <w:marTop w:val="0"/>
      <w:marBottom w:val="0"/>
      <w:divBdr>
        <w:top w:val="none" w:sz="0" w:space="0" w:color="auto"/>
        <w:left w:val="none" w:sz="0" w:space="0" w:color="auto"/>
        <w:bottom w:val="none" w:sz="0" w:space="0" w:color="auto"/>
        <w:right w:val="none" w:sz="0" w:space="0" w:color="auto"/>
      </w:divBdr>
    </w:div>
    <w:div w:id="823937006">
      <w:bodyDiv w:val="1"/>
      <w:marLeft w:val="0"/>
      <w:marRight w:val="0"/>
      <w:marTop w:val="0"/>
      <w:marBottom w:val="0"/>
      <w:divBdr>
        <w:top w:val="none" w:sz="0" w:space="0" w:color="auto"/>
        <w:left w:val="none" w:sz="0" w:space="0" w:color="auto"/>
        <w:bottom w:val="none" w:sz="0" w:space="0" w:color="auto"/>
        <w:right w:val="none" w:sz="0" w:space="0" w:color="auto"/>
      </w:divBdr>
    </w:div>
    <w:div w:id="828904247">
      <w:bodyDiv w:val="1"/>
      <w:marLeft w:val="0"/>
      <w:marRight w:val="0"/>
      <w:marTop w:val="0"/>
      <w:marBottom w:val="0"/>
      <w:divBdr>
        <w:top w:val="none" w:sz="0" w:space="0" w:color="auto"/>
        <w:left w:val="none" w:sz="0" w:space="0" w:color="auto"/>
        <w:bottom w:val="none" w:sz="0" w:space="0" w:color="auto"/>
        <w:right w:val="none" w:sz="0" w:space="0" w:color="auto"/>
      </w:divBdr>
    </w:div>
    <w:div w:id="846797539">
      <w:bodyDiv w:val="1"/>
      <w:marLeft w:val="0"/>
      <w:marRight w:val="0"/>
      <w:marTop w:val="0"/>
      <w:marBottom w:val="0"/>
      <w:divBdr>
        <w:top w:val="none" w:sz="0" w:space="0" w:color="auto"/>
        <w:left w:val="none" w:sz="0" w:space="0" w:color="auto"/>
        <w:bottom w:val="none" w:sz="0" w:space="0" w:color="auto"/>
        <w:right w:val="none" w:sz="0" w:space="0" w:color="auto"/>
      </w:divBdr>
    </w:div>
    <w:div w:id="867570522">
      <w:bodyDiv w:val="1"/>
      <w:marLeft w:val="0"/>
      <w:marRight w:val="0"/>
      <w:marTop w:val="0"/>
      <w:marBottom w:val="0"/>
      <w:divBdr>
        <w:top w:val="none" w:sz="0" w:space="0" w:color="auto"/>
        <w:left w:val="none" w:sz="0" w:space="0" w:color="auto"/>
        <w:bottom w:val="none" w:sz="0" w:space="0" w:color="auto"/>
        <w:right w:val="none" w:sz="0" w:space="0" w:color="auto"/>
      </w:divBdr>
    </w:div>
    <w:div w:id="899555933">
      <w:bodyDiv w:val="1"/>
      <w:marLeft w:val="0"/>
      <w:marRight w:val="0"/>
      <w:marTop w:val="0"/>
      <w:marBottom w:val="0"/>
      <w:divBdr>
        <w:top w:val="none" w:sz="0" w:space="0" w:color="auto"/>
        <w:left w:val="none" w:sz="0" w:space="0" w:color="auto"/>
        <w:bottom w:val="none" w:sz="0" w:space="0" w:color="auto"/>
        <w:right w:val="none" w:sz="0" w:space="0" w:color="auto"/>
      </w:divBdr>
    </w:div>
    <w:div w:id="910503311">
      <w:bodyDiv w:val="1"/>
      <w:marLeft w:val="0"/>
      <w:marRight w:val="0"/>
      <w:marTop w:val="0"/>
      <w:marBottom w:val="0"/>
      <w:divBdr>
        <w:top w:val="none" w:sz="0" w:space="0" w:color="auto"/>
        <w:left w:val="none" w:sz="0" w:space="0" w:color="auto"/>
        <w:bottom w:val="none" w:sz="0" w:space="0" w:color="auto"/>
        <w:right w:val="none" w:sz="0" w:space="0" w:color="auto"/>
      </w:divBdr>
    </w:div>
    <w:div w:id="911163174">
      <w:bodyDiv w:val="1"/>
      <w:marLeft w:val="0"/>
      <w:marRight w:val="0"/>
      <w:marTop w:val="0"/>
      <w:marBottom w:val="0"/>
      <w:divBdr>
        <w:top w:val="none" w:sz="0" w:space="0" w:color="auto"/>
        <w:left w:val="none" w:sz="0" w:space="0" w:color="auto"/>
        <w:bottom w:val="none" w:sz="0" w:space="0" w:color="auto"/>
        <w:right w:val="none" w:sz="0" w:space="0" w:color="auto"/>
      </w:divBdr>
    </w:div>
    <w:div w:id="915092212">
      <w:bodyDiv w:val="1"/>
      <w:marLeft w:val="0"/>
      <w:marRight w:val="0"/>
      <w:marTop w:val="0"/>
      <w:marBottom w:val="0"/>
      <w:divBdr>
        <w:top w:val="none" w:sz="0" w:space="0" w:color="auto"/>
        <w:left w:val="none" w:sz="0" w:space="0" w:color="auto"/>
        <w:bottom w:val="none" w:sz="0" w:space="0" w:color="auto"/>
        <w:right w:val="none" w:sz="0" w:space="0" w:color="auto"/>
      </w:divBdr>
    </w:div>
    <w:div w:id="934485960">
      <w:bodyDiv w:val="1"/>
      <w:marLeft w:val="0"/>
      <w:marRight w:val="0"/>
      <w:marTop w:val="0"/>
      <w:marBottom w:val="0"/>
      <w:divBdr>
        <w:top w:val="none" w:sz="0" w:space="0" w:color="auto"/>
        <w:left w:val="none" w:sz="0" w:space="0" w:color="auto"/>
        <w:bottom w:val="none" w:sz="0" w:space="0" w:color="auto"/>
        <w:right w:val="none" w:sz="0" w:space="0" w:color="auto"/>
      </w:divBdr>
      <w:divsChild>
        <w:div w:id="924611478">
          <w:marLeft w:val="576"/>
          <w:marRight w:val="0"/>
          <w:marTop w:val="0"/>
          <w:marBottom w:val="0"/>
          <w:divBdr>
            <w:top w:val="none" w:sz="0" w:space="0" w:color="auto"/>
            <w:left w:val="none" w:sz="0" w:space="0" w:color="auto"/>
            <w:bottom w:val="none" w:sz="0" w:space="0" w:color="auto"/>
            <w:right w:val="none" w:sz="0" w:space="0" w:color="auto"/>
          </w:divBdr>
        </w:div>
        <w:div w:id="1320384253">
          <w:marLeft w:val="1238"/>
          <w:marRight w:val="0"/>
          <w:marTop w:val="0"/>
          <w:marBottom w:val="0"/>
          <w:divBdr>
            <w:top w:val="none" w:sz="0" w:space="0" w:color="auto"/>
            <w:left w:val="none" w:sz="0" w:space="0" w:color="auto"/>
            <w:bottom w:val="none" w:sz="0" w:space="0" w:color="auto"/>
            <w:right w:val="none" w:sz="0" w:space="0" w:color="auto"/>
          </w:divBdr>
        </w:div>
        <w:div w:id="171843305">
          <w:marLeft w:val="1238"/>
          <w:marRight w:val="0"/>
          <w:marTop w:val="0"/>
          <w:marBottom w:val="0"/>
          <w:divBdr>
            <w:top w:val="none" w:sz="0" w:space="0" w:color="auto"/>
            <w:left w:val="none" w:sz="0" w:space="0" w:color="auto"/>
            <w:bottom w:val="none" w:sz="0" w:space="0" w:color="auto"/>
            <w:right w:val="none" w:sz="0" w:space="0" w:color="auto"/>
          </w:divBdr>
        </w:div>
        <w:div w:id="1787195047">
          <w:marLeft w:val="1238"/>
          <w:marRight w:val="0"/>
          <w:marTop w:val="0"/>
          <w:marBottom w:val="0"/>
          <w:divBdr>
            <w:top w:val="none" w:sz="0" w:space="0" w:color="auto"/>
            <w:left w:val="none" w:sz="0" w:space="0" w:color="auto"/>
            <w:bottom w:val="none" w:sz="0" w:space="0" w:color="auto"/>
            <w:right w:val="none" w:sz="0" w:space="0" w:color="auto"/>
          </w:divBdr>
        </w:div>
      </w:divsChild>
    </w:div>
    <w:div w:id="939877002">
      <w:bodyDiv w:val="1"/>
      <w:marLeft w:val="0"/>
      <w:marRight w:val="0"/>
      <w:marTop w:val="0"/>
      <w:marBottom w:val="0"/>
      <w:divBdr>
        <w:top w:val="none" w:sz="0" w:space="0" w:color="auto"/>
        <w:left w:val="none" w:sz="0" w:space="0" w:color="auto"/>
        <w:bottom w:val="none" w:sz="0" w:space="0" w:color="auto"/>
        <w:right w:val="none" w:sz="0" w:space="0" w:color="auto"/>
      </w:divBdr>
    </w:div>
    <w:div w:id="948319811">
      <w:bodyDiv w:val="1"/>
      <w:marLeft w:val="0"/>
      <w:marRight w:val="0"/>
      <w:marTop w:val="0"/>
      <w:marBottom w:val="0"/>
      <w:divBdr>
        <w:top w:val="none" w:sz="0" w:space="0" w:color="auto"/>
        <w:left w:val="none" w:sz="0" w:space="0" w:color="auto"/>
        <w:bottom w:val="none" w:sz="0" w:space="0" w:color="auto"/>
        <w:right w:val="none" w:sz="0" w:space="0" w:color="auto"/>
      </w:divBdr>
    </w:div>
    <w:div w:id="970016024">
      <w:bodyDiv w:val="1"/>
      <w:marLeft w:val="0"/>
      <w:marRight w:val="0"/>
      <w:marTop w:val="0"/>
      <w:marBottom w:val="0"/>
      <w:divBdr>
        <w:top w:val="none" w:sz="0" w:space="0" w:color="auto"/>
        <w:left w:val="none" w:sz="0" w:space="0" w:color="auto"/>
        <w:bottom w:val="none" w:sz="0" w:space="0" w:color="auto"/>
        <w:right w:val="none" w:sz="0" w:space="0" w:color="auto"/>
      </w:divBdr>
      <w:divsChild>
        <w:div w:id="1082140728">
          <w:marLeft w:val="547"/>
          <w:marRight w:val="0"/>
          <w:marTop w:val="0"/>
          <w:marBottom w:val="0"/>
          <w:divBdr>
            <w:top w:val="none" w:sz="0" w:space="0" w:color="auto"/>
            <w:left w:val="none" w:sz="0" w:space="0" w:color="auto"/>
            <w:bottom w:val="none" w:sz="0" w:space="0" w:color="auto"/>
            <w:right w:val="none" w:sz="0" w:space="0" w:color="auto"/>
          </w:divBdr>
        </w:div>
        <w:div w:id="1793595596">
          <w:marLeft w:val="547"/>
          <w:marRight w:val="0"/>
          <w:marTop w:val="0"/>
          <w:marBottom w:val="0"/>
          <w:divBdr>
            <w:top w:val="none" w:sz="0" w:space="0" w:color="auto"/>
            <w:left w:val="none" w:sz="0" w:space="0" w:color="auto"/>
            <w:bottom w:val="none" w:sz="0" w:space="0" w:color="auto"/>
            <w:right w:val="none" w:sz="0" w:space="0" w:color="auto"/>
          </w:divBdr>
        </w:div>
        <w:div w:id="767310530">
          <w:marLeft w:val="547"/>
          <w:marRight w:val="0"/>
          <w:marTop w:val="0"/>
          <w:marBottom w:val="0"/>
          <w:divBdr>
            <w:top w:val="none" w:sz="0" w:space="0" w:color="auto"/>
            <w:left w:val="none" w:sz="0" w:space="0" w:color="auto"/>
            <w:bottom w:val="none" w:sz="0" w:space="0" w:color="auto"/>
            <w:right w:val="none" w:sz="0" w:space="0" w:color="auto"/>
          </w:divBdr>
        </w:div>
      </w:divsChild>
    </w:div>
    <w:div w:id="994914549">
      <w:bodyDiv w:val="1"/>
      <w:marLeft w:val="0"/>
      <w:marRight w:val="0"/>
      <w:marTop w:val="0"/>
      <w:marBottom w:val="0"/>
      <w:divBdr>
        <w:top w:val="none" w:sz="0" w:space="0" w:color="auto"/>
        <w:left w:val="none" w:sz="0" w:space="0" w:color="auto"/>
        <w:bottom w:val="none" w:sz="0" w:space="0" w:color="auto"/>
        <w:right w:val="none" w:sz="0" w:space="0" w:color="auto"/>
      </w:divBdr>
    </w:div>
    <w:div w:id="1022362370">
      <w:bodyDiv w:val="1"/>
      <w:marLeft w:val="0"/>
      <w:marRight w:val="0"/>
      <w:marTop w:val="0"/>
      <w:marBottom w:val="0"/>
      <w:divBdr>
        <w:top w:val="none" w:sz="0" w:space="0" w:color="auto"/>
        <w:left w:val="none" w:sz="0" w:space="0" w:color="auto"/>
        <w:bottom w:val="none" w:sz="0" w:space="0" w:color="auto"/>
        <w:right w:val="none" w:sz="0" w:space="0" w:color="auto"/>
      </w:divBdr>
    </w:div>
    <w:div w:id="1028064870">
      <w:bodyDiv w:val="1"/>
      <w:marLeft w:val="0"/>
      <w:marRight w:val="0"/>
      <w:marTop w:val="0"/>
      <w:marBottom w:val="0"/>
      <w:divBdr>
        <w:top w:val="none" w:sz="0" w:space="0" w:color="auto"/>
        <w:left w:val="none" w:sz="0" w:space="0" w:color="auto"/>
        <w:bottom w:val="none" w:sz="0" w:space="0" w:color="auto"/>
        <w:right w:val="none" w:sz="0" w:space="0" w:color="auto"/>
      </w:divBdr>
      <w:divsChild>
        <w:div w:id="197594560">
          <w:marLeft w:val="576"/>
          <w:marRight w:val="0"/>
          <w:marTop w:val="0"/>
          <w:marBottom w:val="0"/>
          <w:divBdr>
            <w:top w:val="none" w:sz="0" w:space="0" w:color="auto"/>
            <w:left w:val="none" w:sz="0" w:space="0" w:color="auto"/>
            <w:bottom w:val="none" w:sz="0" w:space="0" w:color="auto"/>
            <w:right w:val="none" w:sz="0" w:space="0" w:color="auto"/>
          </w:divBdr>
        </w:div>
        <w:div w:id="1539581596">
          <w:marLeft w:val="576"/>
          <w:marRight w:val="0"/>
          <w:marTop w:val="0"/>
          <w:marBottom w:val="0"/>
          <w:divBdr>
            <w:top w:val="none" w:sz="0" w:space="0" w:color="auto"/>
            <w:left w:val="none" w:sz="0" w:space="0" w:color="auto"/>
            <w:bottom w:val="none" w:sz="0" w:space="0" w:color="auto"/>
            <w:right w:val="none" w:sz="0" w:space="0" w:color="auto"/>
          </w:divBdr>
        </w:div>
        <w:div w:id="403647939">
          <w:marLeft w:val="576"/>
          <w:marRight w:val="0"/>
          <w:marTop w:val="0"/>
          <w:marBottom w:val="0"/>
          <w:divBdr>
            <w:top w:val="none" w:sz="0" w:space="0" w:color="auto"/>
            <w:left w:val="none" w:sz="0" w:space="0" w:color="auto"/>
            <w:bottom w:val="none" w:sz="0" w:space="0" w:color="auto"/>
            <w:right w:val="none" w:sz="0" w:space="0" w:color="auto"/>
          </w:divBdr>
        </w:div>
        <w:div w:id="1779331121">
          <w:marLeft w:val="576"/>
          <w:marRight w:val="0"/>
          <w:marTop w:val="0"/>
          <w:marBottom w:val="0"/>
          <w:divBdr>
            <w:top w:val="none" w:sz="0" w:space="0" w:color="auto"/>
            <w:left w:val="none" w:sz="0" w:space="0" w:color="auto"/>
            <w:bottom w:val="none" w:sz="0" w:space="0" w:color="auto"/>
            <w:right w:val="none" w:sz="0" w:space="0" w:color="auto"/>
          </w:divBdr>
        </w:div>
        <w:div w:id="392311819">
          <w:marLeft w:val="562"/>
          <w:marRight w:val="0"/>
          <w:marTop w:val="0"/>
          <w:marBottom w:val="0"/>
          <w:divBdr>
            <w:top w:val="none" w:sz="0" w:space="0" w:color="auto"/>
            <w:left w:val="none" w:sz="0" w:space="0" w:color="auto"/>
            <w:bottom w:val="none" w:sz="0" w:space="0" w:color="auto"/>
            <w:right w:val="none" w:sz="0" w:space="0" w:color="auto"/>
          </w:divBdr>
        </w:div>
        <w:div w:id="1130396459">
          <w:marLeft w:val="576"/>
          <w:marRight w:val="0"/>
          <w:marTop w:val="0"/>
          <w:marBottom w:val="0"/>
          <w:divBdr>
            <w:top w:val="none" w:sz="0" w:space="0" w:color="auto"/>
            <w:left w:val="none" w:sz="0" w:space="0" w:color="auto"/>
            <w:bottom w:val="none" w:sz="0" w:space="0" w:color="auto"/>
            <w:right w:val="none" w:sz="0" w:space="0" w:color="auto"/>
          </w:divBdr>
        </w:div>
      </w:divsChild>
    </w:div>
    <w:div w:id="1059129754">
      <w:bodyDiv w:val="1"/>
      <w:marLeft w:val="0"/>
      <w:marRight w:val="0"/>
      <w:marTop w:val="0"/>
      <w:marBottom w:val="0"/>
      <w:divBdr>
        <w:top w:val="none" w:sz="0" w:space="0" w:color="auto"/>
        <w:left w:val="none" w:sz="0" w:space="0" w:color="auto"/>
        <w:bottom w:val="none" w:sz="0" w:space="0" w:color="auto"/>
        <w:right w:val="none" w:sz="0" w:space="0" w:color="auto"/>
      </w:divBdr>
    </w:div>
    <w:div w:id="1081827674">
      <w:bodyDiv w:val="1"/>
      <w:marLeft w:val="0"/>
      <w:marRight w:val="0"/>
      <w:marTop w:val="0"/>
      <w:marBottom w:val="0"/>
      <w:divBdr>
        <w:top w:val="none" w:sz="0" w:space="0" w:color="auto"/>
        <w:left w:val="none" w:sz="0" w:space="0" w:color="auto"/>
        <w:bottom w:val="none" w:sz="0" w:space="0" w:color="auto"/>
        <w:right w:val="none" w:sz="0" w:space="0" w:color="auto"/>
      </w:divBdr>
    </w:div>
    <w:div w:id="1096024851">
      <w:bodyDiv w:val="1"/>
      <w:marLeft w:val="0"/>
      <w:marRight w:val="0"/>
      <w:marTop w:val="0"/>
      <w:marBottom w:val="0"/>
      <w:divBdr>
        <w:top w:val="none" w:sz="0" w:space="0" w:color="auto"/>
        <w:left w:val="none" w:sz="0" w:space="0" w:color="auto"/>
        <w:bottom w:val="none" w:sz="0" w:space="0" w:color="auto"/>
        <w:right w:val="none" w:sz="0" w:space="0" w:color="auto"/>
      </w:divBdr>
    </w:div>
    <w:div w:id="1096291652">
      <w:bodyDiv w:val="1"/>
      <w:marLeft w:val="0"/>
      <w:marRight w:val="0"/>
      <w:marTop w:val="0"/>
      <w:marBottom w:val="0"/>
      <w:divBdr>
        <w:top w:val="none" w:sz="0" w:space="0" w:color="auto"/>
        <w:left w:val="none" w:sz="0" w:space="0" w:color="auto"/>
        <w:bottom w:val="none" w:sz="0" w:space="0" w:color="auto"/>
        <w:right w:val="none" w:sz="0" w:space="0" w:color="auto"/>
      </w:divBdr>
    </w:div>
    <w:div w:id="1110391642">
      <w:bodyDiv w:val="1"/>
      <w:marLeft w:val="0"/>
      <w:marRight w:val="0"/>
      <w:marTop w:val="0"/>
      <w:marBottom w:val="0"/>
      <w:divBdr>
        <w:top w:val="none" w:sz="0" w:space="0" w:color="auto"/>
        <w:left w:val="none" w:sz="0" w:space="0" w:color="auto"/>
        <w:bottom w:val="none" w:sz="0" w:space="0" w:color="auto"/>
        <w:right w:val="none" w:sz="0" w:space="0" w:color="auto"/>
      </w:divBdr>
    </w:div>
    <w:div w:id="1136723839">
      <w:bodyDiv w:val="1"/>
      <w:marLeft w:val="0"/>
      <w:marRight w:val="0"/>
      <w:marTop w:val="0"/>
      <w:marBottom w:val="0"/>
      <w:divBdr>
        <w:top w:val="none" w:sz="0" w:space="0" w:color="auto"/>
        <w:left w:val="none" w:sz="0" w:space="0" w:color="auto"/>
        <w:bottom w:val="none" w:sz="0" w:space="0" w:color="auto"/>
        <w:right w:val="none" w:sz="0" w:space="0" w:color="auto"/>
      </w:divBdr>
    </w:div>
    <w:div w:id="1143542753">
      <w:bodyDiv w:val="1"/>
      <w:marLeft w:val="0"/>
      <w:marRight w:val="0"/>
      <w:marTop w:val="0"/>
      <w:marBottom w:val="0"/>
      <w:divBdr>
        <w:top w:val="none" w:sz="0" w:space="0" w:color="auto"/>
        <w:left w:val="none" w:sz="0" w:space="0" w:color="auto"/>
        <w:bottom w:val="none" w:sz="0" w:space="0" w:color="auto"/>
        <w:right w:val="none" w:sz="0" w:space="0" w:color="auto"/>
      </w:divBdr>
    </w:div>
    <w:div w:id="1169829095">
      <w:bodyDiv w:val="1"/>
      <w:marLeft w:val="0"/>
      <w:marRight w:val="0"/>
      <w:marTop w:val="0"/>
      <w:marBottom w:val="0"/>
      <w:divBdr>
        <w:top w:val="none" w:sz="0" w:space="0" w:color="auto"/>
        <w:left w:val="none" w:sz="0" w:space="0" w:color="auto"/>
        <w:bottom w:val="none" w:sz="0" w:space="0" w:color="auto"/>
        <w:right w:val="none" w:sz="0" w:space="0" w:color="auto"/>
      </w:divBdr>
    </w:div>
    <w:div w:id="1171064105">
      <w:bodyDiv w:val="1"/>
      <w:marLeft w:val="0"/>
      <w:marRight w:val="0"/>
      <w:marTop w:val="0"/>
      <w:marBottom w:val="0"/>
      <w:divBdr>
        <w:top w:val="none" w:sz="0" w:space="0" w:color="auto"/>
        <w:left w:val="none" w:sz="0" w:space="0" w:color="auto"/>
        <w:bottom w:val="none" w:sz="0" w:space="0" w:color="auto"/>
        <w:right w:val="none" w:sz="0" w:space="0" w:color="auto"/>
      </w:divBdr>
    </w:div>
    <w:div w:id="1174109519">
      <w:bodyDiv w:val="1"/>
      <w:marLeft w:val="0"/>
      <w:marRight w:val="0"/>
      <w:marTop w:val="0"/>
      <w:marBottom w:val="0"/>
      <w:divBdr>
        <w:top w:val="none" w:sz="0" w:space="0" w:color="auto"/>
        <w:left w:val="none" w:sz="0" w:space="0" w:color="auto"/>
        <w:bottom w:val="none" w:sz="0" w:space="0" w:color="auto"/>
        <w:right w:val="none" w:sz="0" w:space="0" w:color="auto"/>
      </w:divBdr>
      <w:divsChild>
        <w:div w:id="447091798">
          <w:marLeft w:val="576"/>
          <w:marRight w:val="0"/>
          <w:marTop w:val="0"/>
          <w:marBottom w:val="0"/>
          <w:divBdr>
            <w:top w:val="none" w:sz="0" w:space="0" w:color="auto"/>
            <w:left w:val="none" w:sz="0" w:space="0" w:color="auto"/>
            <w:bottom w:val="none" w:sz="0" w:space="0" w:color="auto"/>
            <w:right w:val="none" w:sz="0" w:space="0" w:color="auto"/>
          </w:divBdr>
        </w:div>
        <w:div w:id="1799645014">
          <w:marLeft w:val="1238"/>
          <w:marRight w:val="0"/>
          <w:marTop w:val="0"/>
          <w:marBottom w:val="0"/>
          <w:divBdr>
            <w:top w:val="none" w:sz="0" w:space="0" w:color="auto"/>
            <w:left w:val="none" w:sz="0" w:space="0" w:color="auto"/>
            <w:bottom w:val="none" w:sz="0" w:space="0" w:color="auto"/>
            <w:right w:val="none" w:sz="0" w:space="0" w:color="auto"/>
          </w:divBdr>
        </w:div>
        <w:div w:id="1431974662">
          <w:marLeft w:val="1238"/>
          <w:marRight w:val="0"/>
          <w:marTop w:val="0"/>
          <w:marBottom w:val="0"/>
          <w:divBdr>
            <w:top w:val="none" w:sz="0" w:space="0" w:color="auto"/>
            <w:left w:val="none" w:sz="0" w:space="0" w:color="auto"/>
            <w:bottom w:val="none" w:sz="0" w:space="0" w:color="auto"/>
            <w:right w:val="none" w:sz="0" w:space="0" w:color="auto"/>
          </w:divBdr>
        </w:div>
        <w:div w:id="1160190199">
          <w:marLeft w:val="1238"/>
          <w:marRight w:val="0"/>
          <w:marTop w:val="0"/>
          <w:marBottom w:val="0"/>
          <w:divBdr>
            <w:top w:val="none" w:sz="0" w:space="0" w:color="auto"/>
            <w:left w:val="none" w:sz="0" w:space="0" w:color="auto"/>
            <w:bottom w:val="none" w:sz="0" w:space="0" w:color="auto"/>
            <w:right w:val="none" w:sz="0" w:space="0" w:color="auto"/>
          </w:divBdr>
        </w:div>
      </w:divsChild>
    </w:div>
    <w:div w:id="1205747839">
      <w:bodyDiv w:val="1"/>
      <w:marLeft w:val="0"/>
      <w:marRight w:val="0"/>
      <w:marTop w:val="0"/>
      <w:marBottom w:val="0"/>
      <w:divBdr>
        <w:top w:val="none" w:sz="0" w:space="0" w:color="auto"/>
        <w:left w:val="none" w:sz="0" w:space="0" w:color="auto"/>
        <w:bottom w:val="none" w:sz="0" w:space="0" w:color="auto"/>
        <w:right w:val="none" w:sz="0" w:space="0" w:color="auto"/>
      </w:divBdr>
    </w:div>
    <w:div w:id="1233003710">
      <w:bodyDiv w:val="1"/>
      <w:marLeft w:val="0"/>
      <w:marRight w:val="0"/>
      <w:marTop w:val="0"/>
      <w:marBottom w:val="0"/>
      <w:divBdr>
        <w:top w:val="none" w:sz="0" w:space="0" w:color="auto"/>
        <w:left w:val="none" w:sz="0" w:space="0" w:color="auto"/>
        <w:bottom w:val="none" w:sz="0" w:space="0" w:color="auto"/>
        <w:right w:val="none" w:sz="0" w:space="0" w:color="auto"/>
      </w:divBdr>
    </w:div>
    <w:div w:id="1250502608">
      <w:bodyDiv w:val="1"/>
      <w:marLeft w:val="0"/>
      <w:marRight w:val="0"/>
      <w:marTop w:val="0"/>
      <w:marBottom w:val="0"/>
      <w:divBdr>
        <w:top w:val="none" w:sz="0" w:space="0" w:color="auto"/>
        <w:left w:val="none" w:sz="0" w:space="0" w:color="auto"/>
        <w:bottom w:val="none" w:sz="0" w:space="0" w:color="auto"/>
        <w:right w:val="none" w:sz="0" w:space="0" w:color="auto"/>
      </w:divBdr>
    </w:div>
    <w:div w:id="1259485029">
      <w:bodyDiv w:val="1"/>
      <w:marLeft w:val="0"/>
      <w:marRight w:val="0"/>
      <w:marTop w:val="0"/>
      <w:marBottom w:val="0"/>
      <w:divBdr>
        <w:top w:val="none" w:sz="0" w:space="0" w:color="auto"/>
        <w:left w:val="none" w:sz="0" w:space="0" w:color="auto"/>
        <w:bottom w:val="none" w:sz="0" w:space="0" w:color="auto"/>
        <w:right w:val="none" w:sz="0" w:space="0" w:color="auto"/>
      </w:divBdr>
    </w:div>
    <w:div w:id="1282344966">
      <w:bodyDiv w:val="1"/>
      <w:marLeft w:val="0"/>
      <w:marRight w:val="0"/>
      <w:marTop w:val="0"/>
      <w:marBottom w:val="0"/>
      <w:divBdr>
        <w:top w:val="none" w:sz="0" w:space="0" w:color="auto"/>
        <w:left w:val="none" w:sz="0" w:space="0" w:color="auto"/>
        <w:bottom w:val="none" w:sz="0" w:space="0" w:color="auto"/>
        <w:right w:val="none" w:sz="0" w:space="0" w:color="auto"/>
      </w:divBdr>
    </w:div>
    <w:div w:id="1290280250">
      <w:bodyDiv w:val="1"/>
      <w:marLeft w:val="0"/>
      <w:marRight w:val="0"/>
      <w:marTop w:val="0"/>
      <w:marBottom w:val="0"/>
      <w:divBdr>
        <w:top w:val="none" w:sz="0" w:space="0" w:color="auto"/>
        <w:left w:val="none" w:sz="0" w:space="0" w:color="auto"/>
        <w:bottom w:val="none" w:sz="0" w:space="0" w:color="auto"/>
        <w:right w:val="none" w:sz="0" w:space="0" w:color="auto"/>
      </w:divBdr>
    </w:div>
    <w:div w:id="1295522003">
      <w:bodyDiv w:val="1"/>
      <w:marLeft w:val="0"/>
      <w:marRight w:val="0"/>
      <w:marTop w:val="0"/>
      <w:marBottom w:val="0"/>
      <w:divBdr>
        <w:top w:val="none" w:sz="0" w:space="0" w:color="auto"/>
        <w:left w:val="none" w:sz="0" w:space="0" w:color="auto"/>
        <w:bottom w:val="none" w:sz="0" w:space="0" w:color="auto"/>
        <w:right w:val="none" w:sz="0" w:space="0" w:color="auto"/>
      </w:divBdr>
    </w:div>
    <w:div w:id="1302416504">
      <w:bodyDiv w:val="1"/>
      <w:marLeft w:val="0"/>
      <w:marRight w:val="0"/>
      <w:marTop w:val="0"/>
      <w:marBottom w:val="0"/>
      <w:divBdr>
        <w:top w:val="none" w:sz="0" w:space="0" w:color="auto"/>
        <w:left w:val="none" w:sz="0" w:space="0" w:color="auto"/>
        <w:bottom w:val="none" w:sz="0" w:space="0" w:color="auto"/>
        <w:right w:val="none" w:sz="0" w:space="0" w:color="auto"/>
      </w:divBdr>
    </w:div>
    <w:div w:id="1330788478">
      <w:bodyDiv w:val="1"/>
      <w:marLeft w:val="0"/>
      <w:marRight w:val="0"/>
      <w:marTop w:val="0"/>
      <w:marBottom w:val="0"/>
      <w:divBdr>
        <w:top w:val="none" w:sz="0" w:space="0" w:color="auto"/>
        <w:left w:val="none" w:sz="0" w:space="0" w:color="auto"/>
        <w:bottom w:val="none" w:sz="0" w:space="0" w:color="auto"/>
        <w:right w:val="none" w:sz="0" w:space="0" w:color="auto"/>
      </w:divBdr>
    </w:div>
    <w:div w:id="1333679547">
      <w:bodyDiv w:val="1"/>
      <w:marLeft w:val="0"/>
      <w:marRight w:val="0"/>
      <w:marTop w:val="0"/>
      <w:marBottom w:val="0"/>
      <w:divBdr>
        <w:top w:val="none" w:sz="0" w:space="0" w:color="auto"/>
        <w:left w:val="none" w:sz="0" w:space="0" w:color="auto"/>
        <w:bottom w:val="none" w:sz="0" w:space="0" w:color="auto"/>
        <w:right w:val="none" w:sz="0" w:space="0" w:color="auto"/>
      </w:divBdr>
    </w:div>
    <w:div w:id="1334261796">
      <w:bodyDiv w:val="1"/>
      <w:marLeft w:val="0"/>
      <w:marRight w:val="0"/>
      <w:marTop w:val="0"/>
      <w:marBottom w:val="0"/>
      <w:divBdr>
        <w:top w:val="none" w:sz="0" w:space="0" w:color="auto"/>
        <w:left w:val="none" w:sz="0" w:space="0" w:color="auto"/>
        <w:bottom w:val="none" w:sz="0" w:space="0" w:color="auto"/>
        <w:right w:val="none" w:sz="0" w:space="0" w:color="auto"/>
      </w:divBdr>
    </w:div>
    <w:div w:id="1387804246">
      <w:bodyDiv w:val="1"/>
      <w:marLeft w:val="0"/>
      <w:marRight w:val="0"/>
      <w:marTop w:val="0"/>
      <w:marBottom w:val="0"/>
      <w:divBdr>
        <w:top w:val="none" w:sz="0" w:space="0" w:color="auto"/>
        <w:left w:val="none" w:sz="0" w:space="0" w:color="auto"/>
        <w:bottom w:val="none" w:sz="0" w:space="0" w:color="auto"/>
        <w:right w:val="none" w:sz="0" w:space="0" w:color="auto"/>
      </w:divBdr>
    </w:div>
    <w:div w:id="1432356343">
      <w:bodyDiv w:val="1"/>
      <w:marLeft w:val="0"/>
      <w:marRight w:val="0"/>
      <w:marTop w:val="0"/>
      <w:marBottom w:val="0"/>
      <w:divBdr>
        <w:top w:val="none" w:sz="0" w:space="0" w:color="auto"/>
        <w:left w:val="none" w:sz="0" w:space="0" w:color="auto"/>
        <w:bottom w:val="none" w:sz="0" w:space="0" w:color="auto"/>
        <w:right w:val="none" w:sz="0" w:space="0" w:color="auto"/>
      </w:divBdr>
    </w:div>
    <w:div w:id="1477382759">
      <w:bodyDiv w:val="1"/>
      <w:marLeft w:val="0"/>
      <w:marRight w:val="0"/>
      <w:marTop w:val="0"/>
      <w:marBottom w:val="0"/>
      <w:divBdr>
        <w:top w:val="none" w:sz="0" w:space="0" w:color="auto"/>
        <w:left w:val="none" w:sz="0" w:space="0" w:color="auto"/>
        <w:bottom w:val="none" w:sz="0" w:space="0" w:color="auto"/>
        <w:right w:val="none" w:sz="0" w:space="0" w:color="auto"/>
      </w:divBdr>
    </w:div>
    <w:div w:id="1478256657">
      <w:bodyDiv w:val="1"/>
      <w:marLeft w:val="0"/>
      <w:marRight w:val="0"/>
      <w:marTop w:val="0"/>
      <w:marBottom w:val="0"/>
      <w:divBdr>
        <w:top w:val="none" w:sz="0" w:space="0" w:color="auto"/>
        <w:left w:val="none" w:sz="0" w:space="0" w:color="auto"/>
        <w:bottom w:val="none" w:sz="0" w:space="0" w:color="auto"/>
        <w:right w:val="none" w:sz="0" w:space="0" w:color="auto"/>
      </w:divBdr>
    </w:div>
    <w:div w:id="1517112878">
      <w:bodyDiv w:val="1"/>
      <w:marLeft w:val="0"/>
      <w:marRight w:val="0"/>
      <w:marTop w:val="0"/>
      <w:marBottom w:val="0"/>
      <w:divBdr>
        <w:top w:val="none" w:sz="0" w:space="0" w:color="auto"/>
        <w:left w:val="none" w:sz="0" w:space="0" w:color="auto"/>
        <w:bottom w:val="none" w:sz="0" w:space="0" w:color="auto"/>
        <w:right w:val="none" w:sz="0" w:space="0" w:color="auto"/>
      </w:divBdr>
    </w:div>
    <w:div w:id="1524904366">
      <w:bodyDiv w:val="1"/>
      <w:marLeft w:val="0"/>
      <w:marRight w:val="0"/>
      <w:marTop w:val="0"/>
      <w:marBottom w:val="0"/>
      <w:divBdr>
        <w:top w:val="none" w:sz="0" w:space="0" w:color="auto"/>
        <w:left w:val="none" w:sz="0" w:space="0" w:color="auto"/>
        <w:bottom w:val="none" w:sz="0" w:space="0" w:color="auto"/>
        <w:right w:val="none" w:sz="0" w:space="0" w:color="auto"/>
      </w:divBdr>
    </w:div>
    <w:div w:id="1573392242">
      <w:bodyDiv w:val="1"/>
      <w:marLeft w:val="0"/>
      <w:marRight w:val="0"/>
      <w:marTop w:val="0"/>
      <w:marBottom w:val="0"/>
      <w:divBdr>
        <w:top w:val="none" w:sz="0" w:space="0" w:color="auto"/>
        <w:left w:val="none" w:sz="0" w:space="0" w:color="auto"/>
        <w:bottom w:val="none" w:sz="0" w:space="0" w:color="auto"/>
        <w:right w:val="none" w:sz="0" w:space="0" w:color="auto"/>
      </w:divBdr>
    </w:div>
    <w:div w:id="1609579241">
      <w:bodyDiv w:val="1"/>
      <w:marLeft w:val="0"/>
      <w:marRight w:val="0"/>
      <w:marTop w:val="0"/>
      <w:marBottom w:val="0"/>
      <w:divBdr>
        <w:top w:val="none" w:sz="0" w:space="0" w:color="auto"/>
        <w:left w:val="none" w:sz="0" w:space="0" w:color="auto"/>
        <w:bottom w:val="none" w:sz="0" w:space="0" w:color="auto"/>
        <w:right w:val="none" w:sz="0" w:space="0" w:color="auto"/>
      </w:divBdr>
    </w:div>
    <w:div w:id="1619070934">
      <w:bodyDiv w:val="1"/>
      <w:marLeft w:val="0"/>
      <w:marRight w:val="0"/>
      <w:marTop w:val="0"/>
      <w:marBottom w:val="0"/>
      <w:divBdr>
        <w:top w:val="none" w:sz="0" w:space="0" w:color="auto"/>
        <w:left w:val="none" w:sz="0" w:space="0" w:color="auto"/>
        <w:bottom w:val="none" w:sz="0" w:space="0" w:color="auto"/>
        <w:right w:val="none" w:sz="0" w:space="0" w:color="auto"/>
      </w:divBdr>
    </w:div>
    <w:div w:id="1691951541">
      <w:bodyDiv w:val="1"/>
      <w:marLeft w:val="0"/>
      <w:marRight w:val="0"/>
      <w:marTop w:val="0"/>
      <w:marBottom w:val="0"/>
      <w:divBdr>
        <w:top w:val="none" w:sz="0" w:space="0" w:color="auto"/>
        <w:left w:val="none" w:sz="0" w:space="0" w:color="auto"/>
        <w:bottom w:val="none" w:sz="0" w:space="0" w:color="auto"/>
        <w:right w:val="none" w:sz="0" w:space="0" w:color="auto"/>
      </w:divBdr>
    </w:div>
    <w:div w:id="1699815156">
      <w:bodyDiv w:val="1"/>
      <w:marLeft w:val="0"/>
      <w:marRight w:val="0"/>
      <w:marTop w:val="0"/>
      <w:marBottom w:val="0"/>
      <w:divBdr>
        <w:top w:val="none" w:sz="0" w:space="0" w:color="auto"/>
        <w:left w:val="none" w:sz="0" w:space="0" w:color="auto"/>
        <w:bottom w:val="none" w:sz="0" w:space="0" w:color="auto"/>
        <w:right w:val="none" w:sz="0" w:space="0" w:color="auto"/>
      </w:divBdr>
    </w:div>
    <w:div w:id="1703091661">
      <w:bodyDiv w:val="1"/>
      <w:marLeft w:val="0"/>
      <w:marRight w:val="0"/>
      <w:marTop w:val="0"/>
      <w:marBottom w:val="0"/>
      <w:divBdr>
        <w:top w:val="none" w:sz="0" w:space="0" w:color="auto"/>
        <w:left w:val="none" w:sz="0" w:space="0" w:color="auto"/>
        <w:bottom w:val="none" w:sz="0" w:space="0" w:color="auto"/>
        <w:right w:val="none" w:sz="0" w:space="0" w:color="auto"/>
      </w:divBdr>
    </w:div>
    <w:div w:id="1709720472">
      <w:bodyDiv w:val="1"/>
      <w:marLeft w:val="0"/>
      <w:marRight w:val="0"/>
      <w:marTop w:val="0"/>
      <w:marBottom w:val="0"/>
      <w:divBdr>
        <w:top w:val="none" w:sz="0" w:space="0" w:color="auto"/>
        <w:left w:val="none" w:sz="0" w:space="0" w:color="auto"/>
        <w:bottom w:val="none" w:sz="0" w:space="0" w:color="auto"/>
        <w:right w:val="none" w:sz="0" w:space="0" w:color="auto"/>
      </w:divBdr>
    </w:div>
    <w:div w:id="1763184053">
      <w:bodyDiv w:val="1"/>
      <w:marLeft w:val="0"/>
      <w:marRight w:val="0"/>
      <w:marTop w:val="0"/>
      <w:marBottom w:val="0"/>
      <w:divBdr>
        <w:top w:val="none" w:sz="0" w:space="0" w:color="auto"/>
        <w:left w:val="none" w:sz="0" w:space="0" w:color="auto"/>
        <w:bottom w:val="none" w:sz="0" w:space="0" w:color="auto"/>
        <w:right w:val="none" w:sz="0" w:space="0" w:color="auto"/>
      </w:divBdr>
    </w:div>
    <w:div w:id="1772627479">
      <w:bodyDiv w:val="1"/>
      <w:marLeft w:val="0"/>
      <w:marRight w:val="0"/>
      <w:marTop w:val="0"/>
      <w:marBottom w:val="0"/>
      <w:divBdr>
        <w:top w:val="none" w:sz="0" w:space="0" w:color="auto"/>
        <w:left w:val="none" w:sz="0" w:space="0" w:color="auto"/>
        <w:bottom w:val="none" w:sz="0" w:space="0" w:color="auto"/>
        <w:right w:val="none" w:sz="0" w:space="0" w:color="auto"/>
      </w:divBdr>
    </w:div>
    <w:div w:id="1778328292">
      <w:bodyDiv w:val="1"/>
      <w:marLeft w:val="0"/>
      <w:marRight w:val="0"/>
      <w:marTop w:val="0"/>
      <w:marBottom w:val="0"/>
      <w:divBdr>
        <w:top w:val="none" w:sz="0" w:space="0" w:color="auto"/>
        <w:left w:val="none" w:sz="0" w:space="0" w:color="auto"/>
        <w:bottom w:val="none" w:sz="0" w:space="0" w:color="auto"/>
        <w:right w:val="none" w:sz="0" w:space="0" w:color="auto"/>
      </w:divBdr>
    </w:div>
    <w:div w:id="1788349945">
      <w:bodyDiv w:val="1"/>
      <w:marLeft w:val="0"/>
      <w:marRight w:val="0"/>
      <w:marTop w:val="0"/>
      <w:marBottom w:val="0"/>
      <w:divBdr>
        <w:top w:val="none" w:sz="0" w:space="0" w:color="auto"/>
        <w:left w:val="none" w:sz="0" w:space="0" w:color="auto"/>
        <w:bottom w:val="none" w:sz="0" w:space="0" w:color="auto"/>
        <w:right w:val="none" w:sz="0" w:space="0" w:color="auto"/>
      </w:divBdr>
    </w:div>
    <w:div w:id="1792244632">
      <w:bodyDiv w:val="1"/>
      <w:marLeft w:val="0"/>
      <w:marRight w:val="0"/>
      <w:marTop w:val="0"/>
      <w:marBottom w:val="0"/>
      <w:divBdr>
        <w:top w:val="none" w:sz="0" w:space="0" w:color="auto"/>
        <w:left w:val="none" w:sz="0" w:space="0" w:color="auto"/>
        <w:bottom w:val="none" w:sz="0" w:space="0" w:color="auto"/>
        <w:right w:val="none" w:sz="0" w:space="0" w:color="auto"/>
      </w:divBdr>
    </w:div>
    <w:div w:id="1807041785">
      <w:bodyDiv w:val="1"/>
      <w:marLeft w:val="0"/>
      <w:marRight w:val="0"/>
      <w:marTop w:val="0"/>
      <w:marBottom w:val="0"/>
      <w:divBdr>
        <w:top w:val="none" w:sz="0" w:space="0" w:color="auto"/>
        <w:left w:val="none" w:sz="0" w:space="0" w:color="auto"/>
        <w:bottom w:val="none" w:sz="0" w:space="0" w:color="auto"/>
        <w:right w:val="none" w:sz="0" w:space="0" w:color="auto"/>
      </w:divBdr>
      <w:divsChild>
        <w:div w:id="928539597">
          <w:marLeft w:val="547"/>
          <w:marRight w:val="0"/>
          <w:marTop w:val="0"/>
          <w:marBottom w:val="0"/>
          <w:divBdr>
            <w:top w:val="none" w:sz="0" w:space="0" w:color="auto"/>
            <w:left w:val="none" w:sz="0" w:space="0" w:color="auto"/>
            <w:bottom w:val="none" w:sz="0" w:space="0" w:color="auto"/>
            <w:right w:val="none" w:sz="0" w:space="0" w:color="auto"/>
          </w:divBdr>
        </w:div>
        <w:div w:id="357782397">
          <w:marLeft w:val="547"/>
          <w:marRight w:val="0"/>
          <w:marTop w:val="0"/>
          <w:marBottom w:val="0"/>
          <w:divBdr>
            <w:top w:val="none" w:sz="0" w:space="0" w:color="auto"/>
            <w:left w:val="none" w:sz="0" w:space="0" w:color="auto"/>
            <w:bottom w:val="none" w:sz="0" w:space="0" w:color="auto"/>
            <w:right w:val="none" w:sz="0" w:space="0" w:color="auto"/>
          </w:divBdr>
        </w:div>
        <w:div w:id="863205025">
          <w:marLeft w:val="547"/>
          <w:marRight w:val="0"/>
          <w:marTop w:val="0"/>
          <w:marBottom w:val="0"/>
          <w:divBdr>
            <w:top w:val="none" w:sz="0" w:space="0" w:color="auto"/>
            <w:left w:val="none" w:sz="0" w:space="0" w:color="auto"/>
            <w:bottom w:val="none" w:sz="0" w:space="0" w:color="auto"/>
            <w:right w:val="none" w:sz="0" w:space="0" w:color="auto"/>
          </w:divBdr>
        </w:div>
        <w:div w:id="1607809828">
          <w:marLeft w:val="446"/>
          <w:marRight w:val="0"/>
          <w:marTop w:val="0"/>
          <w:marBottom w:val="0"/>
          <w:divBdr>
            <w:top w:val="none" w:sz="0" w:space="0" w:color="auto"/>
            <w:left w:val="none" w:sz="0" w:space="0" w:color="auto"/>
            <w:bottom w:val="none" w:sz="0" w:space="0" w:color="auto"/>
            <w:right w:val="none" w:sz="0" w:space="0" w:color="auto"/>
          </w:divBdr>
        </w:div>
      </w:divsChild>
    </w:div>
    <w:div w:id="1885091386">
      <w:bodyDiv w:val="1"/>
      <w:marLeft w:val="0"/>
      <w:marRight w:val="0"/>
      <w:marTop w:val="0"/>
      <w:marBottom w:val="0"/>
      <w:divBdr>
        <w:top w:val="none" w:sz="0" w:space="0" w:color="auto"/>
        <w:left w:val="none" w:sz="0" w:space="0" w:color="auto"/>
        <w:bottom w:val="none" w:sz="0" w:space="0" w:color="auto"/>
        <w:right w:val="none" w:sz="0" w:space="0" w:color="auto"/>
      </w:divBdr>
    </w:div>
    <w:div w:id="1899586594">
      <w:bodyDiv w:val="1"/>
      <w:marLeft w:val="0"/>
      <w:marRight w:val="0"/>
      <w:marTop w:val="0"/>
      <w:marBottom w:val="0"/>
      <w:divBdr>
        <w:top w:val="none" w:sz="0" w:space="0" w:color="auto"/>
        <w:left w:val="none" w:sz="0" w:space="0" w:color="auto"/>
        <w:bottom w:val="none" w:sz="0" w:space="0" w:color="auto"/>
        <w:right w:val="none" w:sz="0" w:space="0" w:color="auto"/>
      </w:divBdr>
    </w:div>
    <w:div w:id="1911766054">
      <w:bodyDiv w:val="1"/>
      <w:marLeft w:val="0"/>
      <w:marRight w:val="0"/>
      <w:marTop w:val="0"/>
      <w:marBottom w:val="0"/>
      <w:divBdr>
        <w:top w:val="none" w:sz="0" w:space="0" w:color="auto"/>
        <w:left w:val="none" w:sz="0" w:space="0" w:color="auto"/>
        <w:bottom w:val="none" w:sz="0" w:space="0" w:color="auto"/>
        <w:right w:val="none" w:sz="0" w:space="0" w:color="auto"/>
      </w:divBdr>
    </w:div>
    <w:div w:id="1912546857">
      <w:bodyDiv w:val="1"/>
      <w:marLeft w:val="0"/>
      <w:marRight w:val="0"/>
      <w:marTop w:val="0"/>
      <w:marBottom w:val="0"/>
      <w:divBdr>
        <w:top w:val="none" w:sz="0" w:space="0" w:color="auto"/>
        <w:left w:val="none" w:sz="0" w:space="0" w:color="auto"/>
        <w:bottom w:val="none" w:sz="0" w:space="0" w:color="auto"/>
        <w:right w:val="none" w:sz="0" w:space="0" w:color="auto"/>
      </w:divBdr>
    </w:div>
    <w:div w:id="1917088792">
      <w:bodyDiv w:val="1"/>
      <w:marLeft w:val="0"/>
      <w:marRight w:val="0"/>
      <w:marTop w:val="0"/>
      <w:marBottom w:val="0"/>
      <w:divBdr>
        <w:top w:val="none" w:sz="0" w:space="0" w:color="auto"/>
        <w:left w:val="none" w:sz="0" w:space="0" w:color="auto"/>
        <w:bottom w:val="none" w:sz="0" w:space="0" w:color="auto"/>
        <w:right w:val="none" w:sz="0" w:space="0" w:color="auto"/>
      </w:divBdr>
    </w:div>
    <w:div w:id="1946303546">
      <w:bodyDiv w:val="1"/>
      <w:marLeft w:val="0"/>
      <w:marRight w:val="0"/>
      <w:marTop w:val="0"/>
      <w:marBottom w:val="0"/>
      <w:divBdr>
        <w:top w:val="none" w:sz="0" w:space="0" w:color="auto"/>
        <w:left w:val="none" w:sz="0" w:space="0" w:color="auto"/>
        <w:bottom w:val="none" w:sz="0" w:space="0" w:color="auto"/>
        <w:right w:val="none" w:sz="0" w:space="0" w:color="auto"/>
      </w:divBdr>
    </w:div>
    <w:div w:id="1948195131">
      <w:bodyDiv w:val="1"/>
      <w:marLeft w:val="0"/>
      <w:marRight w:val="0"/>
      <w:marTop w:val="0"/>
      <w:marBottom w:val="0"/>
      <w:divBdr>
        <w:top w:val="none" w:sz="0" w:space="0" w:color="auto"/>
        <w:left w:val="none" w:sz="0" w:space="0" w:color="auto"/>
        <w:bottom w:val="none" w:sz="0" w:space="0" w:color="auto"/>
        <w:right w:val="none" w:sz="0" w:space="0" w:color="auto"/>
      </w:divBdr>
      <w:divsChild>
        <w:div w:id="147135014">
          <w:marLeft w:val="446"/>
          <w:marRight w:val="0"/>
          <w:marTop w:val="0"/>
          <w:marBottom w:val="0"/>
          <w:divBdr>
            <w:top w:val="none" w:sz="0" w:space="0" w:color="auto"/>
            <w:left w:val="none" w:sz="0" w:space="0" w:color="auto"/>
            <w:bottom w:val="none" w:sz="0" w:space="0" w:color="auto"/>
            <w:right w:val="none" w:sz="0" w:space="0" w:color="auto"/>
          </w:divBdr>
        </w:div>
        <w:div w:id="1304040479">
          <w:marLeft w:val="446"/>
          <w:marRight w:val="0"/>
          <w:marTop w:val="0"/>
          <w:marBottom w:val="0"/>
          <w:divBdr>
            <w:top w:val="none" w:sz="0" w:space="0" w:color="auto"/>
            <w:left w:val="none" w:sz="0" w:space="0" w:color="auto"/>
            <w:bottom w:val="none" w:sz="0" w:space="0" w:color="auto"/>
            <w:right w:val="none" w:sz="0" w:space="0" w:color="auto"/>
          </w:divBdr>
        </w:div>
        <w:div w:id="1103650831">
          <w:marLeft w:val="446"/>
          <w:marRight w:val="0"/>
          <w:marTop w:val="0"/>
          <w:marBottom w:val="0"/>
          <w:divBdr>
            <w:top w:val="none" w:sz="0" w:space="0" w:color="auto"/>
            <w:left w:val="none" w:sz="0" w:space="0" w:color="auto"/>
            <w:bottom w:val="none" w:sz="0" w:space="0" w:color="auto"/>
            <w:right w:val="none" w:sz="0" w:space="0" w:color="auto"/>
          </w:divBdr>
        </w:div>
        <w:div w:id="621040078">
          <w:marLeft w:val="446"/>
          <w:marRight w:val="0"/>
          <w:marTop w:val="0"/>
          <w:marBottom w:val="0"/>
          <w:divBdr>
            <w:top w:val="none" w:sz="0" w:space="0" w:color="auto"/>
            <w:left w:val="none" w:sz="0" w:space="0" w:color="auto"/>
            <w:bottom w:val="none" w:sz="0" w:space="0" w:color="auto"/>
            <w:right w:val="none" w:sz="0" w:space="0" w:color="auto"/>
          </w:divBdr>
        </w:div>
      </w:divsChild>
    </w:div>
    <w:div w:id="1955822979">
      <w:bodyDiv w:val="1"/>
      <w:marLeft w:val="0"/>
      <w:marRight w:val="0"/>
      <w:marTop w:val="0"/>
      <w:marBottom w:val="0"/>
      <w:divBdr>
        <w:top w:val="none" w:sz="0" w:space="0" w:color="auto"/>
        <w:left w:val="none" w:sz="0" w:space="0" w:color="auto"/>
        <w:bottom w:val="none" w:sz="0" w:space="0" w:color="auto"/>
        <w:right w:val="none" w:sz="0" w:space="0" w:color="auto"/>
      </w:divBdr>
    </w:div>
    <w:div w:id="1986349596">
      <w:bodyDiv w:val="1"/>
      <w:marLeft w:val="0"/>
      <w:marRight w:val="0"/>
      <w:marTop w:val="0"/>
      <w:marBottom w:val="0"/>
      <w:divBdr>
        <w:top w:val="none" w:sz="0" w:space="0" w:color="auto"/>
        <w:left w:val="none" w:sz="0" w:space="0" w:color="auto"/>
        <w:bottom w:val="none" w:sz="0" w:space="0" w:color="auto"/>
        <w:right w:val="none" w:sz="0" w:space="0" w:color="auto"/>
      </w:divBdr>
    </w:div>
    <w:div w:id="1991861240">
      <w:bodyDiv w:val="1"/>
      <w:marLeft w:val="0"/>
      <w:marRight w:val="0"/>
      <w:marTop w:val="0"/>
      <w:marBottom w:val="0"/>
      <w:divBdr>
        <w:top w:val="none" w:sz="0" w:space="0" w:color="auto"/>
        <w:left w:val="none" w:sz="0" w:space="0" w:color="auto"/>
        <w:bottom w:val="none" w:sz="0" w:space="0" w:color="auto"/>
        <w:right w:val="none" w:sz="0" w:space="0" w:color="auto"/>
      </w:divBdr>
    </w:div>
    <w:div w:id="2033266645">
      <w:bodyDiv w:val="1"/>
      <w:marLeft w:val="0"/>
      <w:marRight w:val="0"/>
      <w:marTop w:val="0"/>
      <w:marBottom w:val="0"/>
      <w:divBdr>
        <w:top w:val="none" w:sz="0" w:space="0" w:color="auto"/>
        <w:left w:val="none" w:sz="0" w:space="0" w:color="auto"/>
        <w:bottom w:val="none" w:sz="0" w:space="0" w:color="auto"/>
        <w:right w:val="none" w:sz="0" w:space="0" w:color="auto"/>
      </w:divBdr>
    </w:div>
    <w:div w:id="2035574177">
      <w:bodyDiv w:val="1"/>
      <w:marLeft w:val="0"/>
      <w:marRight w:val="0"/>
      <w:marTop w:val="0"/>
      <w:marBottom w:val="0"/>
      <w:divBdr>
        <w:top w:val="none" w:sz="0" w:space="0" w:color="auto"/>
        <w:left w:val="none" w:sz="0" w:space="0" w:color="auto"/>
        <w:bottom w:val="none" w:sz="0" w:space="0" w:color="auto"/>
        <w:right w:val="none" w:sz="0" w:space="0" w:color="auto"/>
      </w:divBdr>
      <w:divsChild>
        <w:div w:id="1656107265">
          <w:marLeft w:val="418"/>
          <w:marRight w:val="0"/>
          <w:marTop w:val="0"/>
          <w:marBottom w:val="0"/>
          <w:divBdr>
            <w:top w:val="none" w:sz="0" w:space="0" w:color="auto"/>
            <w:left w:val="none" w:sz="0" w:space="0" w:color="auto"/>
            <w:bottom w:val="none" w:sz="0" w:space="0" w:color="auto"/>
            <w:right w:val="none" w:sz="0" w:space="0" w:color="auto"/>
          </w:divBdr>
        </w:div>
      </w:divsChild>
    </w:div>
    <w:div w:id="2108108971">
      <w:bodyDiv w:val="1"/>
      <w:marLeft w:val="0"/>
      <w:marRight w:val="0"/>
      <w:marTop w:val="0"/>
      <w:marBottom w:val="0"/>
      <w:divBdr>
        <w:top w:val="none" w:sz="0" w:space="0" w:color="auto"/>
        <w:left w:val="none" w:sz="0" w:space="0" w:color="auto"/>
        <w:bottom w:val="none" w:sz="0" w:space="0" w:color="auto"/>
        <w:right w:val="none" w:sz="0" w:space="0" w:color="auto"/>
      </w:divBdr>
    </w:div>
    <w:div w:id="2108691213">
      <w:bodyDiv w:val="1"/>
      <w:marLeft w:val="0"/>
      <w:marRight w:val="0"/>
      <w:marTop w:val="0"/>
      <w:marBottom w:val="0"/>
      <w:divBdr>
        <w:top w:val="none" w:sz="0" w:space="0" w:color="auto"/>
        <w:left w:val="none" w:sz="0" w:space="0" w:color="auto"/>
        <w:bottom w:val="none" w:sz="0" w:space="0" w:color="auto"/>
        <w:right w:val="none" w:sz="0" w:space="0" w:color="auto"/>
      </w:divBdr>
    </w:div>
    <w:div w:id="212731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anka\Desktop\STRATEGIJA%20%20cirilica.docx" TargetMode="External"/><Relationship Id="rId18" Type="http://schemas.openxmlformats.org/officeDocument/2006/relationships/hyperlink" Target="file:///C:\Users\Danka\Desktop\STRATEGIJA%20%20cirilica.docx" TargetMode="External"/><Relationship Id="rId26" Type="http://schemas.openxmlformats.org/officeDocument/2006/relationships/hyperlink" Target="file:///C:\Users\Danka\Desktop\STRATEGIJA%20%20cirilica.docx" TargetMode="External"/><Relationship Id="rId39" Type="http://schemas.openxmlformats.org/officeDocument/2006/relationships/chart" Target="charts/chart5.xml"/><Relationship Id="rId21" Type="http://schemas.openxmlformats.org/officeDocument/2006/relationships/hyperlink" Target="file:///C:\Users\Danka\Desktop\STRATEGIJA%20%20cirilica.docx" TargetMode="External"/><Relationship Id="rId34" Type="http://schemas.openxmlformats.org/officeDocument/2006/relationships/hyperlink" Target="file:///C:\Users\Danka\Desktop\STRATEGIJA%20%20cirilica.docx" TargetMode="External"/><Relationship Id="rId42" Type="http://schemas.openxmlformats.org/officeDocument/2006/relationships/chart" Target="charts/chart7.xml"/><Relationship Id="rId47" Type="http://schemas.openxmlformats.org/officeDocument/2006/relationships/image" Target="media/image3.png"/><Relationship Id="rId50" Type="http://schemas.openxmlformats.org/officeDocument/2006/relationships/chart" Target="charts/chart11.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Danka\Desktop\STRATEGIJA%20%20cirilica.docx" TargetMode="External"/><Relationship Id="rId17" Type="http://schemas.openxmlformats.org/officeDocument/2006/relationships/hyperlink" Target="file:///C:\Users\Danka\Desktop\STRATEGIJA%20%20cirilica.docx" TargetMode="External"/><Relationship Id="rId25" Type="http://schemas.openxmlformats.org/officeDocument/2006/relationships/hyperlink" Target="file:///C:\Users\Danka\Desktop\STRATEGIJA%20%20cirilica.docx" TargetMode="External"/><Relationship Id="rId33" Type="http://schemas.openxmlformats.org/officeDocument/2006/relationships/hyperlink" Target="file:///C:\Users\Danka\Desktop\STRATEGIJA%20%20cirilica.docx" TargetMode="External"/><Relationship Id="rId38" Type="http://schemas.openxmlformats.org/officeDocument/2006/relationships/chart" Target="charts/chart4.xml"/><Relationship Id="rId46" Type="http://schemas.openxmlformats.org/officeDocument/2006/relationships/chart" Target="charts/chart9.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Danka\Desktop\STRATEGIJA%20%20cirilica.docx" TargetMode="External"/><Relationship Id="rId20" Type="http://schemas.openxmlformats.org/officeDocument/2006/relationships/hyperlink" Target="file:///C:\Users\Danka\Desktop\STRATEGIJA%20%20cirilica.docx" TargetMode="External"/><Relationship Id="rId29" Type="http://schemas.openxmlformats.org/officeDocument/2006/relationships/hyperlink" Target="file:///C:\Users\Danka\Desktop\STRATEGIJA%20%20cirilica.docx" TargetMode="External"/><Relationship Id="rId41" Type="http://schemas.openxmlformats.org/officeDocument/2006/relationships/chart" Target="charts/chart6.xml"/><Relationship Id="rId54"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anka\Desktop\STRATEGIJA%20%20cirilica.docx" TargetMode="External"/><Relationship Id="rId24" Type="http://schemas.openxmlformats.org/officeDocument/2006/relationships/hyperlink" Target="file:///C:\Users\Danka\Desktop\STRATEGIJA%20%20cirilica.docx" TargetMode="External"/><Relationship Id="rId32" Type="http://schemas.openxmlformats.org/officeDocument/2006/relationships/hyperlink" Target="file:///C:\Users\Danka\Desktop\STRATEGIJA%20%20cirilica.docx" TargetMode="External"/><Relationship Id="rId37" Type="http://schemas.openxmlformats.org/officeDocument/2006/relationships/chart" Target="charts/chart3.xml"/><Relationship Id="rId40" Type="http://schemas.openxmlformats.org/officeDocument/2006/relationships/hyperlink" Target="http://eesp.me/wp-content/uploads/2020/06/analiza-lokalnih-trzista.pdf" TargetMode="External"/><Relationship Id="rId45" Type="http://schemas.openxmlformats.org/officeDocument/2006/relationships/image" Target="media/image2.png"/><Relationship Id="rId53" Type="http://schemas.openxmlformats.org/officeDocument/2006/relationships/image" Target="media/image5.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Danka\Desktop\STRATEGIJA%20%20cirilica.docx" TargetMode="External"/><Relationship Id="rId23" Type="http://schemas.openxmlformats.org/officeDocument/2006/relationships/hyperlink" Target="file:///C:\Users\Danka\Desktop\STRATEGIJA%20%20cirilica.docx" TargetMode="External"/><Relationship Id="rId28" Type="http://schemas.openxmlformats.org/officeDocument/2006/relationships/hyperlink" Target="file:///C:\Users\Danka\Desktop\STRATEGIJA%20%20cirilica.docx" TargetMode="External"/><Relationship Id="rId36" Type="http://schemas.openxmlformats.org/officeDocument/2006/relationships/chart" Target="charts/chart2.xml"/><Relationship Id="rId49" Type="http://schemas.openxmlformats.org/officeDocument/2006/relationships/chart" Target="charts/chart10.xml"/><Relationship Id="rId57" Type="http://schemas.openxmlformats.org/officeDocument/2006/relationships/header" Target="header2.xml"/><Relationship Id="rId10" Type="http://schemas.openxmlformats.org/officeDocument/2006/relationships/hyperlink" Target="file:///C:\Users\Danka\Desktop\STRATEGIJA%20%20cirilica.docx" TargetMode="External"/><Relationship Id="rId19" Type="http://schemas.openxmlformats.org/officeDocument/2006/relationships/hyperlink" Target="file:///C:\Users\Danka\Desktop\STRATEGIJA%20%20cirilica.docx" TargetMode="External"/><Relationship Id="rId31" Type="http://schemas.openxmlformats.org/officeDocument/2006/relationships/hyperlink" Target="file:///C:\Users\Danka\Desktop\STRATEGIJA%20%20cirilica.docx" TargetMode="External"/><Relationship Id="rId44" Type="http://schemas.openxmlformats.org/officeDocument/2006/relationships/image" Target="media/image1.png"/><Relationship Id="rId52"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hyperlink" Target="file:///C:\Users\Danka\Desktop\STRATEGIJA%20%20cirilica.docx" TargetMode="External"/><Relationship Id="rId14" Type="http://schemas.openxmlformats.org/officeDocument/2006/relationships/hyperlink" Target="file:///C:\Users\Danka\Desktop\STRATEGIJA%20%20cirilica.docx" TargetMode="External"/><Relationship Id="rId22" Type="http://schemas.openxmlformats.org/officeDocument/2006/relationships/hyperlink" Target="file:///C:\Users\Danka\Desktop\STRATEGIJA%20%20cirilica.docx" TargetMode="External"/><Relationship Id="rId27" Type="http://schemas.openxmlformats.org/officeDocument/2006/relationships/hyperlink" Target="file:///C:\Users\Danka\Desktop\STRATEGIJA%20%20cirilica.docx" TargetMode="External"/><Relationship Id="rId30" Type="http://schemas.openxmlformats.org/officeDocument/2006/relationships/hyperlink" Target="file:///C:\Users\Danka\Desktop\STRATEGIJA%20%20cirilica.docx" TargetMode="External"/><Relationship Id="rId35" Type="http://schemas.openxmlformats.org/officeDocument/2006/relationships/chart" Target="charts/chart1.xml"/><Relationship Id="rId43" Type="http://schemas.openxmlformats.org/officeDocument/2006/relationships/chart" Target="charts/chart8.xml"/><Relationship Id="rId48" Type="http://schemas.openxmlformats.org/officeDocument/2006/relationships/image" Target="media/image4.png"/><Relationship Id="rId56" Type="http://schemas.openxmlformats.org/officeDocument/2006/relationships/footer" Target="footer1.xml"/><Relationship Id="rId8" Type="http://schemas.openxmlformats.org/officeDocument/2006/relationships/hyperlink" Target="file:///C:\Users\Danka\Desktop\STRATEGIJA%20%20cirilica.docx" TargetMode="External"/><Relationship Id="rId51" Type="http://schemas.openxmlformats.org/officeDocument/2006/relationships/chart" Target="charts/chart1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mps.gov.me/rubrike/obrazovanje-odraslih" TargetMode="External"/><Relationship Id="rId1" Type="http://schemas.openxmlformats.org/officeDocument/2006/relationships/hyperlink" Target="https://mps.gov.me/rubrike/obrazovanje-odraslih"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ri\Desktop\MNE%205.3.2020\PROJECT%20IMPLEMENTATION\COMPONENT%202\Act%202.2%20Local%20employment%20strategies%20and%20action%20plans\Berane\GRAFICI%20beran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eri\Desktop\MNE%205.3.2020\PROJECT%20IMPLEMENTATION\COMPONENT%202\Act%202.2%20Local%20employment%20strategies%20and%20action%20plans\Resursi%20za%20strategije\Obrada%20podataka%20za%20strategije%20po%20op&#353;tinama.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14.xml.rels><?xml version="1.0" encoding="UTF-8" standalone="yes"?>
<Relationships xmlns="http://schemas.openxmlformats.org/package/2006/relationships"><Relationship Id="rId1" Type="http://schemas.openxmlformats.org/officeDocument/2006/relationships/oleObject" Target="file:///C:\Users\Korisnik\Desktop\STRATEGIJE\GRAFICI%20beran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eri\Desktop\MNE%205.3.2020\PROJECT%20IMPLEMENTATION\COMPONENT%202\Act%202.2%20Local%20employment%20strategies%20and%20action%20plans\Berane\GRAFICI%20beran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eri\Desktop\MNE%205.3.2020\PROJECT%20IMPLEMENTATION\COMPONENT%202\Act%202.2%20Local%20employment%20strategies%20and%20action%20plans\Berane\GRAFICI%20berane.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Korisnik\Desktop\MERI%20MILIKA\INDIKATOR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eri\Desktop\MNE%205.3.2020\PROJECT%20IMPLEMENTATION\COMPONENT%202\Act%202.2%20Local%20employment%20strategies%20and%20action%20plans\Berane\GRAFICI%20beran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eri\Desktop\MNE%205.3.2020\PROJECT%20IMPLEMENTATION\COMPONENT%202\Act%202.2%20Local%20employment%20strategies%20and%20action%20plans\Berane\GRAFICI%20beran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eri\Desktop\MNE%205.3.2020\PROJECT%20IMPLEMENTATION\COMPONENT%202\Act%202.2%20Local%20employment%20strategies%20and%20action%20plans\Berane\GRAFICI%20beran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eri\Desktop\MNE%205.3.2020\PROJECT%20IMPLEMENTATION\COMPONENT%202\Act%202.2%20Local%20employment%20strategies%20and%20action%20plans\Berane\GRAFICI%20beran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 1'!$B$15:$B$23</c:f>
              <c:strCache>
                <c:ptCount val="9"/>
                <c:pt idx="0">
                  <c:v>2011.</c:v>
                </c:pt>
                <c:pt idx="1">
                  <c:v>2012.</c:v>
                </c:pt>
                <c:pt idx="2">
                  <c:v>2013.</c:v>
                </c:pt>
                <c:pt idx="3">
                  <c:v>2014.</c:v>
                </c:pt>
                <c:pt idx="4">
                  <c:v>2015.</c:v>
                </c:pt>
                <c:pt idx="5">
                  <c:v>2016.</c:v>
                </c:pt>
                <c:pt idx="6">
                  <c:v>2017.</c:v>
                </c:pt>
                <c:pt idx="7">
                  <c:v>2018.</c:v>
                </c:pt>
                <c:pt idx="8">
                  <c:v>2019.</c:v>
                </c:pt>
              </c:strCache>
            </c:strRef>
          </c:cat>
          <c:val>
            <c:numRef>
              <c:f>'BERAN 1'!$C$15:$C$23</c:f>
              <c:numCache>
                <c:formatCode>#,##0</c:formatCode>
                <c:ptCount val="9"/>
                <c:pt idx="0">
                  <c:v>33973</c:v>
                </c:pt>
                <c:pt idx="1">
                  <c:v>33664</c:v>
                </c:pt>
                <c:pt idx="2">
                  <c:v>33353</c:v>
                </c:pt>
                <c:pt idx="3">
                  <c:v>27907</c:v>
                </c:pt>
                <c:pt idx="4">
                  <c:v>27753</c:v>
                </c:pt>
                <c:pt idx="5">
                  <c:v>27513</c:v>
                </c:pt>
                <c:pt idx="6">
                  <c:v>27256</c:v>
                </c:pt>
                <c:pt idx="7">
                  <c:v>26903</c:v>
                </c:pt>
                <c:pt idx="8">
                  <c:v>26632</c:v>
                </c:pt>
              </c:numCache>
            </c:numRef>
          </c:val>
          <c:extLst xmlns:c16r2="http://schemas.microsoft.com/office/drawing/2015/06/chart">
            <c:ext xmlns:c16="http://schemas.microsoft.com/office/drawing/2014/chart" uri="{C3380CC4-5D6E-409C-BE32-E72D297353CC}">
              <c16:uniqueId val="{00000000-3BF6-40A7-A639-B2F661473B47}"/>
            </c:ext>
          </c:extLst>
        </c:ser>
        <c:gapWidth val="219"/>
        <c:overlap val="-27"/>
        <c:axId val="67828736"/>
        <c:axId val="67834624"/>
      </c:barChart>
      <c:catAx>
        <c:axId val="678287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67834624"/>
        <c:crosses val="autoZero"/>
        <c:auto val="1"/>
        <c:lblAlgn val="ctr"/>
        <c:lblOffset val="100"/>
      </c:catAx>
      <c:valAx>
        <c:axId val="67834624"/>
        <c:scaling>
          <c:orientation val="minMax"/>
        </c:scaling>
        <c:delete val="1"/>
        <c:axPos val="l"/>
        <c:numFmt formatCode="#,##0" sourceLinked="1"/>
        <c:majorTickMark val="none"/>
        <c:tickLblPos val="none"/>
        <c:crossAx val="67828736"/>
        <c:crosses val="autoZero"/>
        <c:crossBetween val="between"/>
      </c:valAx>
      <c:spPr>
        <a:noFill/>
        <a:ln>
          <a:noFill/>
        </a:ln>
        <a:effectLst/>
      </c:spPr>
    </c:plotArea>
    <c:plotVisOnly val="1"/>
    <c:dispBlanksAs val="gap"/>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solidFill>
              <a:schemeClr val="accent1"/>
            </a:solidFill>
            <a:ln>
              <a:noFill/>
            </a:ln>
            <a:effectLst/>
          </c:spPr>
          <c:dPt>
            <c:idx val="0"/>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1-E493-4AB7-B65E-EA9E08018FA8}"/>
              </c:ext>
            </c:extLst>
          </c:dPt>
          <c:dPt>
            <c:idx val="3"/>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3-E493-4AB7-B65E-EA9E08018FA8}"/>
              </c:ext>
            </c:extLst>
          </c:dPt>
          <c:dPt>
            <c:idx val="6"/>
            <c:spPr>
              <a:solidFill>
                <a:schemeClr val="accent4">
                  <a:lumMod val="60000"/>
                  <a:lumOff val="40000"/>
                </a:schemeClr>
              </a:solidFill>
              <a:ln>
                <a:noFill/>
              </a:ln>
              <a:effectLst/>
            </c:spPr>
            <c:extLst xmlns:c16r2="http://schemas.microsoft.com/office/drawing/2015/06/chart">
              <c:ext xmlns:c16="http://schemas.microsoft.com/office/drawing/2014/chart" uri="{C3380CC4-5D6E-409C-BE32-E72D297353CC}">
                <c16:uniqueId val="{00000005-E493-4AB7-B65E-EA9E08018FA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List5!$A$2:$I$3</c:f>
              <c:multiLvlStrCache>
                <c:ptCount val="9"/>
                <c:lvl>
                  <c:pt idx="0">
                    <c:v>Ukupno</c:v>
                  </c:pt>
                  <c:pt idx="1">
                    <c:v>Javni sektor</c:v>
                  </c:pt>
                  <c:pt idx="2">
                    <c:v>Privatni sektor</c:v>
                  </c:pt>
                  <c:pt idx="3">
                    <c:v>Ukupno</c:v>
                  </c:pt>
                  <c:pt idx="4">
                    <c:v>Javni sektor</c:v>
                  </c:pt>
                  <c:pt idx="5">
                    <c:v>Privatni sektor</c:v>
                  </c:pt>
                  <c:pt idx="6">
                    <c:v>Ukupno</c:v>
                  </c:pt>
                  <c:pt idx="7">
                    <c:v>Javni sektor</c:v>
                  </c:pt>
                  <c:pt idx="8">
                    <c:v>Privatni sektor</c:v>
                  </c:pt>
                </c:lvl>
                <c:lvl>
                  <c:pt idx="0">
                    <c:v>2016.</c:v>
                  </c:pt>
                  <c:pt idx="3">
                    <c:v>2018.</c:v>
                  </c:pt>
                  <c:pt idx="6">
                    <c:v>2019.</c:v>
                  </c:pt>
                </c:lvl>
              </c:multiLvlStrCache>
            </c:multiLvlStrRef>
          </c:cat>
          <c:val>
            <c:numRef>
              <c:f>List5!$A$4:$I$4</c:f>
              <c:numCache>
                <c:formatCode>General</c:formatCode>
                <c:ptCount val="9"/>
                <c:pt idx="0">
                  <c:v>195</c:v>
                </c:pt>
                <c:pt idx="1">
                  <c:v>45</c:v>
                </c:pt>
                <c:pt idx="2">
                  <c:v>150</c:v>
                </c:pt>
                <c:pt idx="3">
                  <c:v>136</c:v>
                </c:pt>
                <c:pt idx="4">
                  <c:v>72</c:v>
                </c:pt>
                <c:pt idx="5">
                  <c:v>64</c:v>
                </c:pt>
                <c:pt idx="6">
                  <c:v>158</c:v>
                </c:pt>
                <c:pt idx="7">
                  <c:v>81</c:v>
                </c:pt>
                <c:pt idx="8">
                  <c:v>77</c:v>
                </c:pt>
              </c:numCache>
            </c:numRef>
          </c:val>
          <c:extLst xmlns:c16r2="http://schemas.microsoft.com/office/drawing/2015/06/chart">
            <c:ext xmlns:c16="http://schemas.microsoft.com/office/drawing/2014/chart" uri="{C3380CC4-5D6E-409C-BE32-E72D297353CC}">
              <c16:uniqueId val="{00000006-E493-4AB7-B65E-EA9E08018FA8}"/>
            </c:ext>
          </c:extLst>
        </c:ser>
        <c:gapWidth val="182"/>
        <c:axId val="68392448"/>
        <c:axId val="68393984"/>
      </c:barChart>
      <c:catAx>
        <c:axId val="683924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68393984"/>
        <c:crosses val="autoZero"/>
        <c:auto val="1"/>
        <c:lblAlgn val="ctr"/>
        <c:lblOffset val="100"/>
      </c:catAx>
      <c:valAx>
        <c:axId val="68393984"/>
        <c:scaling>
          <c:orientation val="minMax"/>
        </c:scaling>
        <c:delete val="1"/>
        <c:axPos val="b"/>
        <c:numFmt formatCode="General" sourceLinked="1"/>
        <c:majorTickMark val="none"/>
        <c:tickLblPos val="none"/>
        <c:crossAx val="68392448"/>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berane!$E$77</c:f>
              <c:strCache>
                <c:ptCount val="1"/>
                <c:pt idx="0">
                  <c:v>Nezaposlena lica</c:v>
                </c:pt>
              </c:strCache>
            </c:strRef>
          </c:tx>
          <c:marker>
            <c:symbol val="none"/>
          </c:marker>
          <c:cat>
            <c:strRef>
              <c:f>berane!$D$78:$D$87</c:f>
              <c:strCache>
                <c:ptCount val="10"/>
                <c:pt idx="0">
                  <c:v>I</c:v>
                </c:pt>
                <c:pt idx="1">
                  <c:v>II</c:v>
                </c:pt>
                <c:pt idx="2">
                  <c:v>III</c:v>
                </c:pt>
                <c:pt idx="3">
                  <c:v>IV</c:v>
                </c:pt>
                <c:pt idx="4">
                  <c:v>V</c:v>
                </c:pt>
                <c:pt idx="5">
                  <c:v>VI1</c:v>
                </c:pt>
                <c:pt idx="6">
                  <c:v>VI2</c:v>
                </c:pt>
                <c:pt idx="7">
                  <c:v>VII1</c:v>
                </c:pt>
                <c:pt idx="8">
                  <c:v>VII2</c:v>
                </c:pt>
                <c:pt idx="9">
                  <c:v>VIII</c:v>
                </c:pt>
              </c:strCache>
            </c:strRef>
          </c:cat>
          <c:val>
            <c:numRef>
              <c:f>berane!$E$78:$E$87</c:f>
              <c:numCache>
                <c:formatCode>General</c:formatCode>
                <c:ptCount val="10"/>
                <c:pt idx="0">
                  <c:v>1403</c:v>
                </c:pt>
                <c:pt idx="1">
                  <c:v>130</c:v>
                </c:pt>
                <c:pt idx="2">
                  <c:v>946</c:v>
                </c:pt>
                <c:pt idx="3">
                  <c:v>1367</c:v>
                </c:pt>
                <c:pt idx="4">
                  <c:v>2</c:v>
                </c:pt>
                <c:pt idx="5">
                  <c:v>58</c:v>
                </c:pt>
                <c:pt idx="6">
                  <c:v>0</c:v>
                </c:pt>
                <c:pt idx="7">
                  <c:v>398</c:v>
                </c:pt>
                <c:pt idx="8">
                  <c:v>8</c:v>
                </c:pt>
                <c:pt idx="9">
                  <c:v>0</c:v>
                </c:pt>
              </c:numCache>
            </c:numRef>
          </c:val>
          <c:extLst xmlns:c16r2="http://schemas.microsoft.com/office/drawing/2015/06/chart">
            <c:ext xmlns:c16="http://schemas.microsoft.com/office/drawing/2014/chart" uri="{C3380CC4-5D6E-409C-BE32-E72D297353CC}">
              <c16:uniqueId val="{00000000-C316-4A2C-9488-C1B75EBF6B23}"/>
            </c:ext>
          </c:extLst>
        </c:ser>
        <c:ser>
          <c:idx val="1"/>
          <c:order val="1"/>
          <c:tx>
            <c:strRef>
              <c:f>berane!$F$77</c:f>
              <c:strCache>
                <c:ptCount val="1"/>
                <c:pt idx="0">
                  <c:v>Slobodna radna mjesta</c:v>
                </c:pt>
              </c:strCache>
            </c:strRef>
          </c:tx>
          <c:spPr>
            <a:ln>
              <a:solidFill>
                <a:srgbClr val="FFC000"/>
              </a:solidFill>
            </a:ln>
          </c:spPr>
          <c:marker>
            <c:symbol val="none"/>
          </c:marker>
          <c:cat>
            <c:strRef>
              <c:f>berane!$D$78:$D$87</c:f>
              <c:strCache>
                <c:ptCount val="10"/>
                <c:pt idx="0">
                  <c:v>I</c:v>
                </c:pt>
                <c:pt idx="1">
                  <c:v>II</c:v>
                </c:pt>
                <c:pt idx="2">
                  <c:v>III</c:v>
                </c:pt>
                <c:pt idx="3">
                  <c:v>IV</c:v>
                </c:pt>
                <c:pt idx="4">
                  <c:v>V</c:v>
                </c:pt>
                <c:pt idx="5">
                  <c:v>VI1</c:v>
                </c:pt>
                <c:pt idx="6">
                  <c:v>VI2</c:v>
                </c:pt>
                <c:pt idx="7">
                  <c:v>VII1</c:v>
                </c:pt>
                <c:pt idx="8">
                  <c:v>VII2</c:v>
                </c:pt>
                <c:pt idx="9">
                  <c:v>VIII</c:v>
                </c:pt>
              </c:strCache>
            </c:strRef>
          </c:cat>
          <c:val>
            <c:numRef>
              <c:f>berane!$F$78:$F$87</c:f>
              <c:numCache>
                <c:formatCode>General</c:formatCode>
                <c:ptCount val="10"/>
                <c:pt idx="0">
                  <c:v>135</c:v>
                </c:pt>
                <c:pt idx="1">
                  <c:v>0</c:v>
                </c:pt>
                <c:pt idx="2">
                  <c:v>79</c:v>
                </c:pt>
                <c:pt idx="3">
                  <c:v>97</c:v>
                </c:pt>
                <c:pt idx="4">
                  <c:v>14</c:v>
                </c:pt>
                <c:pt idx="5">
                  <c:v>7</c:v>
                </c:pt>
                <c:pt idx="6">
                  <c:v>0</c:v>
                </c:pt>
                <c:pt idx="7">
                  <c:v>207</c:v>
                </c:pt>
                <c:pt idx="8">
                  <c:v>0</c:v>
                </c:pt>
                <c:pt idx="9">
                  <c:v>0</c:v>
                </c:pt>
              </c:numCache>
            </c:numRef>
          </c:val>
          <c:extLst xmlns:c16r2="http://schemas.microsoft.com/office/drawing/2015/06/chart">
            <c:ext xmlns:c16="http://schemas.microsoft.com/office/drawing/2014/chart" uri="{C3380CC4-5D6E-409C-BE32-E72D297353CC}">
              <c16:uniqueId val="{00000001-C316-4A2C-9488-C1B75EBF6B23}"/>
            </c:ext>
          </c:extLst>
        </c:ser>
        <c:marker val="1"/>
        <c:axId val="67874176"/>
        <c:axId val="68093056"/>
      </c:lineChart>
      <c:catAx>
        <c:axId val="67874176"/>
        <c:scaling>
          <c:orientation val="minMax"/>
        </c:scaling>
        <c:axPos val="b"/>
        <c:numFmt formatCode="General" sourceLinked="0"/>
        <c:majorTickMark val="none"/>
        <c:tickLblPos val="nextTo"/>
        <c:crossAx val="68093056"/>
        <c:crosses val="autoZero"/>
        <c:auto val="1"/>
        <c:lblAlgn val="ctr"/>
        <c:lblOffset val="100"/>
      </c:catAx>
      <c:valAx>
        <c:axId val="68093056"/>
        <c:scaling>
          <c:orientation val="minMax"/>
        </c:scaling>
        <c:delete val="1"/>
        <c:axPos val="l"/>
        <c:numFmt formatCode="General" sourceLinked="1"/>
        <c:majorTickMark val="none"/>
        <c:tickLblPos val="none"/>
        <c:crossAx val="67874176"/>
        <c:crosses val="autoZero"/>
        <c:crossBetween val="between"/>
      </c:valAx>
      <c:spPr>
        <a:solidFill>
          <a:schemeClr val="bg1">
            <a:lumMod val="95000"/>
          </a:schemeClr>
        </a:solidFill>
      </c:spPr>
    </c:plotArea>
    <c:legend>
      <c:legendPos val="b"/>
    </c:legend>
    <c:plotVisOnly val="1"/>
    <c:dispBlanksAs val="gap"/>
  </c:chart>
  <c:spPr>
    <a:solidFill>
      <a:schemeClr val="bg1">
        <a:lumMod val="95000"/>
      </a:schemeClr>
    </a:solidFill>
    <a:ln>
      <a:noFill/>
    </a:ln>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a:pPr>
            <a:r>
              <a:rPr lang="en-US"/>
              <a:t>2011</a:t>
            </a:r>
            <a:r>
              <a:rPr lang="sl-SI"/>
              <a:t>.</a:t>
            </a:r>
            <a:endParaRPr lang="en-US"/>
          </a:p>
        </c:rich>
      </c:tx>
    </c:title>
    <c:plotArea>
      <c:layout/>
      <c:barChart>
        <c:barDir val="bar"/>
        <c:grouping val="clustered"/>
        <c:ser>
          <c:idx val="0"/>
          <c:order val="0"/>
          <c:tx>
            <c:strRef>
              <c:f>Sheet3!$P$3</c:f>
              <c:strCache>
                <c:ptCount val="1"/>
                <c:pt idx="0">
                  <c:v>2011</c:v>
                </c:pt>
              </c:strCache>
            </c:strRef>
          </c:tx>
          <c:dLbls>
            <c:spPr>
              <a:noFill/>
              <a:ln>
                <a:noFill/>
              </a:ln>
              <a:effectLst/>
            </c:spPr>
            <c:txPr>
              <a:bodyPr wrap="square" lIns="38100" tIns="19050" rIns="38100" bIns="19050" anchor="ctr">
                <a:spAutoFit/>
              </a:bodyPr>
              <a:lstStyle/>
              <a:p>
                <a:pPr>
                  <a:defRPr sz="800"/>
                </a:pPr>
                <a:endParaRPr lang="en-US"/>
              </a:p>
            </c:txPr>
            <c:showVal val="1"/>
            <c:extLst xmlns:c16r2="http://schemas.microsoft.com/office/drawing/2015/06/chart">
              <c:ext xmlns:c15="http://schemas.microsoft.com/office/drawing/2012/chart" uri="{CE6537A1-D6FC-4f65-9D91-7224C49458BB}">
                <c15:showLeaderLines val="0"/>
              </c:ext>
            </c:extLst>
          </c:dLbls>
          <c:cat>
            <c:strRef>
              <c:f>Sheet3!$O$4:$O$9</c:f>
              <c:strCache>
                <c:ptCount val="6"/>
                <c:pt idx="0">
                  <c:v>P.Obrazovanje</c:v>
                </c:pt>
                <c:pt idx="1">
                  <c:v>G.Trgovina na veliko i trgovina na malo; popravka motornih vozila i motocikala</c:v>
                </c:pt>
                <c:pt idx="2">
                  <c:v>F.Građevinarstvo</c:v>
                </c:pt>
                <c:pt idx="3">
                  <c:v>K.Finansijske djelatnosti i djelatnost osiguranja</c:v>
                </c:pt>
                <c:pt idx="4">
                  <c:v>C.Prerađivačka industrija</c:v>
                </c:pt>
                <c:pt idx="5">
                  <c:v>O.Državna uprava i odbrana; Obavezno socijalno osiguranje</c:v>
                </c:pt>
              </c:strCache>
            </c:strRef>
          </c:cat>
          <c:val>
            <c:numRef>
              <c:f>Sheet3!$P$4:$P$9</c:f>
              <c:numCache>
                <c:formatCode>0.0%</c:formatCode>
                <c:ptCount val="6"/>
                <c:pt idx="0">
                  <c:v>0.30458715596330282</c:v>
                </c:pt>
                <c:pt idx="1">
                  <c:v>0.1871559633027523</c:v>
                </c:pt>
                <c:pt idx="2">
                  <c:v>0.13577981651376148</c:v>
                </c:pt>
                <c:pt idx="3">
                  <c:v>7.5229357798165045E-2</c:v>
                </c:pt>
                <c:pt idx="4">
                  <c:v>6.7889908256880738E-2</c:v>
                </c:pt>
                <c:pt idx="5">
                  <c:v>5.6880733944954132E-2</c:v>
                </c:pt>
              </c:numCache>
            </c:numRef>
          </c:val>
          <c:extLst xmlns:c16r2="http://schemas.microsoft.com/office/drawing/2015/06/chart">
            <c:ext xmlns:c16="http://schemas.microsoft.com/office/drawing/2014/chart" uri="{C3380CC4-5D6E-409C-BE32-E72D297353CC}">
              <c16:uniqueId val="{00000000-3D48-40A9-BBDA-B973DB0B8F07}"/>
            </c:ext>
          </c:extLst>
        </c:ser>
        <c:axId val="68166784"/>
        <c:axId val="68168320"/>
      </c:barChart>
      <c:catAx>
        <c:axId val="68166784"/>
        <c:scaling>
          <c:orientation val="minMax"/>
        </c:scaling>
        <c:axPos val="l"/>
        <c:numFmt formatCode="General" sourceLinked="0"/>
        <c:tickLblPos val="nextTo"/>
        <c:txPr>
          <a:bodyPr/>
          <a:lstStyle/>
          <a:p>
            <a:pPr>
              <a:defRPr sz="800"/>
            </a:pPr>
            <a:endParaRPr lang="en-US"/>
          </a:p>
        </c:txPr>
        <c:crossAx val="68168320"/>
        <c:crosses val="autoZero"/>
        <c:auto val="1"/>
        <c:lblAlgn val="ctr"/>
        <c:lblOffset val="100"/>
      </c:catAx>
      <c:valAx>
        <c:axId val="68168320"/>
        <c:scaling>
          <c:orientation val="minMax"/>
        </c:scaling>
        <c:delete val="1"/>
        <c:axPos val="b"/>
        <c:numFmt formatCode="0.0%" sourceLinked="1"/>
        <c:tickLblPos val="none"/>
        <c:crossAx val="68166784"/>
        <c:crosses val="autoZero"/>
        <c:crossBetween val="between"/>
      </c:valAx>
    </c:plotArea>
    <c:plotVisOnly val="1"/>
    <c:dispBlanksAs val="gap"/>
  </c:chart>
  <c:spPr>
    <a:solidFill>
      <a:schemeClr val="bg1">
        <a:lumMod val="85000"/>
      </a:schemeClr>
    </a:solidFill>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a:pPr>
            <a:r>
              <a:rPr lang="en-US"/>
              <a:t>2018</a:t>
            </a:r>
            <a:r>
              <a:rPr lang="sl-SI"/>
              <a:t>.</a:t>
            </a:r>
            <a:endParaRPr lang="en-US"/>
          </a:p>
        </c:rich>
      </c:tx>
    </c:title>
    <c:plotArea>
      <c:layout/>
      <c:barChart>
        <c:barDir val="bar"/>
        <c:grouping val="clustered"/>
        <c:ser>
          <c:idx val="0"/>
          <c:order val="0"/>
          <c:tx>
            <c:strRef>
              <c:f>Sheet3!$N$3</c:f>
              <c:strCache>
                <c:ptCount val="1"/>
                <c:pt idx="0">
                  <c:v>2018</c:v>
                </c:pt>
              </c:strCache>
            </c:strRef>
          </c:tx>
          <c:spPr>
            <a:solidFill>
              <a:schemeClr val="accent4">
                <a:lumMod val="60000"/>
                <a:lumOff val="40000"/>
              </a:schemeClr>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Sheet3!$M$4:$M$9</c:f>
              <c:strCache>
                <c:ptCount val="6"/>
                <c:pt idx="0">
                  <c:v>P.Obrazovanje</c:v>
                </c:pt>
                <c:pt idx="1">
                  <c:v>S.Ostale uslužne djelatnosti</c:v>
                </c:pt>
                <c:pt idx="2">
                  <c:v>G.Trgovina na veliko i trgovina na malo; popravka motornih vozila i motocikala</c:v>
                </c:pt>
                <c:pt idx="3">
                  <c:v>Q86.Zdravstvene djelatnosti</c:v>
                </c:pt>
                <c:pt idx="4">
                  <c:v>O.Državna uprava i odbrana; Obavezno socijalno osiguranje</c:v>
                </c:pt>
                <c:pt idx="5">
                  <c:v>C.Prerađivačka industrija</c:v>
                </c:pt>
              </c:strCache>
            </c:strRef>
          </c:cat>
          <c:val>
            <c:numRef>
              <c:f>Sheet3!$N$4:$N$9</c:f>
              <c:numCache>
                <c:formatCode>0.0%</c:formatCode>
                <c:ptCount val="6"/>
                <c:pt idx="0">
                  <c:v>0.39169675090252731</c:v>
                </c:pt>
                <c:pt idx="1">
                  <c:v>0.21299638989169895</c:v>
                </c:pt>
                <c:pt idx="2">
                  <c:v>8.1227436823104682E-2</c:v>
                </c:pt>
                <c:pt idx="3">
                  <c:v>5.2346570397112012E-2</c:v>
                </c:pt>
                <c:pt idx="4">
                  <c:v>4.8736462093862822E-2</c:v>
                </c:pt>
                <c:pt idx="5">
                  <c:v>3.6101083032490974E-2</c:v>
                </c:pt>
              </c:numCache>
            </c:numRef>
          </c:val>
          <c:extLst xmlns:c16r2="http://schemas.microsoft.com/office/drawing/2015/06/chart">
            <c:ext xmlns:c16="http://schemas.microsoft.com/office/drawing/2014/chart" uri="{C3380CC4-5D6E-409C-BE32-E72D297353CC}">
              <c16:uniqueId val="{00000000-8A79-4082-A3AE-A2BA392302C8}"/>
            </c:ext>
          </c:extLst>
        </c:ser>
        <c:axId val="68139648"/>
        <c:axId val="68776320"/>
      </c:barChart>
      <c:catAx>
        <c:axId val="68139648"/>
        <c:scaling>
          <c:orientation val="minMax"/>
        </c:scaling>
        <c:axPos val="l"/>
        <c:numFmt formatCode="General" sourceLinked="0"/>
        <c:tickLblPos val="nextTo"/>
        <c:crossAx val="68776320"/>
        <c:crosses val="autoZero"/>
        <c:auto val="1"/>
        <c:lblAlgn val="ctr"/>
        <c:lblOffset val="100"/>
      </c:catAx>
      <c:valAx>
        <c:axId val="68776320"/>
        <c:scaling>
          <c:orientation val="minMax"/>
        </c:scaling>
        <c:delete val="1"/>
        <c:axPos val="b"/>
        <c:numFmt formatCode="0.0%" sourceLinked="1"/>
        <c:tickLblPos val="none"/>
        <c:crossAx val="68139648"/>
        <c:crosses val="autoZero"/>
        <c:crossBetween val="between"/>
      </c:valAx>
    </c:plotArea>
    <c:plotVisOnly val="1"/>
    <c:dispBlanksAs val="gap"/>
  </c:chart>
  <c:spPr>
    <a:solidFill>
      <a:schemeClr val="bg1">
        <a:lumMod val="85000"/>
      </a:schemeClr>
    </a:solidFill>
  </c:spPr>
  <c:txPr>
    <a:bodyPr/>
    <a:lstStyle/>
    <a:p>
      <a:pPr>
        <a:defRPr sz="800">
          <a:latin typeface="Cambria" panose="02040503050406030204" pitchFamily="18" charset="0"/>
          <a:ea typeface="Cambria" panose="02040503050406030204" pitchFamily="18"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'BERANE 2'!$C$166</c:f>
              <c:strCache>
                <c:ptCount val="1"/>
                <c:pt idx="0">
                  <c:v>2011.</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2'!$B$167:$B$170</c:f>
              <c:strCache>
                <c:ptCount val="4"/>
                <c:pt idx="0">
                  <c:v>Učešće u ukupnom stanovništvu Crne Gore</c:v>
                </c:pt>
                <c:pt idx="1">
                  <c:v>Učešće u ukupnom broju zaposlenih u Crnoj Gori</c:v>
                </c:pt>
                <c:pt idx="2">
                  <c:v>Učešće u ukupnom broju nezaposlenih  u Crnoj Gori</c:v>
                </c:pt>
                <c:pt idx="3">
                  <c:v>Učešće u ukupnom broju korisnika MOP u Crnoj Gori</c:v>
                </c:pt>
              </c:strCache>
            </c:strRef>
          </c:cat>
          <c:val>
            <c:numRef>
              <c:f>'BERANE 2'!$C$167:$C$170</c:f>
              <c:numCache>
                <c:formatCode>0.0</c:formatCode>
                <c:ptCount val="4"/>
                <c:pt idx="0">
                  <c:v>5.5</c:v>
                </c:pt>
                <c:pt idx="1">
                  <c:v>3</c:v>
                </c:pt>
                <c:pt idx="2">
                  <c:v>5.76</c:v>
                </c:pt>
                <c:pt idx="3">
                  <c:v>10.97</c:v>
                </c:pt>
              </c:numCache>
            </c:numRef>
          </c:val>
          <c:extLst xmlns:c16r2="http://schemas.microsoft.com/office/drawing/2015/06/chart">
            <c:ext xmlns:c16="http://schemas.microsoft.com/office/drawing/2014/chart" uri="{C3380CC4-5D6E-409C-BE32-E72D297353CC}">
              <c16:uniqueId val="{00000000-6A04-440F-A95F-3076E74B082F}"/>
            </c:ext>
          </c:extLst>
        </c:ser>
        <c:ser>
          <c:idx val="1"/>
          <c:order val="1"/>
          <c:tx>
            <c:strRef>
              <c:f>'BERANE 2'!$D$166</c:f>
              <c:strCache>
                <c:ptCount val="1"/>
                <c:pt idx="0">
                  <c:v>2016.</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2'!$B$167:$B$170</c:f>
              <c:strCache>
                <c:ptCount val="4"/>
                <c:pt idx="0">
                  <c:v>Učešće u ukupnom stanovništvu Crne Gore</c:v>
                </c:pt>
                <c:pt idx="1">
                  <c:v>Učešće u ukupnom broju zaposlenih u Crnoj Gori</c:v>
                </c:pt>
                <c:pt idx="2">
                  <c:v>Učešće u ukupnom broju nezaposlenih  u Crnoj Gori</c:v>
                </c:pt>
                <c:pt idx="3">
                  <c:v>Učešće u ukupnom broju korisnika MOP u Crnoj Gori</c:v>
                </c:pt>
              </c:strCache>
            </c:strRef>
          </c:cat>
          <c:val>
            <c:numRef>
              <c:f>'BERANE 2'!$D$167:$D$170</c:f>
              <c:numCache>
                <c:formatCode>0.0</c:formatCode>
                <c:ptCount val="4"/>
                <c:pt idx="0">
                  <c:v>4.4000000000000004</c:v>
                </c:pt>
                <c:pt idx="1">
                  <c:v>2.5</c:v>
                </c:pt>
                <c:pt idx="2">
                  <c:v>11.9</c:v>
                </c:pt>
                <c:pt idx="3">
                  <c:v>11.4</c:v>
                </c:pt>
              </c:numCache>
            </c:numRef>
          </c:val>
          <c:extLst xmlns:c16r2="http://schemas.microsoft.com/office/drawing/2015/06/chart">
            <c:ext xmlns:c16="http://schemas.microsoft.com/office/drawing/2014/chart" uri="{C3380CC4-5D6E-409C-BE32-E72D297353CC}">
              <c16:uniqueId val="{00000001-6A04-440F-A95F-3076E74B082F}"/>
            </c:ext>
          </c:extLst>
        </c:ser>
        <c:ser>
          <c:idx val="2"/>
          <c:order val="2"/>
          <c:tx>
            <c:strRef>
              <c:f>'BERANE 2'!$E$166</c:f>
              <c:strCache>
                <c:ptCount val="1"/>
                <c:pt idx="0">
                  <c:v>2019.</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2'!$B$167:$B$170</c:f>
              <c:strCache>
                <c:ptCount val="4"/>
                <c:pt idx="0">
                  <c:v>Učešće u ukupnom stanovništvu Crne Gore</c:v>
                </c:pt>
                <c:pt idx="1">
                  <c:v>Učešće u ukupnom broju zaposlenih u Crnoj Gori</c:v>
                </c:pt>
                <c:pt idx="2">
                  <c:v>Učešće u ukupnom broju nezaposlenih  u Crnoj Gori</c:v>
                </c:pt>
                <c:pt idx="3">
                  <c:v>Učešće u ukupnom broju korisnika MOP u Crnoj Gori</c:v>
                </c:pt>
              </c:strCache>
            </c:strRef>
          </c:cat>
          <c:val>
            <c:numRef>
              <c:f>'BERANE 2'!$E$167:$E$170</c:f>
              <c:numCache>
                <c:formatCode>0.0</c:formatCode>
                <c:ptCount val="4"/>
                <c:pt idx="0">
                  <c:v>4.3</c:v>
                </c:pt>
                <c:pt idx="1">
                  <c:v>2.5</c:v>
                </c:pt>
                <c:pt idx="2">
                  <c:v>11.46</c:v>
                </c:pt>
                <c:pt idx="3">
                  <c:v>8.02</c:v>
                </c:pt>
              </c:numCache>
            </c:numRef>
          </c:val>
          <c:extLst xmlns:c16r2="http://schemas.microsoft.com/office/drawing/2015/06/chart">
            <c:ext xmlns:c16="http://schemas.microsoft.com/office/drawing/2014/chart" uri="{C3380CC4-5D6E-409C-BE32-E72D297353CC}">
              <c16:uniqueId val="{00000002-6A04-440F-A95F-3076E74B082F}"/>
            </c:ext>
          </c:extLst>
        </c:ser>
        <c:gapWidth val="219"/>
        <c:overlap val="-27"/>
        <c:axId val="90217856"/>
        <c:axId val="90223744"/>
      </c:barChart>
      <c:catAx>
        <c:axId val="902178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90223744"/>
        <c:crosses val="autoZero"/>
        <c:auto val="1"/>
        <c:lblAlgn val="ctr"/>
        <c:lblOffset val="100"/>
      </c:catAx>
      <c:valAx>
        <c:axId val="90223744"/>
        <c:scaling>
          <c:orientation val="minMax"/>
        </c:scaling>
        <c:delete val="1"/>
        <c:axPos val="l"/>
        <c:numFmt formatCode="0.0" sourceLinked="1"/>
        <c:majorTickMark val="none"/>
        <c:tickLblPos val="none"/>
        <c:crossAx val="902178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 1'!$B$26:$B$30</c:f>
              <c:strCache>
                <c:ptCount val="5"/>
                <c:pt idx="0">
                  <c:v>2011.</c:v>
                </c:pt>
                <c:pt idx="1">
                  <c:v>2016.</c:v>
                </c:pt>
                <c:pt idx="2">
                  <c:v>2017.</c:v>
                </c:pt>
                <c:pt idx="3">
                  <c:v>2018.</c:v>
                </c:pt>
                <c:pt idx="4">
                  <c:v>2019.</c:v>
                </c:pt>
              </c:strCache>
            </c:strRef>
          </c:cat>
          <c:val>
            <c:numRef>
              <c:f>'BERAN 1'!$C$26:$C$30</c:f>
              <c:numCache>
                <c:formatCode>#,##0</c:formatCode>
                <c:ptCount val="5"/>
                <c:pt idx="0">
                  <c:v>4021</c:v>
                </c:pt>
                <c:pt idx="1">
                  <c:v>3124</c:v>
                </c:pt>
                <c:pt idx="2">
                  <c:v>3019</c:v>
                </c:pt>
                <c:pt idx="3">
                  <c:v>3001</c:v>
                </c:pt>
                <c:pt idx="4">
                  <c:v>2898</c:v>
                </c:pt>
              </c:numCache>
            </c:numRef>
          </c:val>
          <c:extLst xmlns:c16r2="http://schemas.microsoft.com/office/drawing/2015/06/chart">
            <c:ext xmlns:c16="http://schemas.microsoft.com/office/drawing/2014/chart" uri="{C3380CC4-5D6E-409C-BE32-E72D297353CC}">
              <c16:uniqueId val="{00000000-A718-4A56-83FC-0C6D6DBA95B6}"/>
            </c:ext>
          </c:extLst>
        </c:ser>
        <c:gapWidth val="182"/>
        <c:axId val="67850624"/>
        <c:axId val="67852160"/>
      </c:barChart>
      <c:catAx>
        <c:axId val="678506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67852160"/>
        <c:crosses val="autoZero"/>
        <c:auto val="1"/>
        <c:lblAlgn val="ctr"/>
        <c:lblOffset val="100"/>
      </c:catAx>
      <c:valAx>
        <c:axId val="67852160"/>
        <c:scaling>
          <c:orientation val="minMax"/>
        </c:scaling>
        <c:delete val="1"/>
        <c:axPos val="b"/>
        <c:numFmt formatCode="#,##0" sourceLinked="1"/>
        <c:majorTickMark val="none"/>
        <c:tickLblPos val="none"/>
        <c:crossAx val="67850624"/>
        <c:crosses val="autoZero"/>
        <c:crossBetween val="between"/>
      </c:valAx>
      <c:spPr>
        <a:noFill/>
        <a:ln>
          <a:noFill/>
        </a:ln>
        <a:effectLst/>
      </c:spPr>
    </c:plotArea>
    <c:plotVisOnly val="1"/>
    <c:dispBlanksAs val="gap"/>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 1'!$B$40:$B$44</c:f>
              <c:strCache>
                <c:ptCount val="5"/>
                <c:pt idx="0">
                  <c:v>2011.</c:v>
                </c:pt>
                <c:pt idx="1">
                  <c:v>2016.</c:v>
                </c:pt>
                <c:pt idx="2">
                  <c:v>2017.</c:v>
                </c:pt>
                <c:pt idx="3">
                  <c:v>2018.</c:v>
                </c:pt>
                <c:pt idx="4">
                  <c:v>2019.</c:v>
                </c:pt>
              </c:strCache>
            </c:strRef>
          </c:cat>
          <c:val>
            <c:numRef>
              <c:f>'BERAN 1'!$C$40:$C$44</c:f>
              <c:numCache>
                <c:formatCode>General</c:formatCode>
                <c:ptCount val="5"/>
                <c:pt idx="0">
                  <c:v>465</c:v>
                </c:pt>
                <c:pt idx="1">
                  <c:v>506</c:v>
                </c:pt>
                <c:pt idx="2">
                  <c:v>519</c:v>
                </c:pt>
                <c:pt idx="3">
                  <c:v>547</c:v>
                </c:pt>
                <c:pt idx="4">
                  <c:v>549</c:v>
                </c:pt>
              </c:numCache>
            </c:numRef>
          </c:val>
          <c:extLst xmlns:c16r2="http://schemas.microsoft.com/office/drawing/2015/06/chart">
            <c:ext xmlns:c16="http://schemas.microsoft.com/office/drawing/2014/chart" uri="{C3380CC4-5D6E-409C-BE32-E72D297353CC}">
              <c16:uniqueId val="{00000000-A0C0-43DE-A730-88B9E0A34FDF}"/>
            </c:ext>
          </c:extLst>
        </c:ser>
        <c:gapWidth val="219"/>
        <c:overlap val="-27"/>
        <c:axId val="67859968"/>
        <c:axId val="67861504"/>
      </c:barChart>
      <c:catAx>
        <c:axId val="678599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67861504"/>
        <c:crosses val="autoZero"/>
        <c:auto val="1"/>
        <c:lblAlgn val="ctr"/>
        <c:lblOffset val="100"/>
      </c:catAx>
      <c:valAx>
        <c:axId val="67861504"/>
        <c:scaling>
          <c:orientation val="minMax"/>
        </c:scaling>
        <c:delete val="1"/>
        <c:axPos val="l"/>
        <c:numFmt formatCode="General" sourceLinked="1"/>
        <c:majorTickMark val="none"/>
        <c:tickLblPos val="none"/>
        <c:crossAx val="67859968"/>
        <c:crosses val="autoZero"/>
        <c:crossBetween val="between"/>
      </c:valAx>
      <c:spPr>
        <a:noFill/>
        <a:ln>
          <a:noFill/>
        </a:ln>
        <a:effectLst/>
      </c:spPr>
    </c:plotArea>
    <c:plotVisOnly val="1"/>
    <c:dispBlanksAs val="gap"/>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'berane 2'!$G$26:$G$42</c:f>
              <c:strCache>
                <c:ptCount val="17"/>
                <c:pt idx="0">
                  <c:v>Trgovina</c:v>
                </c:pt>
                <c:pt idx="1">
                  <c:v>Prerađivačka industrija</c:v>
                </c:pt>
                <c:pt idx="2">
                  <c:v>Saobraćaj</c:v>
                </c:pt>
                <c:pt idx="3">
                  <c:v>Građevinarstvo</c:v>
                </c:pt>
                <c:pt idx="4">
                  <c:v>Snabd. el. Energijom, gasom i parom</c:v>
                </c:pt>
                <c:pt idx="5">
                  <c:v>Snabd. vodom, upravljanje otp. Vodama</c:v>
                </c:pt>
                <c:pt idx="6">
                  <c:v>Vađenje ruda i kamena</c:v>
                </c:pt>
                <c:pt idx="7">
                  <c:v>Usluge smještaja i ishrane</c:v>
                </c:pt>
                <c:pt idx="8">
                  <c:v>Zdravstvena i soc. zaštita</c:v>
                </c:pt>
                <c:pt idx="9">
                  <c:v>Administrativne djelatnosti</c:v>
                </c:pt>
                <c:pt idx="10">
                  <c:v>Stručne, naučne i tehn. Djelatnosti</c:v>
                </c:pt>
                <c:pt idx="11">
                  <c:v>Poljoprivreda i preh. indistrija</c:v>
                </c:pt>
                <c:pt idx="12">
                  <c:v>Umjetnost, zabava i rekreacija</c:v>
                </c:pt>
                <c:pt idx="13">
                  <c:v>Poslovanje nekretninama</c:v>
                </c:pt>
                <c:pt idx="14">
                  <c:v>Obrazovanje</c:v>
                </c:pt>
                <c:pt idx="15">
                  <c:v>ICT </c:v>
                </c:pt>
                <c:pt idx="16">
                  <c:v>ostale usluge</c:v>
                </c:pt>
              </c:strCache>
            </c:strRef>
          </c:cat>
          <c:val>
            <c:numRef>
              <c:f>'berane 2'!$H$26:$H$42</c:f>
              <c:numCache>
                <c:formatCode>General</c:formatCode>
                <c:ptCount val="17"/>
                <c:pt idx="0">
                  <c:v>35.800000000000004</c:v>
                </c:pt>
                <c:pt idx="1">
                  <c:v>35.800000000000004</c:v>
                </c:pt>
                <c:pt idx="2">
                  <c:v>6.6</c:v>
                </c:pt>
                <c:pt idx="3">
                  <c:v>4.8</c:v>
                </c:pt>
                <c:pt idx="4">
                  <c:v>3.7</c:v>
                </c:pt>
                <c:pt idx="5">
                  <c:v>2.9</c:v>
                </c:pt>
                <c:pt idx="6">
                  <c:v>2.1</c:v>
                </c:pt>
                <c:pt idx="7">
                  <c:v>2.1</c:v>
                </c:pt>
                <c:pt idx="8">
                  <c:v>1.5</c:v>
                </c:pt>
                <c:pt idx="9">
                  <c:v>1.2</c:v>
                </c:pt>
                <c:pt idx="10">
                  <c:v>1</c:v>
                </c:pt>
                <c:pt idx="11">
                  <c:v>0.70000000000000062</c:v>
                </c:pt>
                <c:pt idx="12">
                  <c:v>0.60000000000000064</c:v>
                </c:pt>
                <c:pt idx="13">
                  <c:v>0.5</c:v>
                </c:pt>
                <c:pt idx="14">
                  <c:v>0.4</c:v>
                </c:pt>
                <c:pt idx="15">
                  <c:v>0.2</c:v>
                </c:pt>
                <c:pt idx="16">
                  <c:v>0.2</c:v>
                </c:pt>
              </c:numCache>
            </c:numRef>
          </c:val>
          <c:extLst xmlns:c16r2="http://schemas.microsoft.com/office/drawing/2015/06/chart">
            <c:ext xmlns:c16="http://schemas.microsoft.com/office/drawing/2014/chart" uri="{C3380CC4-5D6E-409C-BE32-E72D297353CC}">
              <c16:uniqueId val="{00000000-01F8-4BE0-9C55-8BBE38AD2A9C}"/>
            </c:ext>
          </c:extLst>
        </c:ser>
        <c:axId val="67868544"/>
        <c:axId val="67870080"/>
      </c:barChart>
      <c:catAx>
        <c:axId val="67868544"/>
        <c:scaling>
          <c:orientation val="minMax"/>
        </c:scaling>
        <c:axPos val="l"/>
        <c:numFmt formatCode="General" sourceLinked="0"/>
        <c:tickLblPos val="nextTo"/>
        <c:crossAx val="67870080"/>
        <c:crosses val="autoZero"/>
        <c:auto val="1"/>
        <c:lblAlgn val="ctr"/>
        <c:lblOffset val="100"/>
      </c:catAx>
      <c:valAx>
        <c:axId val="67870080"/>
        <c:scaling>
          <c:orientation val="minMax"/>
        </c:scaling>
        <c:delete val="1"/>
        <c:axPos val="b"/>
        <c:numFmt formatCode="General" sourceLinked="1"/>
        <c:tickLblPos val="none"/>
        <c:crossAx val="67868544"/>
        <c:crosses val="autoZero"/>
        <c:crossBetween val="between"/>
      </c:valAx>
      <c:spPr>
        <a:solidFill>
          <a:schemeClr val="bg1">
            <a:lumMod val="85000"/>
          </a:schemeClr>
        </a:solidFill>
      </c:spPr>
    </c:plotArea>
    <c:plotVisOnly val="1"/>
    <c:dispBlanksAs val="gap"/>
  </c:chart>
  <c:spPr>
    <a:solidFill>
      <a:schemeClr val="bg1">
        <a:lumMod val="85000"/>
      </a:schemeClr>
    </a:solidFill>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3.302671230974339E-2"/>
          <c:y val="3.1117196449744002E-2"/>
          <c:w val="0.95181655163315182"/>
          <c:h val="0.80222270780194749"/>
        </c:manualLayout>
      </c:layout>
      <c:barChart>
        <c:barDir val="col"/>
        <c:grouping val="clustered"/>
        <c:ser>
          <c:idx val="0"/>
          <c:order val="0"/>
          <c:tx>
            <c:strRef>
              <c:f>'RANGIRANJE 10 INDIKATORA (2)'!$E$333</c:f>
              <c:strCache>
                <c:ptCount val="1"/>
                <c:pt idx="0">
                  <c:v>2011</c:v>
                </c:pt>
              </c:strCache>
            </c:strRef>
          </c:tx>
          <c:spPr>
            <a:solidFill>
              <a:srgbClr val="0070C0"/>
            </a:solidFill>
            <a:ln>
              <a:noFill/>
            </a:ln>
            <a:effectLst/>
          </c:spPr>
          <c:dLbls>
            <c:dLbl>
              <c:idx val="19"/>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3E4-4316-9066-9C156801733D}"/>
                </c:ext>
              </c:extLst>
            </c:dLbl>
            <c:delete val="1"/>
            <c:spPr>
              <a:noFill/>
              <a:ln>
                <a:noFill/>
              </a:ln>
              <a:effectLst/>
            </c:spPr>
            <c:txPr>
              <a:bodyPr wrap="square" lIns="38100" tIns="19050" rIns="38100" bIns="19050" anchor="ctr">
                <a:spAutoFit/>
              </a:bodyPr>
              <a:lstStyle/>
              <a:p>
                <a:pPr>
                  <a:defRPr sz="900">
                    <a:latin typeface="Cambria" panose="02040503050406030204" pitchFamily="18" charset="0"/>
                    <a:ea typeface="Cambria" panose="02040503050406030204" pitchFamily="18" charset="0"/>
                  </a:defRPr>
                </a:pPr>
                <a:endParaRPr lang="en-US"/>
              </a:p>
            </c:txP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'RANGIRANJE 10 INDIKATORA (2)'!$D$334:$D$354</c:f>
              <c:strCache>
                <c:ptCount val="21"/>
                <c:pt idx="0">
                  <c:v>Budva</c:v>
                </c:pt>
                <c:pt idx="1">
                  <c:v>Tivat</c:v>
                </c:pt>
                <c:pt idx="2">
                  <c:v>Podgorica</c:v>
                </c:pt>
                <c:pt idx="3">
                  <c:v>Bar</c:v>
                </c:pt>
                <c:pt idx="4">
                  <c:v>Kotor</c:v>
                </c:pt>
                <c:pt idx="5">
                  <c:v>Herceg Novi</c:v>
                </c:pt>
                <c:pt idx="6">
                  <c:v>Žabljak</c:v>
                </c:pt>
                <c:pt idx="7">
                  <c:v>Ulcinj</c:v>
                </c:pt>
                <c:pt idx="8">
                  <c:v>Cetinje</c:v>
                </c:pt>
                <c:pt idx="9">
                  <c:v>Pljevlja</c:v>
                </c:pt>
                <c:pt idx="10">
                  <c:v>Danilovgrad</c:v>
                </c:pt>
                <c:pt idx="11">
                  <c:v>Nikšić</c:v>
                </c:pt>
                <c:pt idx="12">
                  <c:v>Kolašin</c:v>
                </c:pt>
                <c:pt idx="13">
                  <c:v>Bijelo Polje</c:v>
                </c:pt>
                <c:pt idx="14">
                  <c:v>Plav</c:v>
                </c:pt>
                <c:pt idx="15">
                  <c:v>Plužine</c:v>
                </c:pt>
                <c:pt idx="16">
                  <c:v>Rožaje</c:v>
                </c:pt>
                <c:pt idx="17">
                  <c:v>Šavnik</c:v>
                </c:pt>
                <c:pt idx="18">
                  <c:v>Mojkovac</c:v>
                </c:pt>
                <c:pt idx="19">
                  <c:v>Berane</c:v>
                </c:pt>
                <c:pt idx="20">
                  <c:v>Andrijevica</c:v>
                </c:pt>
              </c:strCache>
            </c:strRef>
          </c:cat>
          <c:val>
            <c:numRef>
              <c:f>'RANGIRANJE 10 INDIKATORA (2)'!$E$334:$E$354</c:f>
              <c:numCache>
                <c:formatCode>0.0</c:formatCode>
                <c:ptCount val="21"/>
                <c:pt idx="0">
                  <c:v>2.2999999999999998</c:v>
                </c:pt>
                <c:pt idx="1">
                  <c:v>5.3</c:v>
                </c:pt>
                <c:pt idx="2">
                  <c:v>4</c:v>
                </c:pt>
                <c:pt idx="3">
                  <c:v>6.4</c:v>
                </c:pt>
                <c:pt idx="4">
                  <c:v>5.6</c:v>
                </c:pt>
                <c:pt idx="5">
                  <c:v>4.2</c:v>
                </c:pt>
                <c:pt idx="6">
                  <c:v>12.2</c:v>
                </c:pt>
                <c:pt idx="7">
                  <c:v>9</c:v>
                </c:pt>
                <c:pt idx="8">
                  <c:v>11.2</c:v>
                </c:pt>
                <c:pt idx="9">
                  <c:v>11.6</c:v>
                </c:pt>
                <c:pt idx="10">
                  <c:v>12.6</c:v>
                </c:pt>
                <c:pt idx="11">
                  <c:v>9.4</c:v>
                </c:pt>
                <c:pt idx="12">
                  <c:v>14.8</c:v>
                </c:pt>
                <c:pt idx="13">
                  <c:v>14.1</c:v>
                </c:pt>
                <c:pt idx="14">
                  <c:v>16.600000000000001</c:v>
                </c:pt>
                <c:pt idx="15">
                  <c:v>13.2</c:v>
                </c:pt>
                <c:pt idx="16">
                  <c:v>12.9</c:v>
                </c:pt>
                <c:pt idx="17">
                  <c:v>18.3</c:v>
                </c:pt>
                <c:pt idx="18">
                  <c:v>14.8</c:v>
                </c:pt>
                <c:pt idx="19">
                  <c:v>14.5</c:v>
                </c:pt>
                <c:pt idx="20">
                  <c:v>18</c:v>
                </c:pt>
              </c:numCache>
            </c:numRef>
          </c:val>
          <c:extLst xmlns:c16r2="http://schemas.microsoft.com/office/drawing/2015/06/chart">
            <c:ext xmlns:c16="http://schemas.microsoft.com/office/drawing/2014/chart" uri="{C3380CC4-5D6E-409C-BE32-E72D297353CC}">
              <c16:uniqueId val="{00000001-9C8F-4123-8556-3F18C8C7C987}"/>
            </c:ext>
          </c:extLst>
        </c:ser>
        <c:ser>
          <c:idx val="1"/>
          <c:order val="1"/>
          <c:tx>
            <c:strRef>
              <c:f>'RANGIRANJE 10 INDIKATORA (2)'!$F$333</c:f>
              <c:strCache>
                <c:ptCount val="1"/>
                <c:pt idx="0">
                  <c:v>2018</c:v>
                </c:pt>
              </c:strCache>
            </c:strRef>
          </c:tx>
          <c:spPr>
            <a:solidFill>
              <a:schemeClr val="accent4">
                <a:lumMod val="60000"/>
                <a:lumOff val="40000"/>
              </a:schemeClr>
            </a:solidFill>
            <a:ln>
              <a:noFill/>
            </a:ln>
            <a:effectLst/>
          </c:spPr>
          <c:dLbls>
            <c:dLbl>
              <c:idx val="19"/>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3E4-4316-9066-9C156801733D}"/>
                </c:ext>
              </c:extLst>
            </c:dLbl>
            <c:delete val="1"/>
            <c:spPr>
              <a:noFill/>
              <a:ln>
                <a:noFill/>
              </a:ln>
              <a:effectLst/>
            </c:spPr>
            <c:txPr>
              <a:bodyPr wrap="square" lIns="38100" tIns="19050" rIns="38100" bIns="19050" anchor="ctr">
                <a:spAutoFit/>
              </a:bodyPr>
              <a:lstStyle/>
              <a:p>
                <a:pPr>
                  <a:defRPr sz="900">
                    <a:solidFill>
                      <a:sysClr val="windowText" lastClr="000000"/>
                    </a:solidFill>
                    <a:latin typeface="Cambria" panose="02040503050406030204" pitchFamily="18" charset="0"/>
                    <a:ea typeface="Cambria" panose="02040503050406030204" pitchFamily="18" charset="0"/>
                  </a:defRPr>
                </a:pPr>
                <a:endParaRPr lang="en-US"/>
              </a:p>
            </c:txP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'RANGIRANJE 10 INDIKATORA (2)'!$D$334:$D$354</c:f>
              <c:strCache>
                <c:ptCount val="21"/>
                <c:pt idx="0">
                  <c:v>Budva</c:v>
                </c:pt>
                <c:pt idx="1">
                  <c:v>Tivat</c:v>
                </c:pt>
                <c:pt idx="2">
                  <c:v>Podgorica</c:v>
                </c:pt>
                <c:pt idx="3">
                  <c:v>Bar</c:v>
                </c:pt>
                <c:pt idx="4">
                  <c:v>Kotor</c:v>
                </c:pt>
                <c:pt idx="5">
                  <c:v>Herceg Novi</c:v>
                </c:pt>
                <c:pt idx="6">
                  <c:v>Žabljak</c:v>
                </c:pt>
                <c:pt idx="7">
                  <c:v>Ulcinj</c:v>
                </c:pt>
                <c:pt idx="8">
                  <c:v>Cetinje</c:v>
                </c:pt>
                <c:pt idx="9">
                  <c:v>Pljevlja</c:v>
                </c:pt>
                <c:pt idx="10">
                  <c:v>Danilovgrad</c:v>
                </c:pt>
                <c:pt idx="11">
                  <c:v>Nikšić</c:v>
                </c:pt>
                <c:pt idx="12">
                  <c:v>Kolašin</c:v>
                </c:pt>
                <c:pt idx="13">
                  <c:v>Bijelo Polje</c:v>
                </c:pt>
                <c:pt idx="14">
                  <c:v>Plav</c:v>
                </c:pt>
                <c:pt idx="15">
                  <c:v>Plužine</c:v>
                </c:pt>
                <c:pt idx="16">
                  <c:v>Rožaje</c:v>
                </c:pt>
                <c:pt idx="17">
                  <c:v>Šavnik</c:v>
                </c:pt>
                <c:pt idx="18">
                  <c:v>Mojkovac</c:v>
                </c:pt>
                <c:pt idx="19">
                  <c:v>Berane</c:v>
                </c:pt>
                <c:pt idx="20">
                  <c:v>Andrijevica</c:v>
                </c:pt>
              </c:strCache>
            </c:strRef>
          </c:cat>
          <c:val>
            <c:numRef>
              <c:f>'RANGIRANJE 10 INDIKATORA (2)'!$F$334:$F$354</c:f>
              <c:numCache>
                <c:formatCode>0.0</c:formatCode>
                <c:ptCount val="21"/>
                <c:pt idx="0">
                  <c:v>3.2</c:v>
                </c:pt>
                <c:pt idx="1">
                  <c:v>4.2</c:v>
                </c:pt>
                <c:pt idx="2">
                  <c:v>4.4000000000000004</c:v>
                </c:pt>
                <c:pt idx="3">
                  <c:v>5.5</c:v>
                </c:pt>
                <c:pt idx="4">
                  <c:v>5.7</c:v>
                </c:pt>
                <c:pt idx="5">
                  <c:v>5.9</c:v>
                </c:pt>
                <c:pt idx="6">
                  <c:v>8</c:v>
                </c:pt>
                <c:pt idx="7">
                  <c:v>8.1</c:v>
                </c:pt>
                <c:pt idx="8">
                  <c:v>10.6</c:v>
                </c:pt>
                <c:pt idx="9">
                  <c:v>10.8</c:v>
                </c:pt>
                <c:pt idx="10">
                  <c:v>10.9</c:v>
                </c:pt>
                <c:pt idx="11">
                  <c:v>12.3</c:v>
                </c:pt>
                <c:pt idx="12">
                  <c:v>14.7</c:v>
                </c:pt>
                <c:pt idx="13">
                  <c:v>14.8</c:v>
                </c:pt>
                <c:pt idx="14">
                  <c:v>15</c:v>
                </c:pt>
                <c:pt idx="15">
                  <c:v>15.2</c:v>
                </c:pt>
                <c:pt idx="16">
                  <c:v>15.3</c:v>
                </c:pt>
                <c:pt idx="17">
                  <c:v>15.6</c:v>
                </c:pt>
                <c:pt idx="18">
                  <c:v>16.3</c:v>
                </c:pt>
                <c:pt idx="19">
                  <c:v>16.7</c:v>
                </c:pt>
                <c:pt idx="20">
                  <c:v>17.8</c:v>
                </c:pt>
              </c:numCache>
            </c:numRef>
          </c:val>
          <c:extLst xmlns:c16r2="http://schemas.microsoft.com/office/drawing/2015/06/chart">
            <c:ext xmlns:c16="http://schemas.microsoft.com/office/drawing/2014/chart" uri="{C3380CC4-5D6E-409C-BE32-E72D297353CC}">
              <c16:uniqueId val="{00000003-9C8F-4123-8556-3F18C8C7C987}"/>
            </c:ext>
          </c:extLst>
        </c:ser>
        <c:gapWidth val="42"/>
        <c:overlap val="1"/>
        <c:axId val="68208896"/>
        <c:axId val="68210688"/>
      </c:barChart>
      <c:catAx>
        <c:axId val="68208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210688"/>
        <c:crosses val="autoZero"/>
        <c:auto val="1"/>
        <c:lblAlgn val="ctr"/>
        <c:lblOffset val="100"/>
      </c:catAx>
      <c:valAx>
        <c:axId val="68210688"/>
        <c:scaling>
          <c:orientation val="minMax"/>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08896"/>
        <c:crosses val="autoZero"/>
        <c:crossBetween val="between"/>
      </c:valAx>
      <c:spPr>
        <a:noFill/>
        <a:ln>
          <a:noFill/>
        </a:ln>
        <a:effectLst/>
      </c:spPr>
    </c:plotArea>
    <c:legend>
      <c:legendPos val="b"/>
      <c:layout>
        <c:manualLayout>
          <c:xMode val="edge"/>
          <c:yMode val="edge"/>
          <c:x val="0.12555722975224973"/>
          <c:y val="4.9864360652984482E-2"/>
          <c:w val="0.18533053619042475"/>
          <c:h val="4.7736942304441525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chart>
  <c:spPr>
    <a:solidFill>
      <a:schemeClr val="bg1">
        <a:lumMod val="95000"/>
      </a:schemeClr>
    </a:solidFill>
    <a:ln w="9525" cap="flat" cmpd="sng" algn="ctr">
      <a:no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trendline>
          <c:cat>
            <c:strRef>
              <c:f>'BERANE 2'!$C$5:$C$10</c:f>
              <c:strCache>
                <c:ptCount val="6"/>
                <c:pt idx="0">
                  <c:v>2011.</c:v>
                </c:pt>
                <c:pt idx="1">
                  <c:v>2016.</c:v>
                </c:pt>
                <c:pt idx="2">
                  <c:v>2017.</c:v>
                </c:pt>
                <c:pt idx="3">
                  <c:v>2018.</c:v>
                </c:pt>
                <c:pt idx="4">
                  <c:v>2019.</c:v>
                </c:pt>
                <c:pt idx="5">
                  <c:v>I-VI 2020.</c:v>
                </c:pt>
              </c:strCache>
            </c:strRef>
          </c:cat>
          <c:val>
            <c:numRef>
              <c:f>'BERANE 2'!$D$5:$D$10</c:f>
              <c:numCache>
                <c:formatCode>#,##0</c:formatCode>
                <c:ptCount val="6"/>
                <c:pt idx="0">
                  <c:v>4900</c:v>
                </c:pt>
                <c:pt idx="1">
                  <c:v>4455</c:v>
                </c:pt>
                <c:pt idx="2">
                  <c:v>4469</c:v>
                </c:pt>
                <c:pt idx="3">
                  <c:v>4623</c:v>
                </c:pt>
                <c:pt idx="4">
                  <c:v>5106</c:v>
                </c:pt>
                <c:pt idx="5">
                  <c:v>4931</c:v>
                </c:pt>
              </c:numCache>
            </c:numRef>
          </c:val>
          <c:extLst xmlns:c16r2="http://schemas.microsoft.com/office/drawing/2015/06/chart">
            <c:ext xmlns:c16="http://schemas.microsoft.com/office/drawing/2014/chart" uri="{C3380CC4-5D6E-409C-BE32-E72D297353CC}">
              <c16:uniqueId val="{00000000-837E-4565-A12F-421CEC1D3891}"/>
            </c:ext>
          </c:extLst>
        </c:ser>
        <c:gapWidth val="219"/>
        <c:overlap val="-27"/>
        <c:axId val="68301568"/>
        <c:axId val="68303104"/>
      </c:barChart>
      <c:catAx>
        <c:axId val="68301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68303104"/>
        <c:crosses val="autoZero"/>
        <c:auto val="1"/>
        <c:lblAlgn val="ctr"/>
        <c:lblOffset val="100"/>
      </c:catAx>
      <c:valAx>
        <c:axId val="68303104"/>
        <c:scaling>
          <c:orientation val="minMax"/>
        </c:scaling>
        <c:delete val="1"/>
        <c:axPos val="l"/>
        <c:numFmt formatCode="#,##0" sourceLinked="1"/>
        <c:majorTickMark val="none"/>
        <c:tickLblPos val="none"/>
        <c:crossAx val="68301568"/>
        <c:crosses val="autoZero"/>
        <c:crossBetween val="between"/>
      </c:valAx>
      <c:spPr>
        <a:noFill/>
        <a:ln>
          <a:noFill/>
        </a:ln>
        <a:effectLst/>
      </c:spPr>
    </c:plotArea>
    <c:plotVisOnly val="1"/>
    <c:dispBlanksAs val="gap"/>
  </c:chart>
  <c:spPr>
    <a:solidFill>
      <a:schemeClr val="bg1">
        <a:lumMod val="85000"/>
      </a:schemeClr>
    </a:solidFill>
    <a:ln w="9525" cap="flat" cmpd="sng" algn="ctr">
      <a:solidFill>
        <a:schemeClr val="tx1">
          <a:lumMod val="15000"/>
          <a:lumOff val="85000"/>
        </a:schemeClr>
      </a:solid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'BERANE 2'!$C$38</c:f>
              <c:strCache>
                <c:ptCount val="1"/>
                <c:pt idx="0">
                  <c:v>Broj penzionera</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2'!$D$37:$G$37</c:f>
              <c:strCache>
                <c:ptCount val="4"/>
                <c:pt idx="0">
                  <c:v>2011.</c:v>
                </c:pt>
                <c:pt idx="1">
                  <c:v>2016.</c:v>
                </c:pt>
                <c:pt idx="2">
                  <c:v>2018.</c:v>
                </c:pt>
                <c:pt idx="3">
                  <c:v>2019.</c:v>
                </c:pt>
              </c:strCache>
            </c:strRef>
          </c:cat>
          <c:val>
            <c:numRef>
              <c:f>'BERANE 2'!$D$38:$G$38</c:f>
              <c:numCache>
                <c:formatCode>#,##0</c:formatCode>
                <c:ptCount val="4"/>
                <c:pt idx="0">
                  <c:v>5273</c:v>
                </c:pt>
                <c:pt idx="1">
                  <c:v>4826</c:v>
                </c:pt>
                <c:pt idx="2">
                  <c:v>5120</c:v>
                </c:pt>
                <c:pt idx="3">
                  <c:v>5103</c:v>
                </c:pt>
              </c:numCache>
            </c:numRef>
          </c:val>
          <c:extLst xmlns:c16r2="http://schemas.microsoft.com/office/drawing/2015/06/chart">
            <c:ext xmlns:c16="http://schemas.microsoft.com/office/drawing/2014/chart" uri="{C3380CC4-5D6E-409C-BE32-E72D297353CC}">
              <c16:uniqueId val="{00000000-F804-427F-9BB5-A93B837B6D67}"/>
            </c:ext>
          </c:extLst>
        </c:ser>
        <c:ser>
          <c:idx val="1"/>
          <c:order val="1"/>
          <c:tx>
            <c:strRef>
              <c:f>'BERANE 2'!$C$39</c:f>
              <c:strCache>
                <c:ptCount val="1"/>
                <c:pt idx="0">
                  <c:v>Broj zaposlenih </c:v>
                </c:pt>
              </c:strCache>
            </c:strRef>
          </c:tx>
          <c:spPr>
            <a:solidFill>
              <a:schemeClr val="accent4">
                <a:lumMod val="60000"/>
                <a:lumOff val="40000"/>
              </a:schemeClr>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2'!$D$37:$G$37</c:f>
              <c:strCache>
                <c:ptCount val="4"/>
                <c:pt idx="0">
                  <c:v>2011.</c:v>
                </c:pt>
                <c:pt idx="1">
                  <c:v>2016.</c:v>
                </c:pt>
                <c:pt idx="2">
                  <c:v>2018.</c:v>
                </c:pt>
                <c:pt idx="3">
                  <c:v>2019.</c:v>
                </c:pt>
              </c:strCache>
            </c:strRef>
          </c:cat>
          <c:val>
            <c:numRef>
              <c:f>'BERANE 2'!$D$39:$G$39</c:f>
              <c:numCache>
                <c:formatCode>#,##0</c:formatCode>
                <c:ptCount val="4"/>
                <c:pt idx="0">
                  <c:v>4900</c:v>
                </c:pt>
                <c:pt idx="1">
                  <c:v>4455</c:v>
                </c:pt>
                <c:pt idx="2">
                  <c:v>4623</c:v>
                </c:pt>
                <c:pt idx="3">
                  <c:v>5106</c:v>
                </c:pt>
              </c:numCache>
            </c:numRef>
          </c:val>
          <c:extLst xmlns:c16r2="http://schemas.microsoft.com/office/drawing/2015/06/chart">
            <c:ext xmlns:c16="http://schemas.microsoft.com/office/drawing/2014/chart" uri="{C3380CC4-5D6E-409C-BE32-E72D297353CC}">
              <c16:uniqueId val="{00000001-F804-427F-9BB5-A93B837B6D67}"/>
            </c:ext>
          </c:extLst>
        </c:ser>
        <c:gapWidth val="219"/>
        <c:overlap val="-27"/>
        <c:axId val="68222336"/>
        <c:axId val="68318336"/>
      </c:barChart>
      <c:catAx>
        <c:axId val="682223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68318336"/>
        <c:crosses val="autoZero"/>
        <c:auto val="1"/>
        <c:lblAlgn val="ctr"/>
        <c:lblOffset val="100"/>
      </c:catAx>
      <c:valAx>
        <c:axId val="68318336"/>
        <c:scaling>
          <c:orientation val="minMax"/>
        </c:scaling>
        <c:delete val="1"/>
        <c:axPos val="l"/>
        <c:numFmt formatCode="#,##0" sourceLinked="1"/>
        <c:majorTickMark val="none"/>
        <c:tickLblPos val="none"/>
        <c:crossAx val="682223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'BERANE 2'!$B$55</c:f>
              <c:strCache>
                <c:ptCount val="1"/>
                <c:pt idx="0">
                  <c:v>Broj nezaposlenih </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2'!$C$54:$G$54</c:f>
              <c:strCache>
                <c:ptCount val="5"/>
                <c:pt idx="0">
                  <c:v>2011.</c:v>
                </c:pt>
                <c:pt idx="1">
                  <c:v>2017.</c:v>
                </c:pt>
                <c:pt idx="2">
                  <c:v>2018.</c:v>
                </c:pt>
                <c:pt idx="3">
                  <c:v>2019.</c:v>
                </c:pt>
                <c:pt idx="4">
                  <c:v>VI 2020.</c:v>
                </c:pt>
              </c:strCache>
            </c:strRef>
          </c:cat>
          <c:val>
            <c:numRef>
              <c:f>'BERANE 2'!$C$55:$G$55</c:f>
              <c:numCache>
                <c:formatCode>#,##0</c:formatCode>
                <c:ptCount val="5"/>
                <c:pt idx="0">
                  <c:v>1759</c:v>
                </c:pt>
                <c:pt idx="1">
                  <c:v>6444</c:v>
                </c:pt>
                <c:pt idx="2">
                  <c:v>4519</c:v>
                </c:pt>
                <c:pt idx="3">
                  <c:v>4312</c:v>
                </c:pt>
                <c:pt idx="4">
                  <c:v>4473</c:v>
                </c:pt>
              </c:numCache>
            </c:numRef>
          </c:val>
          <c:extLst xmlns:c16r2="http://schemas.microsoft.com/office/drawing/2015/06/chart">
            <c:ext xmlns:c16="http://schemas.microsoft.com/office/drawing/2014/chart" uri="{C3380CC4-5D6E-409C-BE32-E72D297353CC}">
              <c16:uniqueId val="{00000000-BD99-456C-B942-ABF32455BB9E}"/>
            </c:ext>
          </c:extLst>
        </c:ser>
        <c:ser>
          <c:idx val="1"/>
          <c:order val="1"/>
          <c:tx>
            <c:strRef>
              <c:f>'BERANE 2'!$B$56</c:f>
              <c:strCache>
                <c:ptCount val="1"/>
                <c:pt idx="0">
                  <c:v>Broj nezaposlenih žena</c:v>
                </c:pt>
              </c:strCache>
            </c:strRef>
          </c:tx>
          <c:spPr>
            <a:solidFill>
              <a:schemeClr val="accent4">
                <a:lumMod val="60000"/>
                <a:lumOff val="40000"/>
              </a:schemeClr>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2'!$C$54:$G$54</c:f>
              <c:strCache>
                <c:ptCount val="5"/>
                <c:pt idx="0">
                  <c:v>2011.</c:v>
                </c:pt>
                <c:pt idx="1">
                  <c:v>2017.</c:v>
                </c:pt>
                <c:pt idx="2">
                  <c:v>2018.</c:v>
                </c:pt>
                <c:pt idx="3">
                  <c:v>2019.</c:v>
                </c:pt>
                <c:pt idx="4">
                  <c:v>VI 2020.</c:v>
                </c:pt>
              </c:strCache>
            </c:strRef>
          </c:cat>
          <c:val>
            <c:numRef>
              <c:f>'BERANE 2'!$C$56:$G$56</c:f>
              <c:numCache>
                <c:formatCode>#,##0</c:formatCode>
                <c:ptCount val="5"/>
                <c:pt idx="0" formatCode="General">
                  <c:v>769</c:v>
                </c:pt>
                <c:pt idx="1">
                  <c:v>3632</c:v>
                </c:pt>
                <c:pt idx="2">
                  <c:v>2518</c:v>
                </c:pt>
                <c:pt idx="3">
                  <c:v>2425</c:v>
                </c:pt>
                <c:pt idx="4">
                  <c:v>2456</c:v>
                </c:pt>
              </c:numCache>
            </c:numRef>
          </c:val>
          <c:extLst xmlns:c16r2="http://schemas.microsoft.com/office/drawing/2015/06/chart">
            <c:ext xmlns:c16="http://schemas.microsoft.com/office/drawing/2014/chart" uri="{C3380CC4-5D6E-409C-BE32-E72D297353CC}">
              <c16:uniqueId val="{00000001-BD99-456C-B942-ABF32455BB9E}"/>
            </c:ext>
          </c:extLst>
        </c:ser>
        <c:gapWidth val="219"/>
        <c:overlap val="-27"/>
        <c:axId val="68344448"/>
        <c:axId val="68350336"/>
      </c:barChart>
      <c:catAx>
        <c:axId val="683444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68350336"/>
        <c:crosses val="autoZero"/>
        <c:auto val="1"/>
        <c:lblAlgn val="ctr"/>
        <c:lblOffset val="100"/>
      </c:catAx>
      <c:valAx>
        <c:axId val="68350336"/>
        <c:scaling>
          <c:orientation val="minMax"/>
        </c:scaling>
        <c:delete val="1"/>
        <c:axPos val="l"/>
        <c:numFmt formatCode="#,##0" sourceLinked="1"/>
        <c:majorTickMark val="none"/>
        <c:tickLblPos val="none"/>
        <c:crossAx val="683444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chart>
  <c:spPr>
    <a:solidFill>
      <a:schemeClr val="bg1">
        <a:lumMod val="95000"/>
      </a:schemeClr>
    </a:solidFill>
    <a:ln w="9525" cap="flat" cmpd="sng" algn="ctr">
      <a:solidFill>
        <a:schemeClr val="tx1">
          <a:lumMod val="15000"/>
          <a:lumOff val="85000"/>
        </a:schemeClr>
      </a:solid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'BERANE 2'!$H$73</c:f>
              <c:strCache>
                <c:ptCount val="1"/>
                <c:pt idx="0">
                  <c:v>Bez staža</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2'!$G$74:$G$76</c:f>
              <c:strCache>
                <c:ptCount val="3"/>
                <c:pt idx="0">
                  <c:v>2018.</c:v>
                </c:pt>
                <c:pt idx="1">
                  <c:v>2019.</c:v>
                </c:pt>
                <c:pt idx="2">
                  <c:v>VI 2020.</c:v>
                </c:pt>
              </c:strCache>
            </c:strRef>
          </c:cat>
          <c:val>
            <c:numRef>
              <c:f>'BERANE 2'!$H$74:$H$76</c:f>
              <c:numCache>
                <c:formatCode>#,##0</c:formatCode>
                <c:ptCount val="3"/>
                <c:pt idx="0">
                  <c:v>2083</c:v>
                </c:pt>
                <c:pt idx="1">
                  <c:v>1975</c:v>
                </c:pt>
                <c:pt idx="2">
                  <c:v>1998</c:v>
                </c:pt>
              </c:numCache>
            </c:numRef>
          </c:val>
          <c:extLst xmlns:c16r2="http://schemas.microsoft.com/office/drawing/2015/06/chart">
            <c:ext xmlns:c16="http://schemas.microsoft.com/office/drawing/2014/chart" uri="{C3380CC4-5D6E-409C-BE32-E72D297353CC}">
              <c16:uniqueId val="{00000000-FCF9-4E9C-BA48-42B85050B798}"/>
            </c:ext>
          </c:extLst>
        </c:ser>
        <c:ser>
          <c:idx val="1"/>
          <c:order val="1"/>
          <c:tx>
            <c:strRef>
              <c:f>'BERANE 2'!$I$73</c:f>
              <c:strCache>
                <c:ptCount val="1"/>
                <c:pt idx="0">
                  <c:v>Sa stažom</c:v>
                </c:pt>
              </c:strCache>
            </c:strRef>
          </c:tx>
          <c:spPr>
            <a:solidFill>
              <a:schemeClr val="accent4">
                <a:lumMod val="60000"/>
                <a:lumOff val="40000"/>
              </a:schemeClr>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'BERANE 2'!$G$74:$G$76</c:f>
              <c:strCache>
                <c:ptCount val="3"/>
                <c:pt idx="0">
                  <c:v>2018.</c:v>
                </c:pt>
                <c:pt idx="1">
                  <c:v>2019.</c:v>
                </c:pt>
                <c:pt idx="2">
                  <c:v>VI 2020.</c:v>
                </c:pt>
              </c:strCache>
            </c:strRef>
          </c:cat>
          <c:val>
            <c:numRef>
              <c:f>'BERANE 2'!$I$74:$I$76</c:f>
              <c:numCache>
                <c:formatCode>#,##0</c:formatCode>
                <c:ptCount val="3"/>
                <c:pt idx="0">
                  <c:v>2436</c:v>
                </c:pt>
                <c:pt idx="1">
                  <c:v>2337</c:v>
                </c:pt>
                <c:pt idx="2">
                  <c:v>2475</c:v>
                </c:pt>
              </c:numCache>
            </c:numRef>
          </c:val>
          <c:extLst xmlns:c16r2="http://schemas.microsoft.com/office/drawing/2015/06/chart">
            <c:ext xmlns:c16="http://schemas.microsoft.com/office/drawing/2014/chart" uri="{C3380CC4-5D6E-409C-BE32-E72D297353CC}">
              <c16:uniqueId val="{00000007-FCF9-4E9C-BA48-42B85050B798}"/>
            </c:ext>
          </c:extLst>
        </c:ser>
        <c:overlap val="100"/>
        <c:axId val="68360064"/>
        <c:axId val="68361600"/>
      </c:barChart>
      <c:catAx>
        <c:axId val="683600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crossAx val="68361600"/>
        <c:crosses val="autoZero"/>
        <c:auto val="1"/>
        <c:lblAlgn val="ctr"/>
        <c:lblOffset val="100"/>
      </c:catAx>
      <c:valAx>
        <c:axId val="68361600"/>
        <c:scaling>
          <c:orientation val="minMax"/>
        </c:scaling>
        <c:delete val="1"/>
        <c:axPos val="l"/>
        <c:numFmt formatCode="#,##0" sourceLinked="1"/>
        <c:majorTickMark val="none"/>
        <c:tickLblPos val="none"/>
        <c:crossAx val="683600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legend>
    <c:plotVisOnly val="1"/>
    <c:dispBlanksAs val="gap"/>
  </c:chart>
  <c:spPr>
    <a:solidFill>
      <a:schemeClr val="bg1">
        <a:lumMod val="95000"/>
      </a:schemeClr>
    </a:solidFill>
    <a:ln w="9525" cap="flat" cmpd="sng" algn="ctr">
      <a:noFill/>
      <a:round/>
    </a:ln>
    <a:effectLst/>
  </c:spPr>
  <c:txPr>
    <a:bodyPr/>
    <a:lstStyle/>
    <a:p>
      <a:pPr>
        <a:defRPr sz="900">
          <a:latin typeface="Cambria" panose="02040503050406030204" pitchFamily="18" charset="0"/>
          <a:ea typeface="Cambria" panose="02040503050406030204" pitchFamily="18" charset="0"/>
        </a:defRPr>
      </a:pPr>
      <a:endParaRPr lang="en-US"/>
    </a:p>
  </c:txPr>
  <c:externalData r:id="rId1"/>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DD31C8-14D4-4429-9D3A-6AD0AFFA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45</Pages>
  <Words>14126</Words>
  <Characters>80522</Characters>
  <Application>Microsoft Office Word</Application>
  <DocSecurity>0</DocSecurity>
  <Lines>671</Lines>
  <Paragraphs>188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 Lorencic</dc:creator>
  <cp:lastModifiedBy>Danka</cp:lastModifiedBy>
  <cp:revision>112</cp:revision>
  <cp:lastPrinted>2021-06-11T07:36:00Z</cp:lastPrinted>
  <dcterms:created xsi:type="dcterms:W3CDTF">2021-02-19T16:03:00Z</dcterms:created>
  <dcterms:modified xsi:type="dcterms:W3CDTF">2021-06-11T11:18:00Z</dcterms:modified>
</cp:coreProperties>
</file>