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47" w:rsidRPr="005D087D" w:rsidRDefault="00554C47" w:rsidP="00D613AF">
      <w:pPr>
        <w:spacing w:after="0" w:line="276" w:lineRule="auto"/>
        <w:jc w:val="center"/>
        <w:rPr>
          <w:rFonts w:asciiTheme="majorHAnsi" w:eastAsiaTheme="minorEastAsia" w:hAnsiTheme="majorHAnsi" w:cstheme="majorHAnsi"/>
          <w:b/>
          <w:noProof/>
        </w:rPr>
      </w:pPr>
      <w:r w:rsidRPr="005D087D">
        <w:rPr>
          <w:rFonts w:asciiTheme="majorHAnsi" w:eastAsiaTheme="minorEastAsia" w:hAnsiTheme="majorHAnsi" w:cstheme="majorHAnsi"/>
          <w:b/>
          <w:noProof/>
          <w:lang w:val="sr-Cyrl-CS" w:eastAsia="sr-Cyrl-CS"/>
        </w:rPr>
        <w:drawing>
          <wp:inline distT="0" distB="0" distL="0" distR="0">
            <wp:extent cx="493014" cy="634188"/>
            <wp:effectExtent l="19050" t="0" r="2286" b="0"/>
            <wp:docPr id="2" name="Picture 1" descr="C:\Users\Kanc3\Desktop\FinalniGrbBe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c3\Desktop\FinalniGrbBera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50" cy="63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47" w:rsidRPr="005D087D" w:rsidRDefault="00554C47" w:rsidP="00D613AF">
      <w:pPr>
        <w:spacing w:after="0" w:line="276" w:lineRule="auto"/>
        <w:jc w:val="center"/>
        <w:rPr>
          <w:rFonts w:asciiTheme="majorHAnsi" w:eastAsiaTheme="minorEastAsia" w:hAnsiTheme="majorHAnsi" w:cstheme="majorHAnsi"/>
          <w:b/>
          <w:noProof/>
        </w:rPr>
      </w:pPr>
    </w:p>
    <w:p w:rsidR="009A17B3" w:rsidRPr="005D087D" w:rsidRDefault="009A17B3" w:rsidP="00D613AF">
      <w:pPr>
        <w:spacing w:after="0" w:line="276" w:lineRule="auto"/>
        <w:jc w:val="center"/>
        <w:rPr>
          <w:rFonts w:asciiTheme="majorHAnsi" w:eastAsiaTheme="minorEastAsia" w:hAnsiTheme="majorHAnsi" w:cstheme="majorHAnsi"/>
          <w:b/>
          <w:noProof/>
          <w:sz w:val="20"/>
          <w:szCs w:val="20"/>
        </w:rPr>
      </w:pPr>
      <w:r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>ОПШТИНА БЕРАНЕ</w:t>
      </w:r>
    </w:p>
    <w:p w:rsidR="002E576D" w:rsidRPr="005D087D" w:rsidRDefault="009A17B3" w:rsidP="00D613AF">
      <w:pPr>
        <w:spacing w:after="0" w:line="276" w:lineRule="auto"/>
        <w:jc w:val="center"/>
        <w:rPr>
          <w:rFonts w:asciiTheme="majorHAnsi" w:eastAsiaTheme="minorEastAsia" w:hAnsiTheme="majorHAnsi" w:cstheme="majorHAnsi"/>
          <w:b/>
          <w:noProof/>
          <w:sz w:val="20"/>
          <w:szCs w:val="20"/>
        </w:rPr>
      </w:pPr>
      <w:r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>СЕКРЕТАРИЈАТ ЗА ОПШТУ УПРАВУ И ДРУШТВЕНЕ ДЈЕЛАТНОСТИ</w:t>
      </w:r>
    </w:p>
    <w:p w:rsidR="002E576D" w:rsidRPr="005D087D" w:rsidRDefault="002E576D" w:rsidP="002E576D">
      <w:pPr>
        <w:spacing w:after="0" w:line="276" w:lineRule="auto"/>
        <w:rPr>
          <w:rFonts w:asciiTheme="majorHAnsi" w:eastAsiaTheme="minorEastAsia" w:hAnsiTheme="majorHAnsi" w:cstheme="majorHAnsi"/>
          <w:noProof/>
          <w:sz w:val="20"/>
          <w:szCs w:val="20"/>
        </w:rPr>
      </w:pPr>
    </w:p>
    <w:p w:rsidR="00D42669" w:rsidRPr="005D087D" w:rsidRDefault="009A17B3" w:rsidP="00D42669">
      <w:pPr>
        <w:spacing w:line="276" w:lineRule="auto"/>
        <w:jc w:val="center"/>
        <w:rPr>
          <w:rFonts w:asciiTheme="majorHAnsi" w:eastAsiaTheme="minorEastAsia" w:hAnsiTheme="majorHAnsi" w:cstheme="majorHAnsi"/>
          <w:b/>
          <w:noProof/>
          <w:sz w:val="20"/>
          <w:szCs w:val="20"/>
        </w:rPr>
      </w:pPr>
      <w:r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>ИЗВЈЕШТАЈ</w:t>
      </w:r>
      <w:r w:rsidR="002E576D"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>О</w:t>
      </w:r>
      <w:r w:rsidR="002E576D"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>СПРОВЕДЕНОЈ</w:t>
      </w:r>
      <w:r w:rsidR="002E576D"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>ЈАВНОЈ</w:t>
      </w:r>
      <w:r w:rsidR="002E576D"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>РАСПРАВИ</w:t>
      </w:r>
    </w:p>
    <w:p w:rsidR="00421227" w:rsidRPr="005D087D" w:rsidRDefault="009A17B3" w:rsidP="00D42669">
      <w:pPr>
        <w:spacing w:line="276" w:lineRule="auto"/>
        <w:jc w:val="center"/>
        <w:rPr>
          <w:rFonts w:asciiTheme="majorHAnsi" w:eastAsiaTheme="minorEastAsia" w:hAnsiTheme="majorHAnsi" w:cstheme="majorHAnsi"/>
          <w:b/>
          <w:noProof/>
          <w:sz w:val="20"/>
          <w:szCs w:val="20"/>
        </w:rPr>
      </w:pPr>
      <w:r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>о</w:t>
      </w:r>
      <w:r w:rsidR="00B06DA5"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>Нацрту Одлуке о мјесним заједницама</w:t>
      </w:r>
      <w:r w:rsidR="00830D6C" w:rsidRPr="005D087D">
        <w:rPr>
          <w:rFonts w:asciiTheme="majorHAnsi" w:eastAsiaTheme="minorEastAsia" w:hAnsiTheme="majorHAnsi" w:cstheme="majorHAnsi"/>
          <w:b/>
          <w:noProof/>
          <w:sz w:val="20"/>
          <w:szCs w:val="20"/>
        </w:rPr>
        <w:t xml:space="preserve"> </w:t>
      </w:r>
    </w:p>
    <w:p w:rsidR="002E576D" w:rsidRPr="005D087D" w:rsidRDefault="002E576D" w:rsidP="002E576D">
      <w:pPr>
        <w:spacing w:after="0" w:line="276" w:lineRule="auto"/>
        <w:jc w:val="center"/>
        <w:rPr>
          <w:rFonts w:asciiTheme="majorHAnsi" w:eastAsiaTheme="minorEastAsia" w:hAnsiTheme="majorHAnsi" w:cstheme="majorHAnsi"/>
          <w:noProof/>
        </w:rPr>
      </w:pPr>
    </w:p>
    <w:p w:rsidR="002E576D" w:rsidRPr="005D087D" w:rsidRDefault="009A17B3" w:rsidP="003141F4">
      <w:pPr>
        <w:spacing w:after="0" w:line="276" w:lineRule="auto"/>
        <w:jc w:val="both"/>
        <w:rPr>
          <w:rFonts w:asciiTheme="majorHAnsi" w:eastAsiaTheme="minorEastAsia" w:hAnsiTheme="majorHAnsi" w:cstheme="majorHAnsi"/>
          <w:noProof/>
          <w:sz w:val="20"/>
          <w:szCs w:val="20"/>
        </w:rPr>
      </w:pP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Вријеме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трајања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јавне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расправе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: 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Јавна</w:t>
      </w:r>
      <w:r w:rsidR="003141F4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расправа</w:t>
      </w:r>
      <w:r w:rsidR="003141F4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је</w:t>
      </w:r>
      <w:r w:rsidR="003141F4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одржана</w:t>
      </w:r>
      <w:r w:rsidR="003141F4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у</w:t>
      </w:r>
      <w:r w:rsidR="003141F4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периоду</w:t>
      </w:r>
      <w:r w:rsidR="003141F4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од</w:t>
      </w:r>
      <w:r w:rsidR="003141F4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22. Фебруара 2021. године до 10</w:t>
      </w:r>
      <w:r w:rsidR="00830D6C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.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Марта </w:t>
      </w:r>
      <w:r w:rsidR="00830D6C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2021</w:t>
      </w:r>
      <w:r w:rsidR="003141F4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.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године</w:t>
      </w:r>
      <w:r w:rsidR="003141F4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.</w:t>
      </w:r>
    </w:p>
    <w:p w:rsidR="002E576D" w:rsidRPr="005D087D" w:rsidRDefault="002E576D" w:rsidP="002E576D">
      <w:pPr>
        <w:spacing w:after="0" w:line="276" w:lineRule="auto"/>
        <w:rPr>
          <w:rFonts w:asciiTheme="majorHAnsi" w:eastAsiaTheme="minorEastAsia" w:hAnsiTheme="majorHAnsi" w:cstheme="majorHAnsi"/>
          <w:noProof/>
          <w:sz w:val="20"/>
          <w:szCs w:val="20"/>
        </w:rPr>
      </w:pPr>
    </w:p>
    <w:p w:rsidR="002E576D" w:rsidRPr="005D087D" w:rsidRDefault="009A17B3" w:rsidP="002E576D">
      <w:pPr>
        <w:spacing w:after="0" w:line="276" w:lineRule="auto"/>
        <w:rPr>
          <w:rFonts w:asciiTheme="majorHAnsi" w:eastAsiaTheme="minorEastAsia" w:hAnsiTheme="majorHAnsi" w:cstheme="majorHAnsi"/>
          <w:noProof/>
          <w:sz w:val="20"/>
          <w:szCs w:val="20"/>
        </w:rPr>
      </w:pP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Начин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спровођења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јавне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расправе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:</w:t>
      </w:r>
    </w:p>
    <w:p w:rsidR="002E576D" w:rsidRPr="005D087D" w:rsidRDefault="009A17B3" w:rsidP="002E576D">
      <w:pPr>
        <w:numPr>
          <w:ilvl w:val="0"/>
          <w:numId w:val="3"/>
        </w:numPr>
        <w:spacing w:after="0" w:line="276" w:lineRule="auto"/>
        <w:contextualSpacing/>
        <w:rPr>
          <w:rFonts w:asciiTheme="majorHAnsi" w:hAnsiTheme="majorHAnsi" w:cstheme="majorHAnsi"/>
          <w:noProof/>
          <w:sz w:val="20"/>
          <w:szCs w:val="20"/>
        </w:rPr>
      </w:pPr>
      <w:r w:rsidRPr="005D087D">
        <w:rPr>
          <w:rFonts w:asciiTheme="majorHAnsi" w:hAnsiTheme="majorHAnsi" w:cstheme="majorHAnsi"/>
          <w:noProof/>
          <w:sz w:val="20"/>
          <w:szCs w:val="20"/>
        </w:rPr>
        <w:t>Достављање</w:t>
      </w:r>
      <w:r w:rsidR="002E576D" w:rsidRPr="005D087D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hAnsiTheme="majorHAnsi" w:cstheme="majorHAnsi"/>
          <w:noProof/>
          <w:sz w:val="20"/>
          <w:szCs w:val="20"/>
        </w:rPr>
        <w:t>примједби</w:t>
      </w:r>
      <w:r w:rsidR="002E576D" w:rsidRPr="005D087D">
        <w:rPr>
          <w:rFonts w:asciiTheme="majorHAnsi" w:hAnsiTheme="majorHAnsi" w:cstheme="majorHAnsi"/>
          <w:noProof/>
          <w:sz w:val="20"/>
          <w:szCs w:val="20"/>
        </w:rPr>
        <w:t xml:space="preserve">, </w:t>
      </w:r>
      <w:r w:rsidRPr="005D087D">
        <w:rPr>
          <w:rFonts w:asciiTheme="majorHAnsi" w:hAnsiTheme="majorHAnsi" w:cstheme="majorHAnsi"/>
          <w:noProof/>
          <w:sz w:val="20"/>
          <w:szCs w:val="20"/>
        </w:rPr>
        <w:t>предлога</w:t>
      </w:r>
      <w:r w:rsidR="002E576D" w:rsidRPr="005D087D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hAnsiTheme="majorHAnsi" w:cstheme="majorHAnsi"/>
          <w:noProof/>
          <w:sz w:val="20"/>
          <w:szCs w:val="20"/>
        </w:rPr>
        <w:t>и</w:t>
      </w:r>
      <w:r w:rsidR="002E576D" w:rsidRPr="005D087D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hAnsiTheme="majorHAnsi" w:cstheme="majorHAnsi"/>
          <w:noProof/>
          <w:sz w:val="20"/>
          <w:szCs w:val="20"/>
        </w:rPr>
        <w:t>сугестија</w:t>
      </w:r>
      <w:r w:rsidR="002E576D" w:rsidRPr="005D087D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hAnsiTheme="majorHAnsi" w:cstheme="majorHAnsi"/>
          <w:noProof/>
          <w:sz w:val="20"/>
          <w:szCs w:val="20"/>
        </w:rPr>
        <w:t>у</w:t>
      </w:r>
      <w:r w:rsidR="002E576D" w:rsidRPr="005D087D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hAnsiTheme="majorHAnsi" w:cstheme="majorHAnsi"/>
          <w:noProof/>
          <w:sz w:val="20"/>
          <w:szCs w:val="20"/>
        </w:rPr>
        <w:t>писаном</w:t>
      </w:r>
      <w:r w:rsidR="002E576D" w:rsidRPr="005D087D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hAnsiTheme="majorHAnsi" w:cstheme="majorHAnsi"/>
          <w:noProof/>
          <w:sz w:val="20"/>
          <w:szCs w:val="20"/>
        </w:rPr>
        <w:t>или</w:t>
      </w:r>
      <w:r w:rsidR="002E576D" w:rsidRPr="005D087D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hAnsiTheme="majorHAnsi" w:cstheme="majorHAnsi"/>
          <w:noProof/>
          <w:sz w:val="20"/>
          <w:szCs w:val="20"/>
        </w:rPr>
        <w:t>електронском</w:t>
      </w:r>
      <w:r w:rsidR="002E576D" w:rsidRPr="005D087D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hAnsiTheme="majorHAnsi" w:cstheme="majorHAnsi"/>
          <w:noProof/>
          <w:sz w:val="20"/>
          <w:szCs w:val="20"/>
        </w:rPr>
        <w:t>облику</w:t>
      </w:r>
    </w:p>
    <w:p w:rsidR="002E576D" w:rsidRPr="005D087D" w:rsidRDefault="002E576D" w:rsidP="002E576D">
      <w:pPr>
        <w:spacing w:after="0" w:line="276" w:lineRule="auto"/>
        <w:ind w:left="720"/>
        <w:contextualSpacing/>
        <w:rPr>
          <w:rFonts w:asciiTheme="majorHAnsi" w:hAnsiTheme="majorHAnsi" w:cstheme="majorHAnsi"/>
          <w:noProof/>
          <w:sz w:val="20"/>
          <w:szCs w:val="20"/>
        </w:rPr>
      </w:pPr>
    </w:p>
    <w:p w:rsidR="002E576D" w:rsidRPr="005D087D" w:rsidRDefault="009A17B3" w:rsidP="002E576D">
      <w:pPr>
        <w:spacing w:after="0" w:line="276" w:lineRule="auto"/>
        <w:rPr>
          <w:rFonts w:asciiTheme="majorHAnsi" w:eastAsiaTheme="minorEastAsia" w:hAnsiTheme="majorHAnsi" w:cstheme="majorHAnsi"/>
          <w:noProof/>
          <w:sz w:val="20"/>
          <w:szCs w:val="20"/>
        </w:rPr>
      </w:pP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Овлашћени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представници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Секретаријата за општу управу и друштвене дјелатности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који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су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учествовали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у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јавној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расправи</w:t>
      </w:r>
      <w:r w:rsidR="002E576D" w:rsidRPr="005D087D">
        <w:rPr>
          <w:rFonts w:asciiTheme="majorHAnsi" w:eastAsiaTheme="minorEastAsia" w:hAnsiTheme="majorHAnsi" w:cstheme="majorHAnsi"/>
          <w:noProof/>
          <w:sz w:val="20"/>
          <w:szCs w:val="20"/>
        </w:rPr>
        <w:t>: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Милица Рачић,</w:t>
      </w:r>
      <w:r w:rsidR="006D03DD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Самостални Савјетник </w:t>
      </w:r>
      <w:r w:rsidR="005D087D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III</w:t>
      </w:r>
      <w:r w:rsidR="006D03DD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за мјесне заједнице</w:t>
      </w:r>
      <w:r w:rsidR="00164276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, </w:t>
      </w:r>
      <w:r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Младен Стијовић</w:t>
      </w:r>
      <w:r w:rsidR="006D03DD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</w:t>
      </w:r>
      <w:r w:rsidR="004A0427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в.д. </w:t>
      </w:r>
      <w:r w:rsidR="006D03DD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помоћник</w:t>
      </w:r>
      <w:r w:rsidR="00164276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а</w:t>
      </w:r>
      <w:r w:rsidR="006D03DD" w:rsidRPr="005D087D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 xml:space="preserve"> секретара</w:t>
      </w:r>
    </w:p>
    <w:p w:rsidR="002E576D" w:rsidRPr="00D94C4E" w:rsidRDefault="002E576D" w:rsidP="002E576D">
      <w:pPr>
        <w:spacing w:after="0" w:line="276" w:lineRule="auto"/>
        <w:rPr>
          <w:rFonts w:ascii="Arial" w:eastAsiaTheme="minorEastAsia" w:hAnsi="Arial" w:cs="Arial"/>
          <w:noProof/>
          <w:sz w:val="20"/>
          <w:szCs w:val="20"/>
        </w:rPr>
      </w:pPr>
    </w:p>
    <w:p w:rsidR="002E576D" w:rsidRPr="0079631A" w:rsidRDefault="00164276" w:rsidP="00E249ED">
      <w:pPr>
        <w:spacing w:line="0" w:lineRule="atLeast"/>
        <w:jc w:val="both"/>
        <w:rPr>
          <w:rFonts w:asciiTheme="majorHAnsi" w:eastAsiaTheme="minorEastAsia" w:hAnsiTheme="majorHAnsi" w:cstheme="majorHAnsi"/>
          <w:noProof/>
          <w:sz w:val="20"/>
          <w:szCs w:val="20"/>
        </w:rPr>
      </w:pP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Подаци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о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броју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и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структури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учесника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у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јавној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расправи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: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У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току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трајања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јавне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расправе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достављене су</w:t>
      </w:r>
      <w:r w:rsidR="00366DC8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примједбе</w:t>
      </w:r>
      <w:r w:rsidR="00855A19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сљедећих</w:t>
      </w:r>
      <w:r w:rsidR="00855A19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учесника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:</w:t>
      </w:r>
      <w:r w:rsidR="006D03D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="Times New Roman" w:hAnsiTheme="majorHAnsi" w:cstheme="majorHAnsi"/>
          <w:bCs/>
          <w:color w:val="231F20"/>
          <w:sz w:val="20"/>
          <w:szCs w:val="20"/>
        </w:rPr>
        <w:t>С</w:t>
      </w:r>
      <w:r w:rsidR="006D03DD" w:rsidRPr="0079631A">
        <w:rPr>
          <w:rFonts w:asciiTheme="majorHAnsi" w:eastAsia="Times New Roman" w:hAnsiTheme="majorHAnsi" w:cstheme="majorHAnsi"/>
          <w:bCs/>
          <w:color w:val="231F20"/>
          <w:sz w:val="20"/>
          <w:szCs w:val="20"/>
        </w:rPr>
        <w:t>лужба за унутрашњу ревизију</w:t>
      </w:r>
      <w:r w:rsidR="00830D6C" w:rsidRPr="0079631A">
        <w:rPr>
          <w:rFonts w:asciiTheme="majorHAnsi" w:eastAsia="Times New Roman" w:hAnsiTheme="majorHAnsi" w:cstheme="majorHAnsi"/>
          <w:bCs/>
          <w:color w:val="231F20"/>
          <w:sz w:val="20"/>
          <w:szCs w:val="20"/>
        </w:rPr>
        <w:t xml:space="preserve">, </w:t>
      </w:r>
      <w:r w:rsidR="006D03DD" w:rsidRPr="0079631A">
        <w:rPr>
          <w:rFonts w:asciiTheme="majorHAnsi" w:eastAsia="Times New Roman" w:hAnsiTheme="majorHAnsi" w:cstheme="majorHAnsi"/>
          <w:bCs/>
          <w:color w:val="231F20"/>
          <w:sz w:val="20"/>
          <w:szCs w:val="20"/>
        </w:rPr>
        <w:t xml:space="preserve">Секретаријат за </w:t>
      </w:r>
      <w:r w:rsidRPr="0079631A">
        <w:rPr>
          <w:rFonts w:asciiTheme="majorHAnsi" w:eastAsia="Times New Roman" w:hAnsiTheme="majorHAnsi" w:cstheme="majorHAnsi"/>
          <w:bCs/>
          <w:color w:val="231F20"/>
          <w:sz w:val="20"/>
          <w:szCs w:val="20"/>
        </w:rPr>
        <w:t>финансије и економски развој и</w:t>
      </w:r>
      <w:r w:rsidR="006D03DD" w:rsidRPr="0079631A">
        <w:rPr>
          <w:rFonts w:asciiTheme="majorHAnsi" w:eastAsia="Times New Roman" w:hAnsiTheme="majorHAnsi" w:cstheme="majorHAnsi"/>
          <w:bCs/>
          <w:color w:val="231F20"/>
          <w:sz w:val="20"/>
          <w:szCs w:val="20"/>
        </w:rPr>
        <w:t xml:space="preserve"> Служба за заједничке послове,</w:t>
      </w:r>
      <w:r w:rsidRPr="0079631A">
        <w:rPr>
          <w:rFonts w:asciiTheme="majorHAnsi" w:eastAsia="Times New Roman" w:hAnsiTheme="majorHAnsi" w:cstheme="majorHAnsi"/>
          <w:bCs/>
          <w:color w:val="231F20"/>
          <w:sz w:val="20"/>
          <w:szCs w:val="20"/>
        </w:rPr>
        <w:t>.</w:t>
      </w:r>
    </w:p>
    <w:p w:rsidR="002E576D" w:rsidRPr="0079631A" w:rsidRDefault="002E576D" w:rsidP="002E576D">
      <w:pPr>
        <w:spacing w:after="0" w:line="276" w:lineRule="auto"/>
        <w:jc w:val="both"/>
        <w:rPr>
          <w:rFonts w:asciiTheme="majorHAnsi" w:eastAsiaTheme="minorEastAsia" w:hAnsiTheme="majorHAnsi" w:cstheme="majorHAnsi"/>
          <w:noProof/>
          <w:sz w:val="20"/>
          <w:szCs w:val="20"/>
        </w:rPr>
      </w:pPr>
    </w:p>
    <w:p w:rsidR="002E576D" w:rsidRPr="0079631A" w:rsidRDefault="00164276" w:rsidP="00C4056E">
      <w:pPr>
        <w:spacing w:after="0" w:line="276" w:lineRule="auto"/>
        <w:jc w:val="both"/>
        <w:rPr>
          <w:rFonts w:asciiTheme="majorHAnsi" w:eastAsiaTheme="minorEastAsia" w:hAnsiTheme="majorHAnsi" w:cstheme="majorHAnsi"/>
          <w:noProof/>
          <w:sz w:val="20"/>
          <w:szCs w:val="20"/>
        </w:rPr>
      </w:pP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Резиме</w:t>
      </w:r>
      <w:r w:rsidR="00DD174C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достављаних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примједби</w:t>
      </w:r>
      <w:r w:rsidR="002E576D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,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предлога</w:t>
      </w:r>
      <w:r w:rsidR="00DD174C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и</w:t>
      </w:r>
      <w:r w:rsidR="00DD174C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сугестија</w:t>
      </w:r>
      <w:r w:rsidR="002E7E16" w:rsidRPr="0079631A">
        <w:rPr>
          <w:rFonts w:asciiTheme="majorHAnsi" w:eastAsiaTheme="minorEastAsia" w:hAnsiTheme="majorHAnsi" w:cstheme="majorHAnsi"/>
          <w:noProof/>
          <w:sz w:val="20"/>
          <w:szCs w:val="20"/>
        </w:rPr>
        <w:t>:</w:t>
      </w:r>
    </w:p>
    <w:p w:rsidR="00341CF3" w:rsidRPr="0079631A" w:rsidRDefault="00341CF3" w:rsidP="00DD174C">
      <w:pPr>
        <w:spacing w:after="0" w:line="276" w:lineRule="auto"/>
        <w:rPr>
          <w:rFonts w:asciiTheme="majorHAnsi" w:eastAsiaTheme="minorEastAsia" w:hAnsiTheme="majorHAnsi" w:cstheme="majorHAnsi"/>
          <w:b/>
          <w:noProof/>
        </w:rPr>
      </w:pPr>
    </w:p>
    <w:p w:rsidR="00DB5FEA" w:rsidRPr="0079631A" w:rsidRDefault="00164276" w:rsidP="00DD174C">
      <w:pPr>
        <w:spacing w:after="0" w:line="276" w:lineRule="auto"/>
        <w:rPr>
          <w:rFonts w:asciiTheme="majorHAnsi" w:eastAsiaTheme="minorEastAsia" w:hAnsiTheme="majorHAnsi" w:cstheme="majorHAnsi"/>
          <w:b/>
          <w:noProof/>
          <w:sz w:val="20"/>
          <w:szCs w:val="20"/>
        </w:rPr>
      </w:pPr>
      <w:r w:rsidRPr="0079631A">
        <w:rPr>
          <w:rFonts w:asciiTheme="majorHAnsi" w:eastAsiaTheme="minorEastAsia" w:hAnsiTheme="majorHAnsi" w:cstheme="majorHAnsi"/>
          <w:b/>
          <w:noProof/>
          <w:sz w:val="20"/>
          <w:szCs w:val="20"/>
        </w:rPr>
        <w:t>ПРИМЈЕДБЕ</w:t>
      </w:r>
      <w:r w:rsidR="00C851EA" w:rsidRPr="0079631A">
        <w:rPr>
          <w:rFonts w:asciiTheme="majorHAnsi" w:eastAsiaTheme="minorEastAsia" w:hAnsiTheme="majorHAnsi" w:cstheme="majorHAnsi"/>
          <w:b/>
          <w:noProof/>
          <w:sz w:val="20"/>
          <w:szCs w:val="20"/>
        </w:rPr>
        <w:t xml:space="preserve">, </w:t>
      </w:r>
      <w:r w:rsidRPr="0079631A">
        <w:rPr>
          <w:rFonts w:asciiTheme="majorHAnsi" w:eastAsiaTheme="minorEastAsia" w:hAnsiTheme="majorHAnsi" w:cstheme="majorHAnsi"/>
          <w:b/>
          <w:noProof/>
          <w:sz w:val="20"/>
          <w:szCs w:val="20"/>
        </w:rPr>
        <w:t>ПРЕДЛОЗИ</w:t>
      </w:r>
      <w:r w:rsidR="00C851EA" w:rsidRPr="0079631A">
        <w:rPr>
          <w:rFonts w:asciiTheme="majorHAnsi" w:eastAsiaTheme="minorEastAsia" w:hAnsiTheme="majorHAnsi" w:cstheme="majorHAnsi"/>
          <w:b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b/>
          <w:noProof/>
          <w:sz w:val="20"/>
          <w:szCs w:val="20"/>
        </w:rPr>
        <w:t>И</w:t>
      </w:r>
      <w:r w:rsidR="00C851EA" w:rsidRPr="0079631A">
        <w:rPr>
          <w:rFonts w:asciiTheme="majorHAnsi" w:eastAsiaTheme="minorEastAsia" w:hAnsiTheme="majorHAnsi" w:cstheme="majorHAnsi"/>
          <w:b/>
          <w:noProof/>
          <w:sz w:val="20"/>
          <w:szCs w:val="20"/>
        </w:rPr>
        <w:t xml:space="preserve"> </w:t>
      </w:r>
      <w:r w:rsidRPr="0079631A">
        <w:rPr>
          <w:rFonts w:asciiTheme="majorHAnsi" w:eastAsiaTheme="minorEastAsia" w:hAnsiTheme="majorHAnsi" w:cstheme="majorHAnsi"/>
          <w:b/>
          <w:noProof/>
          <w:sz w:val="20"/>
          <w:szCs w:val="20"/>
        </w:rPr>
        <w:t>СУГЕСТИЈЕ</w:t>
      </w:r>
    </w:p>
    <w:p w:rsidR="00792AEB" w:rsidRPr="0079631A" w:rsidRDefault="00792AEB" w:rsidP="00D2088B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</w:pPr>
    </w:p>
    <w:p w:rsidR="004A0427" w:rsidRPr="0079631A" w:rsidRDefault="004A0427" w:rsidP="002E3FEF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</w:pPr>
      <w:r w:rsidRPr="0079631A"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  <w:t>Служба за унутрашњу ревизију Општине Беране</w:t>
      </w:r>
    </w:p>
    <w:p w:rsidR="002E3FEF" w:rsidRPr="0079631A" w:rsidRDefault="002E3FEF" w:rsidP="002E3FEF">
      <w:pPr>
        <w:pStyle w:val="ListParagraph"/>
        <w:spacing w:after="0" w:line="276" w:lineRule="auto"/>
        <w:ind w:left="1170"/>
        <w:jc w:val="both"/>
        <w:rPr>
          <w:rFonts w:asciiTheme="majorHAnsi" w:eastAsia="Times New Roman" w:hAnsiTheme="majorHAnsi" w:cstheme="majorHAnsi"/>
          <w:noProof/>
          <w:color w:val="231F20"/>
          <w:sz w:val="20"/>
          <w:szCs w:val="20"/>
        </w:rPr>
      </w:pPr>
      <w:r w:rsidRPr="0079631A">
        <w:rPr>
          <w:rFonts w:asciiTheme="majorHAnsi" w:eastAsia="Times New Roman" w:hAnsiTheme="majorHAnsi" w:cstheme="majorHAnsi"/>
          <w:noProof/>
          <w:color w:val="231F20"/>
          <w:sz w:val="20"/>
          <w:szCs w:val="20"/>
        </w:rPr>
        <w:t>бр.15-401/21-15 од 01.03.2021. године</w:t>
      </w:r>
    </w:p>
    <w:p w:rsidR="004A0427" w:rsidRPr="0079631A" w:rsidRDefault="004A0427" w:rsidP="00D94C4E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</w:pPr>
    </w:p>
    <w:p w:rsidR="00111084" w:rsidRPr="0079631A" w:rsidRDefault="008C388E" w:rsidP="002E3FEF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</w:pPr>
      <w:r w:rsidRPr="0079631A"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  <w:t>Предлог</w:t>
      </w:r>
      <w:r w:rsidR="002E3FEF" w:rsidRPr="0079631A"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  <w:t>:</w:t>
      </w:r>
    </w:p>
    <w:p w:rsidR="00D2088B" w:rsidRPr="0079631A" w:rsidRDefault="004B38E6" w:rsidP="0031671B">
      <w:pPr>
        <w:pStyle w:val="NoSpacing"/>
        <w:jc w:val="both"/>
        <w:rPr>
          <w:rFonts w:asciiTheme="majorHAnsi" w:hAnsiTheme="majorHAnsi" w:cstheme="majorHAnsi"/>
          <w:i/>
          <w:noProof/>
          <w:sz w:val="20"/>
          <w:szCs w:val="20"/>
        </w:rPr>
      </w:pPr>
      <w:r w:rsidRPr="0079631A">
        <w:rPr>
          <w:rFonts w:asciiTheme="majorHAnsi" w:hAnsiTheme="majorHAnsi" w:cstheme="majorHAnsi"/>
          <w:i/>
          <w:noProof/>
          <w:sz w:val="20"/>
          <w:szCs w:val="20"/>
        </w:rPr>
        <w:t>Чланом 73 став 6</w:t>
      </w:r>
      <w:r w:rsidR="002E3FEF" w:rsidRPr="0079631A">
        <w:rPr>
          <w:rFonts w:asciiTheme="majorHAnsi" w:hAnsiTheme="majorHAnsi" w:cstheme="majorHAnsi"/>
          <w:i/>
          <w:noProof/>
          <w:sz w:val="20"/>
          <w:szCs w:val="20"/>
        </w:rPr>
        <w:t xml:space="preserve"> Нацрт</w:t>
      </w:r>
      <w:r w:rsidR="000B7390" w:rsidRPr="0079631A">
        <w:rPr>
          <w:rFonts w:asciiTheme="majorHAnsi" w:hAnsiTheme="majorHAnsi" w:cstheme="majorHAnsi"/>
          <w:i/>
          <w:noProof/>
          <w:sz w:val="20"/>
          <w:szCs w:val="20"/>
        </w:rPr>
        <w:t>а одлуке о мјесним заједницама</w:t>
      </w:r>
      <w:r w:rsidR="005D087D" w:rsidRPr="0079631A">
        <w:rPr>
          <w:rFonts w:asciiTheme="majorHAnsi" w:hAnsiTheme="majorHAnsi" w:cstheme="majorHAnsi"/>
          <w:i/>
          <w:noProof/>
          <w:sz w:val="20"/>
          <w:szCs w:val="20"/>
        </w:rPr>
        <w:t>,</w:t>
      </w:r>
      <w:r w:rsidR="000B7390" w:rsidRPr="0079631A">
        <w:rPr>
          <w:rFonts w:asciiTheme="majorHAnsi" w:hAnsiTheme="majorHAnsi" w:cstheme="majorHAnsi"/>
          <w:i/>
          <w:noProof/>
          <w:sz w:val="20"/>
          <w:szCs w:val="20"/>
        </w:rPr>
        <w:t xml:space="preserve"> прописано је да</w:t>
      </w:r>
      <w:r w:rsidR="00C66791" w:rsidRPr="0079631A">
        <w:rPr>
          <w:rFonts w:asciiTheme="majorHAnsi" w:hAnsiTheme="majorHAnsi" w:cstheme="majorHAnsi"/>
          <w:i/>
          <w:noProof/>
          <w:sz w:val="20"/>
          <w:szCs w:val="20"/>
        </w:rPr>
        <w:t xml:space="preserve"> </w:t>
      </w:r>
      <w:r w:rsidR="002E3FEF" w:rsidRPr="0079631A">
        <w:rPr>
          <w:rFonts w:asciiTheme="majorHAnsi" w:hAnsiTheme="majorHAnsi" w:cstheme="majorHAnsi"/>
          <w:i/>
          <w:noProof/>
          <w:sz w:val="20"/>
          <w:szCs w:val="20"/>
        </w:rPr>
        <w:t xml:space="preserve">„ о </w:t>
      </w:r>
      <w:r w:rsidR="00C66791" w:rsidRPr="0079631A">
        <w:rPr>
          <w:rFonts w:asciiTheme="majorHAnsi" w:hAnsiTheme="majorHAnsi" w:cstheme="majorHAnsi"/>
          <w:i/>
          <w:noProof/>
          <w:sz w:val="20"/>
          <w:szCs w:val="20"/>
        </w:rPr>
        <w:t>намјенско</w:t>
      </w:r>
      <w:r w:rsidRPr="0079631A">
        <w:rPr>
          <w:rFonts w:asciiTheme="majorHAnsi" w:hAnsiTheme="majorHAnsi" w:cstheme="majorHAnsi"/>
          <w:i/>
          <w:noProof/>
          <w:sz w:val="20"/>
          <w:szCs w:val="20"/>
        </w:rPr>
        <w:t>ј упортеби сред</w:t>
      </w:r>
      <w:r w:rsidR="00C66791" w:rsidRPr="0079631A">
        <w:rPr>
          <w:rFonts w:asciiTheme="majorHAnsi" w:hAnsiTheme="majorHAnsi" w:cstheme="majorHAnsi"/>
          <w:i/>
          <w:noProof/>
          <w:sz w:val="20"/>
          <w:szCs w:val="20"/>
        </w:rPr>
        <w:t>става надлежни органи за пос</w:t>
      </w:r>
      <w:r w:rsidR="0079631A">
        <w:rPr>
          <w:rFonts w:asciiTheme="majorHAnsi" w:hAnsiTheme="majorHAnsi" w:cstheme="majorHAnsi"/>
          <w:i/>
          <w:noProof/>
          <w:sz w:val="20"/>
          <w:szCs w:val="20"/>
        </w:rPr>
        <w:t>o</w:t>
      </w:r>
      <w:r w:rsidR="00C66791" w:rsidRPr="0079631A">
        <w:rPr>
          <w:rFonts w:asciiTheme="majorHAnsi" w:hAnsiTheme="majorHAnsi" w:cstheme="majorHAnsi"/>
          <w:i/>
          <w:noProof/>
          <w:sz w:val="20"/>
          <w:szCs w:val="20"/>
        </w:rPr>
        <w:t>лве финансија и унутрашње ре</w:t>
      </w:r>
      <w:r w:rsidR="0079631A">
        <w:rPr>
          <w:rFonts w:asciiTheme="majorHAnsi" w:hAnsiTheme="majorHAnsi" w:cstheme="majorHAnsi"/>
          <w:i/>
          <w:noProof/>
          <w:sz w:val="20"/>
          <w:szCs w:val="20"/>
        </w:rPr>
        <w:t>v</w:t>
      </w:r>
      <w:r w:rsidR="00C66791" w:rsidRPr="0079631A">
        <w:rPr>
          <w:rFonts w:asciiTheme="majorHAnsi" w:hAnsiTheme="majorHAnsi" w:cstheme="majorHAnsi"/>
          <w:i/>
          <w:noProof/>
          <w:sz w:val="20"/>
          <w:szCs w:val="20"/>
        </w:rPr>
        <w:t xml:space="preserve">изије најмање једанпут годишње </w:t>
      </w:r>
      <w:r w:rsidR="002E3FEF" w:rsidRPr="0079631A">
        <w:rPr>
          <w:rFonts w:asciiTheme="majorHAnsi" w:hAnsiTheme="majorHAnsi" w:cstheme="majorHAnsi"/>
          <w:i/>
          <w:noProof/>
          <w:sz w:val="20"/>
          <w:szCs w:val="20"/>
        </w:rPr>
        <w:t>и</w:t>
      </w:r>
      <w:r w:rsidR="00C66791" w:rsidRPr="0079631A">
        <w:rPr>
          <w:rFonts w:asciiTheme="majorHAnsi" w:hAnsiTheme="majorHAnsi" w:cstheme="majorHAnsi"/>
          <w:i/>
          <w:noProof/>
          <w:sz w:val="20"/>
          <w:szCs w:val="20"/>
        </w:rPr>
        <w:t>нформишу Савјет и збор грађана, односно Скупштину Општине</w:t>
      </w:r>
      <w:r w:rsidR="002E3FEF" w:rsidRPr="0079631A">
        <w:rPr>
          <w:rFonts w:asciiTheme="majorHAnsi" w:hAnsiTheme="majorHAnsi" w:cstheme="majorHAnsi"/>
          <w:i/>
          <w:noProof/>
          <w:sz w:val="20"/>
          <w:szCs w:val="20"/>
        </w:rPr>
        <w:t>“</w:t>
      </w:r>
    </w:p>
    <w:p w:rsidR="004B38E6" w:rsidRPr="0079631A" w:rsidRDefault="004B38E6" w:rsidP="0031671B">
      <w:pPr>
        <w:pStyle w:val="NoSpacing"/>
        <w:jc w:val="both"/>
        <w:rPr>
          <w:rFonts w:asciiTheme="majorHAnsi" w:hAnsiTheme="majorHAnsi" w:cstheme="majorHAnsi"/>
          <w:noProof/>
          <w:sz w:val="20"/>
          <w:szCs w:val="20"/>
        </w:rPr>
      </w:pPr>
    </w:p>
    <w:p w:rsidR="00D2088B" w:rsidRPr="0079631A" w:rsidRDefault="002E3FEF" w:rsidP="0031671B">
      <w:pPr>
        <w:pStyle w:val="NoSpacing"/>
        <w:jc w:val="both"/>
        <w:rPr>
          <w:rFonts w:asciiTheme="majorHAnsi" w:hAnsiTheme="majorHAnsi" w:cstheme="majorHAnsi"/>
          <w:b/>
          <w:noProof/>
          <w:sz w:val="20"/>
          <w:szCs w:val="20"/>
        </w:rPr>
      </w:pPr>
      <w:r w:rsidRPr="0079631A">
        <w:rPr>
          <w:rFonts w:asciiTheme="majorHAnsi" w:hAnsiTheme="majorHAnsi" w:cstheme="majorHAnsi"/>
          <w:b/>
          <w:noProof/>
          <w:sz w:val="20"/>
          <w:szCs w:val="20"/>
        </w:rPr>
        <w:t>Образложење</w:t>
      </w:r>
      <w:r w:rsidR="00D2088B" w:rsidRPr="0079631A">
        <w:rPr>
          <w:rFonts w:asciiTheme="majorHAnsi" w:hAnsiTheme="majorHAnsi" w:cstheme="majorHAnsi"/>
          <w:b/>
          <w:noProof/>
          <w:sz w:val="20"/>
          <w:szCs w:val="20"/>
        </w:rPr>
        <w:t xml:space="preserve"> </w:t>
      </w:r>
      <w:r w:rsidRPr="0079631A">
        <w:rPr>
          <w:rFonts w:asciiTheme="majorHAnsi" w:hAnsiTheme="majorHAnsi" w:cstheme="majorHAnsi"/>
          <w:b/>
          <w:noProof/>
          <w:sz w:val="20"/>
          <w:szCs w:val="20"/>
        </w:rPr>
        <w:t>примједбе</w:t>
      </w:r>
      <w:r w:rsidR="00682A3D" w:rsidRPr="0079631A">
        <w:rPr>
          <w:rFonts w:asciiTheme="majorHAnsi" w:hAnsiTheme="majorHAnsi" w:cstheme="majorHAnsi"/>
          <w:b/>
          <w:noProof/>
          <w:sz w:val="20"/>
          <w:szCs w:val="20"/>
        </w:rPr>
        <w:t>/</w:t>
      </w:r>
      <w:r w:rsidRPr="0079631A">
        <w:rPr>
          <w:rFonts w:asciiTheme="majorHAnsi" w:hAnsiTheme="majorHAnsi" w:cstheme="majorHAnsi"/>
          <w:b/>
          <w:noProof/>
          <w:sz w:val="20"/>
          <w:szCs w:val="20"/>
        </w:rPr>
        <w:t>предлога</w:t>
      </w:r>
      <w:r w:rsidR="00682A3D" w:rsidRPr="0079631A">
        <w:rPr>
          <w:rFonts w:asciiTheme="majorHAnsi" w:hAnsiTheme="majorHAnsi" w:cstheme="majorHAnsi"/>
          <w:b/>
          <w:noProof/>
          <w:sz w:val="20"/>
          <w:szCs w:val="20"/>
        </w:rPr>
        <w:t>/</w:t>
      </w:r>
      <w:r w:rsidRPr="0079631A">
        <w:rPr>
          <w:rFonts w:asciiTheme="majorHAnsi" w:hAnsiTheme="majorHAnsi" w:cstheme="majorHAnsi"/>
          <w:b/>
          <w:noProof/>
          <w:sz w:val="20"/>
          <w:szCs w:val="20"/>
        </w:rPr>
        <w:t>сугестије</w:t>
      </w:r>
      <w:r w:rsidR="00682A3D" w:rsidRPr="0079631A">
        <w:rPr>
          <w:rFonts w:asciiTheme="majorHAnsi" w:hAnsiTheme="majorHAnsi" w:cstheme="majorHAnsi"/>
          <w:b/>
          <w:noProof/>
          <w:sz w:val="20"/>
          <w:szCs w:val="20"/>
        </w:rPr>
        <w:t>:</w:t>
      </w:r>
    </w:p>
    <w:p w:rsidR="00C66791" w:rsidRPr="0079631A" w:rsidRDefault="00C66791" w:rsidP="0031671B">
      <w:pPr>
        <w:pStyle w:val="NoSpacing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79631A">
        <w:rPr>
          <w:rFonts w:asciiTheme="majorHAnsi" w:hAnsiTheme="majorHAnsi" w:cstheme="majorHAnsi"/>
          <w:noProof/>
          <w:sz w:val="20"/>
          <w:szCs w:val="20"/>
        </w:rPr>
        <w:t>Сходно одредбама Закона о управљању и унутрашњим контролама у јавном сектору посло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>в</w:t>
      </w:r>
      <w:r w:rsidRPr="0079631A">
        <w:rPr>
          <w:rFonts w:asciiTheme="majorHAnsi" w:hAnsiTheme="majorHAnsi" w:cstheme="majorHAnsi"/>
          <w:noProof/>
          <w:sz w:val="20"/>
          <w:szCs w:val="20"/>
        </w:rPr>
        <w:t>и унутрашње ре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>в</w:t>
      </w:r>
      <w:r w:rsidRPr="0079631A">
        <w:rPr>
          <w:rFonts w:asciiTheme="majorHAnsi" w:hAnsiTheme="majorHAnsi" w:cstheme="majorHAnsi"/>
          <w:noProof/>
          <w:sz w:val="20"/>
          <w:szCs w:val="20"/>
        </w:rPr>
        <w:t>изије обухватају давање неза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>в</w:t>
      </w:r>
      <w:r w:rsidRPr="0079631A">
        <w:rPr>
          <w:rFonts w:asciiTheme="majorHAnsi" w:hAnsiTheme="majorHAnsi" w:cstheme="majorHAnsi"/>
          <w:noProof/>
          <w:sz w:val="20"/>
          <w:szCs w:val="20"/>
        </w:rPr>
        <w:t>исног, објективног увјерава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>њ</w:t>
      </w:r>
      <w:r w:rsidRPr="0079631A">
        <w:rPr>
          <w:rFonts w:asciiTheme="majorHAnsi" w:hAnsiTheme="majorHAnsi" w:cstheme="majorHAnsi"/>
          <w:noProof/>
          <w:sz w:val="20"/>
          <w:szCs w:val="20"/>
        </w:rPr>
        <w:t>а и пр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>ужања савј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>етодавних услуга у циљу доприноса унапређења послова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>ња субјекта. Чланом 30 став 4. п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>оменутог закона приописано је да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 xml:space="preserve"> руководилац С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>лужбе за ун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>утрашњу ревизију и унутрашњи ре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 xml:space="preserve">визор 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>м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 xml:space="preserve">огу обављати само послове 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>утрашње ревизије. Послови унут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>рашње ревизије се обављају на основу годишњег плана одобрено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>г од стране  Предсједника општи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 xml:space="preserve">не. У том смислу, подносилац примједбе сматра да Служба унутрашње 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>ревизије не може извјештавати о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 xml:space="preserve"> пословима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>који су Одлуком о организациј</w:t>
      </w:r>
      <w:r w:rsidR="002E3FEF" w:rsidRPr="0079631A">
        <w:rPr>
          <w:rFonts w:asciiTheme="majorHAnsi" w:hAnsiTheme="majorHAnsi" w:cstheme="majorHAnsi"/>
          <w:noProof/>
          <w:sz w:val="20"/>
          <w:szCs w:val="20"/>
        </w:rPr>
        <w:t xml:space="preserve">и и начину рада локалне управе 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>повјерени органу  локалне управе</w:t>
      </w:r>
      <w:r w:rsidR="0079631A" w:rsidRPr="0079631A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0B7390" w:rsidRPr="0079631A">
        <w:rPr>
          <w:rFonts w:asciiTheme="majorHAnsi" w:hAnsiTheme="majorHAnsi" w:cstheme="majorHAnsi"/>
          <w:noProof/>
          <w:sz w:val="20"/>
          <w:szCs w:val="20"/>
        </w:rPr>
        <w:t>надлежћном за послове мјесних заједница</w:t>
      </w:r>
      <w:r w:rsidR="004C63DF" w:rsidRPr="0079631A">
        <w:rPr>
          <w:rFonts w:asciiTheme="majorHAnsi" w:hAnsiTheme="majorHAnsi" w:cstheme="majorHAnsi"/>
          <w:noProof/>
          <w:sz w:val="20"/>
          <w:szCs w:val="20"/>
        </w:rPr>
        <w:t>.</w:t>
      </w:r>
    </w:p>
    <w:p w:rsidR="00C66791" w:rsidRPr="00D94C4E" w:rsidRDefault="00C66791" w:rsidP="0031671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:rsidR="004C63DF" w:rsidRPr="0079631A" w:rsidRDefault="000B7390" w:rsidP="004C63DF">
      <w:pPr>
        <w:pStyle w:val="NoSpacing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79631A">
        <w:rPr>
          <w:rFonts w:asciiTheme="majorHAnsi" w:hAnsiTheme="majorHAnsi" w:cstheme="majorHAnsi"/>
          <w:noProof/>
          <w:sz w:val="20"/>
          <w:szCs w:val="20"/>
        </w:rPr>
        <w:lastRenderedPageBreak/>
        <w:t>Примјед</w:t>
      </w:r>
      <w:r w:rsidR="008034AF" w:rsidRPr="0079631A">
        <w:rPr>
          <w:rFonts w:asciiTheme="majorHAnsi" w:hAnsiTheme="majorHAnsi" w:cstheme="majorHAnsi"/>
          <w:noProof/>
          <w:sz w:val="20"/>
          <w:szCs w:val="20"/>
        </w:rPr>
        <w:t xml:space="preserve">бе </w:t>
      </w:r>
      <w:r w:rsidR="004C63DF" w:rsidRPr="0079631A">
        <w:rPr>
          <w:rFonts w:asciiTheme="majorHAnsi" w:hAnsiTheme="majorHAnsi" w:cstheme="majorHAnsi"/>
          <w:noProof/>
          <w:sz w:val="20"/>
          <w:szCs w:val="20"/>
        </w:rPr>
        <w:t>поднесене у односу члан 73 став 6 Нацр</w:t>
      </w:r>
      <w:r w:rsidR="0079631A" w:rsidRPr="0079631A">
        <w:rPr>
          <w:rFonts w:asciiTheme="majorHAnsi" w:hAnsiTheme="majorHAnsi" w:cstheme="majorHAnsi"/>
          <w:noProof/>
          <w:sz w:val="20"/>
          <w:szCs w:val="20"/>
        </w:rPr>
        <w:t>та одлуке о мјесним заједницама, којим је прописано да „</w:t>
      </w:r>
      <w:r w:rsidR="004C63DF" w:rsidRPr="0079631A">
        <w:rPr>
          <w:rFonts w:asciiTheme="majorHAnsi" w:hAnsiTheme="majorHAnsi" w:cstheme="majorHAnsi"/>
          <w:noProof/>
          <w:sz w:val="20"/>
          <w:szCs w:val="20"/>
        </w:rPr>
        <w:t>о намјенској упортеби средстава надлежни органи за посл</w:t>
      </w:r>
      <w:r w:rsidR="0079631A" w:rsidRPr="0079631A">
        <w:rPr>
          <w:rFonts w:asciiTheme="majorHAnsi" w:hAnsiTheme="majorHAnsi" w:cstheme="majorHAnsi"/>
          <w:noProof/>
          <w:sz w:val="20"/>
          <w:szCs w:val="20"/>
        </w:rPr>
        <w:t>о</w:t>
      </w:r>
      <w:r w:rsidR="004C63DF" w:rsidRPr="0079631A">
        <w:rPr>
          <w:rFonts w:asciiTheme="majorHAnsi" w:hAnsiTheme="majorHAnsi" w:cstheme="majorHAnsi"/>
          <w:noProof/>
          <w:sz w:val="20"/>
          <w:szCs w:val="20"/>
        </w:rPr>
        <w:t>ве финансија и унутрашње ре</w:t>
      </w:r>
      <w:r w:rsidR="0079631A" w:rsidRPr="0079631A">
        <w:rPr>
          <w:rFonts w:asciiTheme="majorHAnsi" w:hAnsiTheme="majorHAnsi" w:cstheme="majorHAnsi"/>
          <w:noProof/>
          <w:sz w:val="20"/>
          <w:szCs w:val="20"/>
        </w:rPr>
        <w:t>в</w:t>
      </w:r>
      <w:r w:rsidR="004C63DF" w:rsidRPr="0079631A">
        <w:rPr>
          <w:rFonts w:asciiTheme="majorHAnsi" w:hAnsiTheme="majorHAnsi" w:cstheme="majorHAnsi"/>
          <w:noProof/>
          <w:sz w:val="20"/>
          <w:szCs w:val="20"/>
        </w:rPr>
        <w:t>изије најмање једанпут годишње информишу Савјет и збор грађана, односно Скупштину Општине“, прихватају се као оправдане.</w:t>
      </w:r>
    </w:p>
    <w:p w:rsidR="00F160F2" w:rsidRPr="00D94C4E" w:rsidRDefault="00F160F2" w:rsidP="0031671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:rsidR="004C63DF" w:rsidRPr="00D94C4E" w:rsidRDefault="004C63DF" w:rsidP="0031671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:rsidR="004C63DF" w:rsidRPr="007327DE" w:rsidRDefault="004C63DF" w:rsidP="004C63DF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</w:pPr>
      <w:r w:rsidRPr="007327DE"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  <w:t>Секретаријат за финансије и економски развој</w:t>
      </w:r>
    </w:p>
    <w:p w:rsidR="004C63DF" w:rsidRPr="007327DE" w:rsidRDefault="004C63DF" w:rsidP="004C63DF">
      <w:pPr>
        <w:pStyle w:val="ListParagraph"/>
        <w:spacing w:after="0" w:line="276" w:lineRule="auto"/>
        <w:ind w:left="1170"/>
        <w:jc w:val="both"/>
        <w:rPr>
          <w:rFonts w:asciiTheme="majorHAnsi" w:eastAsia="Times New Roman" w:hAnsiTheme="majorHAnsi" w:cstheme="majorHAnsi"/>
          <w:noProof/>
          <w:color w:val="231F20"/>
          <w:sz w:val="20"/>
          <w:szCs w:val="20"/>
        </w:rPr>
      </w:pPr>
      <w:r w:rsidRPr="007327DE">
        <w:rPr>
          <w:rFonts w:asciiTheme="majorHAnsi" w:eastAsia="Times New Roman" w:hAnsiTheme="majorHAnsi" w:cstheme="majorHAnsi"/>
          <w:noProof/>
          <w:color w:val="231F20"/>
          <w:sz w:val="20"/>
          <w:szCs w:val="20"/>
        </w:rPr>
        <w:t>бр.06-400/21-167 од 01.03.2021. године</w:t>
      </w:r>
    </w:p>
    <w:p w:rsidR="004C63DF" w:rsidRPr="007327DE" w:rsidRDefault="004C63DF" w:rsidP="0031671B">
      <w:pPr>
        <w:pStyle w:val="NoSpacing"/>
        <w:jc w:val="both"/>
        <w:rPr>
          <w:rFonts w:asciiTheme="majorHAnsi" w:hAnsiTheme="majorHAnsi" w:cstheme="majorHAnsi"/>
          <w:noProof/>
        </w:rPr>
      </w:pPr>
    </w:p>
    <w:p w:rsidR="00F160F2" w:rsidRPr="007327DE" w:rsidRDefault="008C388E" w:rsidP="001861AB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</w:pPr>
      <w:r w:rsidRPr="007327DE"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  <w:t>Предлог</w:t>
      </w:r>
      <w:r w:rsidR="004C63DF" w:rsidRPr="007327DE"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  <w:t>:</w:t>
      </w:r>
    </w:p>
    <w:p w:rsidR="001861AB" w:rsidRPr="007327DE" w:rsidRDefault="001861AB" w:rsidP="001861AB">
      <w:pPr>
        <w:pStyle w:val="NoSpacing"/>
        <w:jc w:val="both"/>
        <w:rPr>
          <w:rFonts w:asciiTheme="majorHAnsi" w:hAnsiTheme="majorHAnsi" w:cstheme="majorHAnsi"/>
          <w:i/>
          <w:noProof/>
          <w:sz w:val="20"/>
          <w:szCs w:val="20"/>
        </w:rPr>
      </w:pPr>
      <w:r w:rsidRPr="007327DE">
        <w:rPr>
          <w:rFonts w:asciiTheme="majorHAnsi" w:hAnsiTheme="majorHAnsi" w:cstheme="majorHAnsi"/>
          <w:i/>
          <w:noProof/>
          <w:sz w:val="20"/>
          <w:szCs w:val="20"/>
        </w:rPr>
        <w:t>У Нацрту</w:t>
      </w:r>
      <w:r w:rsidR="00F160F2" w:rsidRPr="007327DE">
        <w:rPr>
          <w:rFonts w:asciiTheme="majorHAnsi" w:hAnsiTheme="majorHAnsi" w:cstheme="majorHAnsi"/>
          <w:i/>
          <w:noProof/>
          <w:sz w:val="20"/>
          <w:szCs w:val="20"/>
        </w:rPr>
        <w:t xml:space="preserve"> одлуке о мјесним заједницама</w:t>
      </w:r>
      <w:r w:rsidRPr="007327DE">
        <w:rPr>
          <w:rFonts w:asciiTheme="majorHAnsi" w:hAnsiTheme="majorHAnsi" w:cstheme="majorHAnsi"/>
          <w:i/>
          <w:noProof/>
          <w:sz w:val="20"/>
          <w:szCs w:val="20"/>
        </w:rPr>
        <w:t>, у члану 73 став 3</w:t>
      </w:r>
      <w:r w:rsidR="00F160F2" w:rsidRPr="007327DE">
        <w:rPr>
          <w:rFonts w:asciiTheme="majorHAnsi" w:hAnsiTheme="majorHAnsi" w:cstheme="majorHAnsi"/>
          <w:i/>
          <w:noProof/>
          <w:sz w:val="20"/>
          <w:szCs w:val="20"/>
        </w:rPr>
        <w:t xml:space="preserve"> прописано је да </w:t>
      </w:r>
      <w:r w:rsidRPr="007327DE">
        <w:rPr>
          <w:rFonts w:asciiTheme="majorHAnsi" w:hAnsiTheme="majorHAnsi" w:cstheme="majorHAnsi"/>
          <w:i/>
          <w:noProof/>
          <w:sz w:val="20"/>
          <w:szCs w:val="20"/>
        </w:rPr>
        <w:t>„контролу намјенског коришћења средстава која се уступају из буџета Општине врши орган локалне управе надлежан за послове финансија, а у ставу 6 истог члана да „о намјенској употреби средстава надлежни органи за послве финансија и унутрашње реизије најмање једанпут годишње информишу Савјет и збор грађана, односно Скупштину Општине“</w:t>
      </w:r>
    </w:p>
    <w:p w:rsidR="00F160F2" w:rsidRPr="007327DE" w:rsidRDefault="00F160F2" w:rsidP="00F160F2">
      <w:pPr>
        <w:pStyle w:val="NoSpacing"/>
        <w:jc w:val="both"/>
        <w:rPr>
          <w:rFonts w:asciiTheme="majorHAnsi" w:hAnsiTheme="majorHAnsi" w:cstheme="majorHAnsi"/>
          <w:i/>
          <w:noProof/>
          <w:sz w:val="20"/>
          <w:szCs w:val="20"/>
        </w:rPr>
      </w:pPr>
    </w:p>
    <w:p w:rsidR="00F160F2" w:rsidRPr="007327DE" w:rsidRDefault="00F160F2" w:rsidP="00F160F2">
      <w:pPr>
        <w:pStyle w:val="NoSpacing"/>
        <w:jc w:val="both"/>
        <w:rPr>
          <w:rFonts w:asciiTheme="majorHAnsi" w:hAnsiTheme="majorHAnsi" w:cstheme="majorHAnsi"/>
          <w:noProof/>
          <w:sz w:val="20"/>
          <w:szCs w:val="20"/>
        </w:rPr>
      </w:pPr>
    </w:p>
    <w:p w:rsidR="00F160F2" w:rsidRPr="007327DE" w:rsidRDefault="00F160F2" w:rsidP="00F160F2">
      <w:pPr>
        <w:pStyle w:val="NoSpacing"/>
        <w:jc w:val="both"/>
        <w:rPr>
          <w:rFonts w:asciiTheme="majorHAnsi" w:hAnsiTheme="majorHAnsi" w:cstheme="majorHAnsi"/>
          <w:b/>
          <w:noProof/>
          <w:sz w:val="20"/>
          <w:szCs w:val="20"/>
        </w:rPr>
      </w:pPr>
      <w:r w:rsidRPr="007327DE">
        <w:rPr>
          <w:rFonts w:asciiTheme="majorHAnsi" w:hAnsiTheme="majorHAnsi" w:cstheme="majorHAnsi"/>
          <w:b/>
          <w:noProof/>
          <w:sz w:val="20"/>
          <w:szCs w:val="20"/>
        </w:rPr>
        <w:t>Obrazloženj</w:t>
      </w:r>
      <w:r w:rsidR="008C388E" w:rsidRPr="007327DE">
        <w:rPr>
          <w:rFonts w:asciiTheme="majorHAnsi" w:hAnsiTheme="majorHAnsi" w:cstheme="majorHAnsi"/>
          <w:b/>
          <w:noProof/>
          <w:sz w:val="20"/>
          <w:szCs w:val="20"/>
        </w:rPr>
        <w:t>e primjedbe/predloga/sugestije</w:t>
      </w:r>
      <w:r w:rsidRPr="007327DE">
        <w:rPr>
          <w:rFonts w:asciiTheme="majorHAnsi" w:hAnsiTheme="majorHAnsi" w:cstheme="majorHAnsi"/>
          <w:b/>
          <w:noProof/>
          <w:sz w:val="20"/>
          <w:szCs w:val="20"/>
        </w:rPr>
        <w:t>:</w:t>
      </w:r>
    </w:p>
    <w:p w:rsidR="00F160F2" w:rsidRPr="007327DE" w:rsidRDefault="00F160F2" w:rsidP="00F160F2">
      <w:pPr>
        <w:pStyle w:val="NoSpacing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7327DE">
        <w:rPr>
          <w:rFonts w:asciiTheme="majorHAnsi" w:hAnsiTheme="majorHAnsi" w:cstheme="majorHAnsi"/>
          <w:noProof/>
          <w:sz w:val="20"/>
          <w:szCs w:val="20"/>
        </w:rPr>
        <w:t xml:space="preserve">Примједбе се односе на уклаљање одредби из члана </w:t>
      </w:r>
      <w:r w:rsidR="001861AB" w:rsidRPr="007327DE">
        <w:rPr>
          <w:rFonts w:asciiTheme="majorHAnsi" w:hAnsiTheme="majorHAnsi" w:cstheme="majorHAnsi"/>
          <w:noProof/>
          <w:sz w:val="20"/>
          <w:szCs w:val="20"/>
        </w:rPr>
        <w:t>73</w:t>
      </w:r>
      <w:r w:rsidRPr="007327DE">
        <w:rPr>
          <w:rFonts w:asciiTheme="majorHAnsi" w:hAnsiTheme="majorHAnsi" w:cstheme="majorHAnsi"/>
          <w:noProof/>
          <w:sz w:val="20"/>
          <w:szCs w:val="20"/>
        </w:rPr>
        <w:t xml:space="preserve"> став 3 и 6, на начин да се уклони „орган</w:t>
      </w:r>
      <w:r w:rsidR="007327DE">
        <w:rPr>
          <w:rFonts w:asciiTheme="majorHAnsi" w:hAnsiTheme="majorHAnsi" w:cstheme="majorHAnsi"/>
          <w:noProof/>
          <w:sz w:val="20"/>
          <w:szCs w:val="20"/>
        </w:rPr>
        <w:t xml:space="preserve"> локалне управе надлежан за пос</w:t>
      </w:r>
      <w:r w:rsidRPr="007327DE">
        <w:rPr>
          <w:rFonts w:asciiTheme="majorHAnsi" w:hAnsiTheme="majorHAnsi" w:cstheme="majorHAnsi"/>
          <w:noProof/>
          <w:sz w:val="20"/>
          <w:szCs w:val="20"/>
        </w:rPr>
        <w:t xml:space="preserve">лове финансија“ јер унутрашњом </w:t>
      </w:r>
      <w:r w:rsidR="007327DE">
        <w:rPr>
          <w:rFonts w:asciiTheme="majorHAnsi" w:hAnsiTheme="majorHAnsi" w:cstheme="majorHAnsi"/>
          <w:noProof/>
          <w:sz w:val="20"/>
          <w:szCs w:val="20"/>
        </w:rPr>
        <w:t>организ</w:t>
      </w:r>
      <w:r w:rsidR="001861AB" w:rsidRPr="007327DE">
        <w:rPr>
          <w:rFonts w:asciiTheme="majorHAnsi" w:hAnsiTheme="majorHAnsi" w:cstheme="majorHAnsi"/>
          <w:noProof/>
          <w:sz w:val="20"/>
          <w:szCs w:val="20"/>
        </w:rPr>
        <w:t>ацијом у опису послова Се</w:t>
      </w:r>
      <w:r w:rsidRPr="007327DE">
        <w:rPr>
          <w:rFonts w:asciiTheme="majorHAnsi" w:hAnsiTheme="majorHAnsi" w:cstheme="majorHAnsi"/>
          <w:noProof/>
          <w:sz w:val="20"/>
          <w:szCs w:val="20"/>
        </w:rPr>
        <w:t>кретраијата за финансије и</w:t>
      </w:r>
      <w:r w:rsidR="001861AB" w:rsidRPr="007327DE">
        <w:rPr>
          <w:rFonts w:asciiTheme="majorHAnsi" w:hAnsiTheme="majorHAnsi" w:cstheme="majorHAnsi"/>
          <w:noProof/>
          <w:sz w:val="20"/>
          <w:szCs w:val="20"/>
        </w:rPr>
        <w:t xml:space="preserve"> економски развој није предви</w:t>
      </w:r>
      <w:r w:rsidRPr="007327DE">
        <w:rPr>
          <w:rFonts w:asciiTheme="majorHAnsi" w:hAnsiTheme="majorHAnsi" w:cstheme="majorHAnsi"/>
          <w:noProof/>
          <w:sz w:val="20"/>
          <w:szCs w:val="20"/>
        </w:rPr>
        <w:t>ђена контрола намјенског коришћења средстава мз, као ни информисање савјета и збора грађана о намјенској употреби средстава, као</w:t>
      </w:r>
      <w:r w:rsidR="00126CF5" w:rsidRPr="007327DE">
        <w:rPr>
          <w:rFonts w:asciiTheme="majorHAnsi" w:hAnsiTheme="majorHAnsi" w:cstheme="majorHAnsi"/>
          <w:noProof/>
          <w:sz w:val="20"/>
          <w:szCs w:val="20"/>
        </w:rPr>
        <w:t xml:space="preserve"> и да важећом систематизацијо</w:t>
      </w:r>
      <w:r w:rsidR="009929B8">
        <w:rPr>
          <w:rFonts w:asciiTheme="majorHAnsi" w:hAnsiTheme="majorHAnsi" w:cstheme="majorHAnsi"/>
          <w:noProof/>
          <w:sz w:val="20"/>
          <w:szCs w:val="20"/>
        </w:rPr>
        <w:t>м радних мјеста у секретари</w:t>
      </w:r>
      <w:r w:rsidR="00126CF5" w:rsidRPr="007327DE">
        <w:rPr>
          <w:rFonts w:asciiTheme="majorHAnsi" w:hAnsiTheme="majorHAnsi" w:cstheme="majorHAnsi"/>
          <w:noProof/>
          <w:sz w:val="20"/>
          <w:szCs w:val="20"/>
        </w:rPr>
        <w:t>јату нијесу предвиђени службеници који би</w:t>
      </w:r>
      <w:r w:rsidR="001861AB" w:rsidRPr="007327DE">
        <w:rPr>
          <w:rFonts w:asciiTheme="majorHAnsi" w:hAnsiTheme="majorHAnsi" w:cstheme="majorHAnsi"/>
          <w:noProof/>
          <w:sz w:val="20"/>
          <w:szCs w:val="20"/>
        </w:rPr>
        <w:t xml:space="preserve"> се бавили о</w:t>
      </w:r>
      <w:r w:rsidR="00126CF5" w:rsidRPr="007327DE">
        <w:rPr>
          <w:rFonts w:asciiTheme="majorHAnsi" w:hAnsiTheme="majorHAnsi" w:cstheme="majorHAnsi"/>
          <w:noProof/>
          <w:sz w:val="20"/>
          <w:szCs w:val="20"/>
        </w:rPr>
        <w:t>вум пословима.</w:t>
      </w:r>
    </w:p>
    <w:p w:rsidR="00F160F2" w:rsidRPr="0002489F" w:rsidRDefault="00F160F2" w:rsidP="00F160F2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:rsidR="00126CF5" w:rsidRPr="0002489F" w:rsidRDefault="00126CF5" w:rsidP="00126CF5">
      <w:pPr>
        <w:pStyle w:val="NoSpacing"/>
        <w:jc w:val="both"/>
        <w:rPr>
          <w:rFonts w:asciiTheme="majorHAnsi" w:hAnsiTheme="majorHAnsi" w:cstheme="majorHAnsi"/>
          <w:i/>
          <w:noProof/>
          <w:sz w:val="20"/>
          <w:szCs w:val="20"/>
        </w:rPr>
      </w:pPr>
      <w:r w:rsidRPr="0002489F">
        <w:rPr>
          <w:rFonts w:asciiTheme="majorHAnsi" w:hAnsiTheme="majorHAnsi" w:cstheme="majorHAnsi"/>
          <w:noProof/>
          <w:sz w:val="20"/>
          <w:szCs w:val="20"/>
        </w:rPr>
        <w:t xml:space="preserve">Примједбе поднесене у односу на </w:t>
      </w:r>
      <w:r w:rsidR="001861AB" w:rsidRPr="0002489F">
        <w:rPr>
          <w:rFonts w:asciiTheme="majorHAnsi" w:hAnsiTheme="majorHAnsi" w:cstheme="majorHAnsi"/>
          <w:noProof/>
          <w:sz w:val="20"/>
          <w:szCs w:val="20"/>
        </w:rPr>
        <w:t xml:space="preserve">члан 73 став 6, да </w:t>
      </w:r>
      <w:r w:rsidR="001861AB" w:rsidRPr="0002489F">
        <w:rPr>
          <w:rFonts w:asciiTheme="majorHAnsi" w:hAnsiTheme="majorHAnsi" w:cstheme="majorHAnsi"/>
          <w:i/>
          <w:noProof/>
          <w:sz w:val="20"/>
          <w:szCs w:val="20"/>
        </w:rPr>
        <w:t xml:space="preserve"> </w:t>
      </w:r>
      <w:r w:rsidR="0002489F" w:rsidRPr="0002489F">
        <w:rPr>
          <w:rFonts w:asciiTheme="majorHAnsi" w:hAnsiTheme="majorHAnsi" w:cstheme="majorHAnsi"/>
          <w:noProof/>
          <w:sz w:val="20"/>
          <w:szCs w:val="20"/>
        </w:rPr>
        <w:t>„</w:t>
      </w:r>
      <w:r w:rsidR="001861AB" w:rsidRPr="0002489F">
        <w:rPr>
          <w:rFonts w:asciiTheme="majorHAnsi" w:hAnsiTheme="majorHAnsi" w:cstheme="majorHAnsi"/>
          <w:noProof/>
          <w:sz w:val="20"/>
          <w:szCs w:val="20"/>
        </w:rPr>
        <w:t>о намјенској упортеби средстава надлежни органи за послве финансија и унутрашње реизије најмање једанпут годишње информишу Савјет и збор грађана, односно Скупштину Општине“</w:t>
      </w:r>
      <w:r w:rsidR="001861AB" w:rsidRPr="0002489F">
        <w:rPr>
          <w:rFonts w:asciiTheme="majorHAnsi" w:hAnsiTheme="majorHAnsi" w:cstheme="majorHAnsi"/>
          <w:i/>
          <w:noProof/>
          <w:sz w:val="20"/>
          <w:szCs w:val="20"/>
        </w:rPr>
        <w:t xml:space="preserve">, </w:t>
      </w:r>
      <w:r w:rsidR="001861AB" w:rsidRPr="0002489F">
        <w:rPr>
          <w:rFonts w:asciiTheme="majorHAnsi" w:hAnsiTheme="majorHAnsi" w:cstheme="majorHAnsi"/>
          <w:noProof/>
          <w:sz w:val="20"/>
          <w:szCs w:val="20"/>
        </w:rPr>
        <w:t>п</w:t>
      </w:r>
      <w:r w:rsidRPr="0002489F">
        <w:rPr>
          <w:rFonts w:asciiTheme="majorHAnsi" w:hAnsiTheme="majorHAnsi" w:cstheme="majorHAnsi"/>
          <w:noProof/>
          <w:sz w:val="20"/>
          <w:szCs w:val="20"/>
        </w:rPr>
        <w:t>рихватају се као оправдане.</w:t>
      </w:r>
    </w:p>
    <w:p w:rsidR="00126CF5" w:rsidRPr="0002489F" w:rsidRDefault="00126CF5" w:rsidP="00126CF5">
      <w:pPr>
        <w:pStyle w:val="NoSpacing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02489F">
        <w:rPr>
          <w:rFonts w:asciiTheme="majorHAnsi" w:hAnsiTheme="majorHAnsi" w:cstheme="majorHAnsi"/>
          <w:noProof/>
          <w:sz w:val="20"/>
          <w:szCs w:val="20"/>
        </w:rPr>
        <w:t>Примје</w:t>
      </w:r>
      <w:r w:rsidR="00F35EDD" w:rsidRPr="0002489F">
        <w:rPr>
          <w:rFonts w:asciiTheme="majorHAnsi" w:hAnsiTheme="majorHAnsi" w:cstheme="majorHAnsi"/>
          <w:noProof/>
          <w:sz w:val="20"/>
          <w:szCs w:val="20"/>
        </w:rPr>
        <w:t>бе у дијелу</w:t>
      </w:r>
      <w:r w:rsidR="001861AB" w:rsidRPr="0002489F">
        <w:rPr>
          <w:rFonts w:asciiTheme="majorHAnsi" w:hAnsiTheme="majorHAnsi" w:cstheme="majorHAnsi"/>
          <w:noProof/>
          <w:sz w:val="20"/>
          <w:szCs w:val="20"/>
        </w:rPr>
        <w:t xml:space="preserve"> члана 73 став 3 да„</w:t>
      </w:r>
      <w:r w:rsidR="008C388E" w:rsidRPr="0002489F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1861AB" w:rsidRPr="0002489F">
        <w:rPr>
          <w:rFonts w:asciiTheme="majorHAnsi" w:hAnsiTheme="majorHAnsi" w:cstheme="majorHAnsi"/>
          <w:noProof/>
          <w:sz w:val="20"/>
          <w:szCs w:val="20"/>
        </w:rPr>
        <w:t>контролу намјенског коришћења средстава која се уступају из буџета Општине врши орган локалне управе надлежан за послове финансија нису прихваћене</w:t>
      </w:r>
      <w:r w:rsidR="008C388E" w:rsidRPr="0002489F">
        <w:rPr>
          <w:rFonts w:asciiTheme="majorHAnsi" w:hAnsiTheme="majorHAnsi" w:cstheme="majorHAnsi"/>
          <w:noProof/>
          <w:sz w:val="20"/>
          <w:szCs w:val="20"/>
        </w:rPr>
        <w:t xml:space="preserve">, из разлога што су надлежности овог органа локалне управе јасно дефинисане Одлуком о организацији и начину рада локалне управе. Оне се између осталог односе на </w:t>
      </w:r>
      <w:r w:rsidR="008C388E" w:rsidRPr="0002489F">
        <w:rPr>
          <w:rFonts w:asciiTheme="majorHAnsi" w:hAnsiTheme="majorHAnsi" w:cstheme="majorHAnsi"/>
          <w:sz w:val="20"/>
          <w:szCs w:val="20"/>
        </w:rPr>
        <w:t xml:space="preserve">праћење коришћење одобрених средстава потрошачких јединица. Такође, у поступку израде Нацрта одлуке, утврдили смо да је је у свим локалним управама у Црној Гори, тамошњим Одлукама о мјесним заједницама предвиђено да надлежни орган за послове финснија врши </w:t>
      </w:r>
      <w:r w:rsidR="008C388E" w:rsidRPr="0002489F">
        <w:rPr>
          <w:rFonts w:asciiTheme="majorHAnsi" w:hAnsiTheme="majorHAnsi" w:cstheme="majorHAnsi"/>
          <w:noProof/>
          <w:sz w:val="20"/>
          <w:szCs w:val="20"/>
        </w:rPr>
        <w:t>контролу намјенског коришћења средстава која се уступају из буџета Општине</w:t>
      </w:r>
    </w:p>
    <w:p w:rsidR="00F35EDD" w:rsidRDefault="00F35EDD" w:rsidP="00126CF5">
      <w:pPr>
        <w:pStyle w:val="NoSpacing"/>
        <w:jc w:val="both"/>
        <w:rPr>
          <w:rFonts w:ascii="Arial" w:hAnsi="Arial" w:cs="Arial"/>
          <w:noProof/>
        </w:rPr>
      </w:pPr>
    </w:p>
    <w:p w:rsidR="00F35EDD" w:rsidRDefault="00F35EDD" w:rsidP="00126CF5">
      <w:pPr>
        <w:pStyle w:val="NoSpacing"/>
        <w:jc w:val="both"/>
        <w:rPr>
          <w:rFonts w:ascii="Arial" w:hAnsi="Arial" w:cs="Arial"/>
          <w:noProof/>
        </w:rPr>
      </w:pPr>
    </w:p>
    <w:p w:rsidR="00554C47" w:rsidRPr="0002489F" w:rsidRDefault="00554C47" w:rsidP="00554C4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</w:pPr>
      <w:r w:rsidRPr="0002489F"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  <w:t>Служба за заједничке послове</w:t>
      </w:r>
    </w:p>
    <w:p w:rsidR="004A0427" w:rsidRDefault="00554C47" w:rsidP="00554C47">
      <w:pPr>
        <w:pStyle w:val="ListParagraph"/>
        <w:spacing w:after="0" w:line="276" w:lineRule="auto"/>
        <w:ind w:left="1170"/>
        <w:jc w:val="both"/>
        <w:rPr>
          <w:rFonts w:asciiTheme="majorHAnsi" w:eastAsia="Times New Roman" w:hAnsiTheme="majorHAnsi" w:cstheme="majorHAnsi"/>
          <w:noProof/>
          <w:color w:val="231F20"/>
          <w:sz w:val="20"/>
          <w:szCs w:val="20"/>
        </w:rPr>
      </w:pPr>
      <w:r w:rsidRPr="0002489F">
        <w:rPr>
          <w:rFonts w:asciiTheme="majorHAnsi" w:eastAsia="Times New Roman" w:hAnsiTheme="majorHAnsi" w:cstheme="majorHAnsi"/>
          <w:noProof/>
          <w:color w:val="231F20"/>
          <w:sz w:val="20"/>
          <w:szCs w:val="20"/>
        </w:rPr>
        <w:t>бр.14-065/21-186 од 03.03.2021. године</w:t>
      </w:r>
    </w:p>
    <w:p w:rsidR="0002489F" w:rsidRPr="0002489F" w:rsidRDefault="0002489F" w:rsidP="00554C47">
      <w:pPr>
        <w:pStyle w:val="ListParagraph"/>
        <w:spacing w:after="0" w:line="276" w:lineRule="auto"/>
        <w:ind w:left="1170"/>
        <w:jc w:val="both"/>
        <w:rPr>
          <w:rFonts w:asciiTheme="majorHAnsi" w:eastAsia="Times New Roman" w:hAnsiTheme="majorHAnsi" w:cstheme="majorHAnsi"/>
          <w:noProof/>
          <w:color w:val="231F20"/>
          <w:sz w:val="20"/>
          <w:szCs w:val="20"/>
        </w:rPr>
      </w:pPr>
    </w:p>
    <w:p w:rsidR="00554C47" w:rsidRPr="0002489F" w:rsidRDefault="004A0427" w:rsidP="00554C47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</w:pPr>
      <w:r w:rsidRPr="0002489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54C47" w:rsidRPr="0002489F">
        <w:rPr>
          <w:rFonts w:asciiTheme="majorHAnsi" w:eastAsia="Times New Roman" w:hAnsiTheme="majorHAnsi" w:cstheme="majorHAnsi"/>
          <w:b/>
          <w:noProof/>
          <w:color w:val="231F20"/>
          <w:sz w:val="20"/>
          <w:szCs w:val="20"/>
        </w:rPr>
        <w:t>Предлози:</w:t>
      </w:r>
    </w:p>
    <w:p w:rsidR="007B3082" w:rsidRPr="0002489F" w:rsidRDefault="004A0427" w:rsidP="00D94C4E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У члану 9 став 3, одредба којом се прописује да „мјесна заједница не може имати мање од 50 становника“, је непотребна и треба је брисати.</w:t>
      </w:r>
    </w:p>
    <w:p w:rsidR="004A0427" w:rsidRPr="0002489F" w:rsidRDefault="004A0427" w:rsidP="00D94C4E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7B3082" w:rsidRPr="0002489F" w:rsidRDefault="004A0427" w:rsidP="00D94C4E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У члану 11 став </w:t>
      </w:r>
      <w:r w:rsidR="007B3082" w:rsidRPr="0002489F">
        <w:rPr>
          <w:rFonts w:asciiTheme="majorHAnsi" w:hAnsiTheme="majorHAnsi" w:cstheme="majorHAnsi"/>
          <w:sz w:val="20"/>
          <w:szCs w:val="20"/>
        </w:rPr>
        <w:t>2</w:t>
      </w:r>
      <w:r w:rsidRPr="0002489F">
        <w:rPr>
          <w:rFonts w:asciiTheme="majorHAnsi" w:hAnsiTheme="majorHAnsi" w:cstheme="majorHAnsi"/>
          <w:sz w:val="20"/>
          <w:szCs w:val="20"/>
        </w:rPr>
        <w:t>, којим се прописује да иницијативу за оснивање мјесне заједнице мора подржати најмање 5% пунољетних грађана, треба мијењати и тражени цензус подићи на минимум 10 %.</w:t>
      </w:r>
    </w:p>
    <w:p w:rsidR="004A0427" w:rsidRPr="0002489F" w:rsidRDefault="004A0427" w:rsidP="004A0427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A0427" w:rsidP="004A0427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У члану 16 став 1,  требало би да стоји :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„Одлука о оснивању мјесне заједнице доставља се надлежном органу управе за послове са мјесним заједницама у року од 15 дана од дана доношења одлуке на збору на даљи поступак“.</w:t>
      </w:r>
    </w:p>
    <w:p w:rsidR="000307E7" w:rsidRPr="0002489F" w:rsidRDefault="000307E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A0427" w:rsidP="00D94C4E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Нови члан 17, треба да гласи: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lastRenderedPageBreak/>
        <w:t xml:space="preserve">          „Уколико Скупштина општине не да сагласност на одлуку збора грађана о оснивању мјесне заједнице, дужна је да у року од 30 дана распише референдум за територију за коју се предлаже оснивање мјесне заједнице.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Одлуком Скупштине ће се одредити дан одржавања референдума, органи за спровођење референдума и утврдити друге радње од значаја за његово спровођење.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 У случају да се већина грађана  са територије  за коју се предлаже оснивање мјесне заједнице изјасни о оснивању мјесне заједнице Скупштина је дужна да на првој наредној сједници донесе одлуку о давању сагласности о оснивању мјесне заједнице“.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A0427" w:rsidP="009C03CC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Постојећи члан 17 у нацрту Одлуке о МЗ  пребацити у члан 18.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A0427" w:rsidP="004A0427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Члан 22 треба промијенити и исти треба да гласи: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  „Поступак за спајање, подјелу или припајање мјесне заједнице  покрећу пунољетни грађани са пребивалиштем на подручју за које се предлаже измјена статуса, односно насеља за које се захтијева промјена путем иницијативе.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    Иницијатива коју својим потписом подржи најмање 30 % пунољетних грађана са пребивалиштем на подручју за које се предлаже измјена статуса за спајање, подјелу или припајање мјесне заједнице подноси се органу управе надлежном за послове мјесних заједница.</w:t>
      </w:r>
    </w:p>
    <w:p w:rsidR="007B3082" w:rsidRPr="0002489F" w:rsidRDefault="004A0427" w:rsidP="00D94C4E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    У случају спајања или припајања дијела мјесне заједнице, број подносилаца иницијативе из сваке мјесне заједнице обухваћене промјеном мора </w:t>
      </w:r>
      <w:r w:rsidR="00D94C4E" w:rsidRPr="0002489F">
        <w:rPr>
          <w:rFonts w:asciiTheme="majorHAnsi" w:hAnsiTheme="majorHAnsi" w:cstheme="majorHAnsi"/>
          <w:sz w:val="20"/>
          <w:szCs w:val="20"/>
        </w:rPr>
        <w:t>бити сразмјеран“.</w:t>
      </w:r>
    </w:p>
    <w:p w:rsidR="004A0427" w:rsidRPr="0002489F" w:rsidRDefault="004A0427" w:rsidP="007B3082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A0427" w:rsidP="00D94C4E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У члану 25, после става 3 треба додати став 4, који гласи:</w:t>
      </w:r>
    </w:p>
    <w:p w:rsidR="007B3082" w:rsidRPr="0002489F" w:rsidRDefault="004A0427" w:rsidP="00D94C4E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„Збору грађана на којем се одлучује о поднешеној иницијативи за спајање, подјелу или припајање мјесне заједнице мора присуствовати минимум 10 % пунољетних грађана са подручја за које се предлажу промјене статуса“.</w:t>
      </w:r>
    </w:p>
    <w:p w:rsidR="004A0427" w:rsidRPr="0002489F" w:rsidRDefault="004A0427" w:rsidP="00D94C4E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7B3082" w:rsidRPr="0002489F" w:rsidRDefault="004A0427" w:rsidP="00D94C4E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чланом 36 став 4 већ констатовано да се мора водити рачуна о родној равноправности.</w:t>
      </w:r>
    </w:p>
    <w:p w:rsidR="004A0427" w:rsidRPr="0002489F" w:rsidRDefault="004A0427" w:rsidP="004A0427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A0427" w:rsidP="004A0427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Члан 43 став 5, треба допунити и треба да гласи:</w:t>
      </w:r>
    </w:p>
    <w:p w:rsidR="007B3082" w:rsidRPr="0002489F" w:rsidRDefault="004A0427" w:rsidP="00D94C4E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      „ На конститутивној сједници Савјета, Савјет из реда чланова Савјета бира предсједника и замјеника предсједника Савјета мјесне заједнице, већином гласова укупног броја гласова чланова Савјета присутних на сједници“.</w:t>
      </w:r>
    </w:p>
    <w:p w:rsidR="004A0427" w:rsidRPr="0002489F" w:rsidRDefault="004A0427" w:rsidP="004A0427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A0427" w:rsidP="009C03CC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У члану 54 став 1,  постојећу одредницу треба промијенити, да гласи:</w:t>
      </w:r>
    </w:p>
    <w:p w:rsidR="007B3082" w:rsidRPr="0002489F" w:rsidRDefault="004A0427" w:rsidP="00D94C4E">
      <w:pPr>
        <w:pStyle w:val="NoSpacing"/>
        <w:ind w:left="6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      „Збор грађана се може одржати и на њему се могу доносити пуноважне одлуке ако Збору присуствује најмање; 6 % пунољетних грађана за мјесне заједнице до 500 становника, 5 % пунољетних грађана за мјесне заједнице од 500 до 1.000 становника, 4 % пунољетних грађана за мјесне заједнице од 1.000 до 2.000 становника и 3 % пунољетних грађана за мјесне заједнице преко 2.000 становника“.</w:t>
      </w:r>
    </w:p>
    <w:p w:rsidR="004A0427" w:rsidRPr="0002489F" w:rsidRDefault="004A0427" w:rsidP="007B3082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A0427" w:rsidP="00D94C4E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Нови члан 55, треба да гласи:</w:t>
      </w:r>
    </w:p>
    <w:p w:rsidR="004A0427" w:rsidRPr="0002489F" w:rsidRDefault="004A0427" w:rsidP="004A0427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     „Збор грађана сазива се јавним упућивањем позива најмање седам дана прије дана одржавања збора.</w:t>
      </w:r>
    </w:p>
    <w:p w:rsidR="004A0427" w:rsidRPr="0002489F" w:rsidRDefault="004A0427" w:rsidP="004A0427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      Позив се објављује у средствима информисања, истиче се на огласној табли Општине и мјесне заједнице, јавним објектима, другим огласним мјестима, улазним вратима стамбених зграда и на други погодан начин“.</w:t>
      </w:r>
    </w:p>
    <w:p w:rsidR="004A0427" w:rsidRPr="0002489F" w:rsidRDefault="004A0427" w:rsidP="004A0427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A0427" w:rsidP="002F5CFF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У члану 58 став 1 којим се прописује да је за сазивање збора грађана неопходан предлог 1% грађана са пребивалиштем на подручју за које се организује збор, треба мијењати и тражени цензус подићи на минимум 5 %.</w:t>
      </w:r>
    </w:p>
    <w:p w:rsidR="002F5CFF" w:rsidRPr="0002489F" w:rsidRDefault="002F5CFF" w:rsidP="002F5CFF">
      <w:pPr>
        <w:pStyle w:val="NoSpacing"/>
        <w:ind w:left="780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A0427" w:rsidP="004A0427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Члан 64 је врло дискутабилан, неjaсан и нов је у односу на стару Одлуку о МЗ из 2005.године. Чланом 52 старе Одлуке о МЗ било је прописано да: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lastRenderedPageBreak/>
        <w:t xml:space="preserve">           „ Ако Савјет мјесне заједнице не обавља послове утврђене овом одлуком, предсједник Скупштине или предсједник Општине може упозорити Савјет да предузме мјере за остваривање својих функција.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  Уколико Савјет и након упозорења не обавља своје послове, предсједник Скупштине или предсједник Општине сазива збор грађана и предлаже збору разрешење Савјета.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 xml:space="preserve">               У случају разрјешења Савјета примјењују се одредбе члана 33 ове одлуке“.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D3735" w:rsidP="002F5CFF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Н</w:t>
      </w:r>
      <w:r w:rsidR="004A0427" w:rsidRPr="0002489F">
        <w:rPr>
          <w:rFonts w:asciiTheme="majorHAnsi" w:hAnsiTheme="majorHAnsi" w:cstheme="majorHAnsi"/>
          <w:sz w:val="20"/>
          <w:szCs w:val="20"/>
        </w:rPr>
        <w:t>ацртом нове Одлуке о МЗ је чланом 46 прописано да Предсједник општине може поднијети предлог за разрешење Савјета, на предлог надлежног органа локалне управе,  што је нова одредница и добро рјешење, и даје могућност да се реагује у случају ако Савјет МЗ или предсједник Савјета не обављају своје послове утврђене Одлуком о МЗ.</w:t>
      </w:r>
    </w:p>
    <w:p w:rsidR="004A0427" w:rsidRPr="0002489F" w:rsidRDefault="004A0427" w:rsidP="004A0427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</w:p>
    <w:p w:rsidR="004A0427" w:rsidRPr="0002489F" w:rsidRDefault="004D3735" w:rsidP="009C03CC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О</w:t>
      </w:r>
      <w:r w:rsidR="004A0427" w:rsidRPr="0002489F">
        <w:rPr>
          <w:rFonts w:asciiTheme="majorHAnsi" w:hAnsiTheme="majorHAnsi" w:cstheme="majorHAnsi"/>
          <w:sz w:val="20"/>
          <w:szCs w:val="20"/>
        </w:rPr>
        <w:t>дјељ</w:t>
      </w:r>
      <w:r>
        <w:rPr>
          <w:rFonts w:asciiTheme="majorHAnsi" w:hAnsiTheme="majorHAnsi" w:cstheme="majorHAnsi"/>
          <w:sz w:val="20"/>
          <w:szCs w:val="20"/>
        </w:rPr>
        <w:t>ак</w:t>
      </w:r>
      <w:r w:rsidR="004A0427" w:rsidRPr="0002489F">
        <w:rPr>
          <w:rFonts w:asciiTheme="majorHAnsi" w:hAnsiTheme="majorHAnsi" w:cstheme="majorHAnsi"/>
          <w:sz w:val="20"/>
          <w:szCs w:val="20"/>
        </w:rPr>
        <w:t xml:space="preserve"> IX Финансирање мјесне заједнице, има неколико сувишних и непотребних одредница, као на примјер што је то случај са чланом 75 и чланом 73 став 6.</w:t>
      </w:r>
    </w:p>
    <w:p w:rsidR="007B3082" w:rsidRPr="0002489F" w:rsidRDefault="007B3082" w:rsidP="001B6E81">
      <w:pPr>
        <w:pStyle w:val="NoSpacing"/>
        <w:ind w:left="42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1B6E81" w:rsidRPr="0002489F" w:rsidRDefault="001B6E81" w:rsidP="001B6E81">
      <w:pPr>
        <w:pStyle w:val="NoSpacing"/>
        <w:ind w:left="42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1B6E81" w:rsidRPr="0002489F" w:rsidRDefault="001B6E81" w:rsidP="001B6E81">
      <w:pPr>
        <w:pStyle w:val="NoSpacing"/>
        <w:ind w:left="420"/>
        <w:jc w:val="both"/>
        <w:rPr>
          <w:rFonts w:asciiTheme="majorHAnsi" w:hAnsiTheme="majorHAnsi" w:cstheme="majorHAnsi"/>
          <w:sz w:val="20"/>
          <w:szCs w:val="20"/>
        </w:rPr>
      </w:pPr>
      <w:r w:rsidRPr="0002489F">
        <w:rPr>
          <w:rFonts w:asciiTheme="majorHAnsi" w:hAnsiTheme="majorHAnsi" w:cstheme="majorHAnsi"/>
          <w:sz w:val="20"/>
          <w:szCs w:val="20"/>
        </w:rPr>
        <w:t>Примједбе под редним бројевима 1,2,</w:t>
      </w:r>
      <w:r w:rsidR="0009399A" w:rsidRPr="0002489F">
        <w:rPr>
          <w:rFonts w:asciiTheme="majorHAnsi" w:hAnsiTheme="majorHAnsi" w:cstheme="majorHAnsi"/>
          <w:sz w:val="20"/>
          <w:szCs w:val="20"/>
        </w:rPr>
        <w:t>4</w:t>
      </w:r>
      <w:r w:rsidR="004D3735">
        <w:rPr>
          <w:rFonts w:asciiTheme="majorHAnsi" w:hAnsiTheme="majorHAnsi" w:cstheme="majorHAnsi"/>
          <w:sz w:val="20"/>
          <w:szCs w:val="20"/>
        </w:rPr>
        <w:t>,</w:t>
      </w:r>
      <w:r w:rsidRPr="0002489F">
        <w:rPr>
          <w:rFonts w:asciiTheme="majorHAnsi" w:hAnsiTheme="majorHAnsi" w:cstheme="majorHAnsi"/>
          <w:sz w:val="20"/>
          <w:szCs w:val="20"/>
        </w:rPr>
        <w:t>7,8,9,10,11,12 и 14 разматране су и п</w:t>
      </w:r>
      <w:r w:rsidR="004D3735">
        <w:rPr>
          <w:rFonts w:asciiTheme="majorHAnsi" w:hAnsiTheme="majorHAnsi" w:cstheme="majorHAnsi"/>
          <w:sz w:val="20"/>
          <w:szCs w:val="20"/>
        </w:rPr>
        <w:t xml:space="preserve">рихваћене као оправдане, док </w:t>
      </w:r>
      <w:r w:rsidRPr="0002489F">
        <w:rPr>
          <w:rFonts w:asciiTheme="majorHAnsi" w:hAnsiTheme="majorHAnsi" w:cstheme="majorHAnsi"/>
          <w:sz w:val="20"/>
          <w:szCs w:val="20"/>
        </w:rPr>
        <w:t>пр</w:t>
      </w:r>
      <w:r w:rsidR="0009399A" w:rsidRPr="0002489F">
        <w:rPr>
          <w:rFonts w:asciiTheme="majorHAnsi" w:hAnsiTheme="majorHAnsi" w:cstheme="majorHAnsi"/>
          <w:sz w:val="20"/>
          <w:szCs w:val="20"/>
        </w:rPr>
        <w:t>имједбе под редним бројевима 3</w:t>
      </w:r>
      <w:r w:rsidRPr="0002489F">
        <w:rPr>
          <w:rFonts w:asciiTheme="majorHAnsi" w:hAnsiTheme="majorHAnsi" w:cstheme="majorHAnsi"/>
          <w:sz w:val="20"/>
          <w:szCs w:val="20"/>
        </w:rPr>
        <w:t xml:space="preserve">,5,6 и 13 нису прихваћене, из разлога што су рјешења дата у примједбама обухваћена </w:t>
      </w:r>
      <w:r w:rsidR="0009399A" w:rsidRPr="0002489F">
        <w:rPr>
          <w:rFonts w:asciiTheme="majorHAnsi" w:hAnsiTheme="majorHAnsi" w:cstheme="majorHAnsi"/>
          <w:sz w:val="20"/>
          <w:szCs w:val="20"/>
        </w:rPr>
        <w:t xml:space="preserve">постојећим </w:t>
      </w:r>
      <w:r w:rsidRPr="0002489F">
        <w:rPr>
          <w:rFonts w:asciiTheme="majorHAnsi" w:hAnsiTheme="majorHAnsi" w:cstheme="majorHAnsi"/>
          <w:sz w:val="20"/>
          <w:szCs w:val="20"/>
        </w:rPr>
        <w:t>Нацртом одлуке о мјесним заједницама</w:t>
      </w:r>
      <w:r w:rsidR="002923CE" w:rsidRPr="0002489F">
        <w:rPr>
          <w:rFonts w:asciiTheme="majorHAnsi" w:hAnsiTheme="majorHAnsi" w:cstheme="majorHAnsi"/>
          <w:sz w:val="20"/>
          <w:szCs w:val="20"/>
        </w:rPr>
        <w:t>.</w:t>
      </w:r>
    </w:p>
    <w:p w:rsidR="0007667C" w:rsidRPr="0002489F" w:rsidRDefault="0007667C" w:rsidP="006F1ECD">
      <w:pPr>
        <w:pStyle w:val="NoSpacing"/>
        <w:jc w:val="both"/>
        <w:rPr>
          <w:rFonts w:asciiTheme="majorHAnsi" w:hAnsiTheme="majorHAnsi" w:cstheme="majorHAnsi"/>
          <w:noProof/>
          <w:sz w:val="20"/>
          <w:szCs w:val="20"/>
        </w:rPr>
      </w:pPr>
    </w:p>
    <w:p w:rsidR="00D2088B" w:rsidRPr="0002489F" w:rsidRDefault="00D2088B" w:rsidP="00D2088B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noProof/>
          <w:color w:val="231F20"/>
          <w:sz w:val="20"/>
          <w:szCs w:val="20"/>
        </w:rPr>
      </w:pPr>
    </w:p>
    <w:p w:rsidR="002E576D" w:rsidRPr="0002489F" w:rsidRDefault="004617B0" w:rsidP="002E576D">
      <w:pPr>
        <w:spacing w:line="276" w:lineRule="auto"/>
        <w:rPr>
          <w:rFonts w:asciiTheme="majorHAnsi" w:eastAsiaTheme="minorEastAsia" w:hAnsiTheme="majorHAnsi" w:cstheme="majorHAnsi"/>
          <w:noProof/>
          <w:sz w:val="20"/>
          <w:szCs w:val="20"/>
        </w:rPr>
      </w:pP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Мјесто</w:t>
      </w:r>
      <w:r w:rsidR="002E576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и</w:t>
      </w:r>
      <w:r w:rsidR="002E576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датум</w:t>
      </w:r>
      <w:r w:rsidR="00366DC8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сачињавања</w:t>
      </w:r>
      <w:r w:rsidR="00366DC8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извјештаја</w:t>
      </w:r>
      <w:r w:rsidR="00366DC8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:</w:t>
      </w:r>
      <w:r w:rsidR="00D81A2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="002923CE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Беране</w:t>
      </w:r>
      <w:r w:rsidR="00D81A2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, </w:t>
      </w: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12</w:t>
      </w:r>
      <w:r w:rsidR="002923CE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.05</w:t>
      </w:r>
      <w:r w:rsidR="00C4056E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.</w:t>
      </w:r>
      <w:r w:rsidR="00830D6C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2021</w:t>
      </w:r>
      <w:r w:rsidR="002E576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. </w:t>
      </w: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године</w:t>
      </w:r>
    </w:p>
    <w:p w:rsidR="002B0CCE" w:rsidRPr="0002489F" w:rsidRDefault="002B0CCE" w:rsidP="002E576D">
      <w:pPr>
        <w:spacing w:after="0" w:line="276" w:lineRule="auto"/>
        <w:rPr>
          <w:rFonts w:asciiTheme="majorHAnsi" w:eastAsiaTheme="minorEastAsia" w:hAnsiTheme="majorHAnsi" w:cstheme="majorHAnsi"/>
          <w:noProof/>
          <w:sz w:val="20"/>
          <w:szCs w:val="20"/>
        </w:rPr>
      </w:pPr>
    </w:p>
    <w:p w:rsidR="002E576D" w:rsidRPr="0002489F" w:rsidRDefault="004617B0" w:rsidP="002E576D">
      <w:pPr>
        <w:spacing w:after="0" w:line="276" w:lineRule="auto"/>
        <w:rPr>
          <w:rFonts w:asciiTheme="majorHAnsi" w:eastAsiaTheme="minorEastAsia" w:hAnsiTheme="majorHAnsi" w:cstheme="majorHAnsi"/>
          <w:noProof/>
          <w:sz w:val="20"/>
          <w:szCs w:val="20"/>
        </w:rPr>
      </w:pP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Назив</w:t>
      </w:r>
      <w:r w:rsidR="002E576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организационе</w:t>
      </w:r>
      <w:r w:rsidR="002E576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јединице</w:t>
      </w:r>
      <w:r w:rsidR="002E576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која</w:t>
      </w:r>
      <w:r w:rsidR="002E576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је</w:t>
      </w:r>
      <w:r w:rsidR="002E576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="004D3735">
        <w:rPr>
          <w:rFonts w:asciiTheme="majorHAnsi" w:eastAsiaTheme="minorEastAsia" w:hAnsiTheme="majorHAnsi" w:cstheme="majorHAnsi"/>
          <w:noProof/>
          <w:sz w:val="20"/>
          <w:szCs w:val="20"/>
        </w:rPr>
        <w:t>припремила</w:t>
      </w:r>
      <w:r w:rsidR="002E576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</w:t>
      </w:r>
      <w:r w:rsidR="004D3735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нацрт </w:t>
      </w:r>
      <w:r w:rsidR="002923CE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одлуке, </w:t>
      </w:r>
      <w:r w:rsidR="002E576D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:</w:t>
      </w:r>
      <w:r w:rsidR="002923CE" w:rsidRPr="0002489F">
        <w:rPr>
          <w:rFonts w:asciiTheme="majorHAnsi" w:eastAsiaTheme="minorEastAsia" w:hAnsiTheme="majorHAnsi" w:cstheme="majorHAnsi"/>
          <w:noProof/>
          <w:sz w:val="20"/>
          <w:szCs w:val="20"/>
          <w:u w:val="single"/>
        </w:rPr>
        <w:t>Секретаријат за општу управу и друштвене дјелатности</w:t>
      </w:r>
    </w:p>
    <w:p w:rsidR="002E576D" w:rsidRPr="0002489F" w:rsidRDefault="002E576D" w:rsidP="002E576D">
      <w:pPr>
        <w:spacing w:line="276" w:lineRule="auto"/>
        <w:rPr>
          <w:rFonts w:asciiTheme="majorHAnsi" w:eastAsiaTheme="minorEastAsia" w:hAnsiTheme="majorHAnsi" w:cstheme="majorHAnsi"/>
          <w:noProof/>
          <w:sz w:val="20"/>
          <w:szCs w:val="20"/>
        </w:rPr>
      </w:pPr>
    </w:p>
    <w:p w:rsidR="002E576D" w:rsidRPr="0002489F" w:rsidRDefault="002E576D" w:rsidP="002E576D">
      <w:pPr>
        <w:spacing w:after="0" w:line="276" w:lineRule="auto"/>
        <w:jc w:val="right"/>
        <w:rPr>
          <w:rFonts w:asciiTheme="majorHAnsi" w:eastAsiaTheme="minorEastAsia" w:hAnsiTheme="majorHAnsi" w:cstheme="majorHAnsi"/>
          <w:noProof/>
          <w:sz w:val="20"/>
          <w:szCs w:val="20"/>
        </w:rPr>
      </w:pP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                                              ,</w:t>
      </w:r>
    </w:p>
    <w:p w:rsidR="00A114A9" w:rsidRPr="0002489F" w:rsidRDefault="002E576D" w:rsidP="002923CE">
      <w:pPr>
        <w:spacing w:after="0" w:line="276" w:lineRule="auto"/>
        <w:jc w:val="right"/>
        <w:rPr>
          <w:rFonts w:asciiTheme="majorHAnsi" w:eastAsiaTheme="minorEastAsia" w:hAnsiTheme="majorHAnsi" w:cstheme="majorHAnsi"/>
          <w:noProof/>
          <w:sz w:val="20"/>
          <w:szCs w:val="20"/>
        </w:rPr>
      </w:pP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 xml:space="preserve">       </w:t>
      </w:r>
      <w:r w:rsidR="002923CE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Секретрака Секретарија</w:t>
      </w:r>
      <w:r w:rsidR="004D3735">
        <w:rPr>
          <w:rFonts w:asciiTheme="majorHAnsi" w:eastAsiaTheme="minorEastAsia" w:hAnsiTheme="majorHAnsi" w:cstheme="majorHAnsi"/>
          <w:noProof/>
          <w:sz w:val="20"/>
          <w:szCs w:val="20"/>
        </w:rPr>
        <w:t>т</w:t>
      </w:r>
      <w:r w:rsidR="002923CE"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а за општу управу и друштвене дјелатности</w:t>
      </w:r>
    </w:p>
    <w:p w:rsidR="002923CE" w:rsidRPr="004617B0" w:rsidRDefault="002923CE" w:rsidP="002923CE">
      <w:pPr>
        <w:spacing w:after="0" w:line="276" w:lineRule="auto"/>
        <w:jc w:val="right"/>
        <w:rPr>
          <w:rFonts w:ascii="Times New Roman" w:eastAsiaTheme="minorEastAsia" w:hAnsi="Times New Roman" w:cs="Times New Roman"/>
          <w:noProof/>
        </w:rPr>
      </w:pPr>
      <w:r w:rsidRPr="0002489F">
        <w:rPr>
          <w:rFonts w:asciiTheme="majorHAnsi" w:eastAsiaTheme="minorEastAsia" w:hAnsiTheme="majorHAnsi" w:cstheme="majorHAnsi"/>
          <w:noProof/>
          <w:sz w:val="20"/>
          <w:szCs w:val="20"/>
        </w:rPr>
        <w:t>Данијела Марковић</w:t>
      </w:r>
    </w:p>
    <w:p w:rsidR="002923CE" w:rsidRPr="004617B0" w:rsidRDefault="002923CE" w:rsidP="002923CE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2923CE" w:rsidRPr="004617B0" w:rsidRDefault="002923CE" w:rsidP="002923CE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617B0">
        <w:rPr>
          <w:rFonts w:ascii="Times New Roman" w:hAnsi="Times New Roman" w:cs="Times New Roman"/>
        </w:rPr>
        <w:t>__________________</w:t>
      </w:r>
    </w:p>
    <w:sectPr w:rsidR="002923CE" w:rsidRPr="004617B0" w:rsidSect="00F3128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F9A9" w16cex:dateUtc="2021-04-09T14:04:00Z"/>
  <w16cex:commentExtensible w16cex:durableId="241AF3CB" w16cex:dateUtc="2021-04-09T13:39:00Z"/>
  <w16cex:commentExtensible w16cex:durableId="241AF497" w16cex:dateUtc="2021-04-09T13:43:00Z"/>
  <w16cex:commentExtensible w16cex:durableId="241AF5E7" w16cex:dateUtc="2021-04-09T13:48:00Z"/>
  <w16cex:commentExtensible w16cex:durableId="241AF690" w16cex:dateUtc="2021-04-09T13:51:00Z"/>
  <w16cex:commentExtensible w16cex:durableId="241AF7B4" w16cex:dateUtc="2021-04-09T13:56:00Z"/>
  <w16cex:commentExtensible w16cex:durableId="241AF7F2" w16cex:dateUtc="2021-04-09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1AD53E" w16cid:durableId="241AF9A9"/>
  <w16cid:commentId w16cid:paraId="4778D011" w16cid:durableId="241AF3CB"/>
  <w16cid:commentId w16cid:paraId="21024A02" w16cid:durableId="241AF497"/>
  <w16cid:commentId w16cid:paraId="6A0949B2" w16cid:durableId="241AF5E7"/>
  <w16cid:commentId w16cid:paraId="17603552" w16cid:durableId="241AF690"/>
  <w16cid:commentId w16cid:paraId="79129762" w16cid:durableId="241AF7B4"/>
  <w16cid:commentId w16cid:paraId="0239F550" w16cid:durableId="241AF7F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EC4" w:rsidRDefault="00CB2EC4">
      <w:pPr>
        <w:spacing w:after="0" w:line="240" w:lineRule="auto"/>
      </w:pPr>
      <w:r>
        <w:separator/>
      </w:r>
    </w:p>
  </w:endnote>
  <w:endnote w:type="continuationSeparator" w:id="1">
    <w:p w:rsidR="00CB2EC4" w:rsidRDefault="00CB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35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1AB" w:rsidRDefault="00E0131D">
        <w:pPr>
          <w:pStyle w:val="Footer"/>
          <w:jc w:val="right"/>
        </w:pPr>
        <w:fldSimple w:instr=" PAGE   \* MERGEFORMAT ">
          <w:r w:rsidR="006B070D">
            <w:rPr>
              <w:noProof/>
            </w:rPr>
            <w:t>2</w:t>
          </w:r>
        </w:fldSimple>
      </w:p>
    </w:sdtContent>
  </w:sdt>
  <w:p w:rsidR="001861AB" w:rsidRDefault="001861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EC4" w:rsidRDefault="00CB2EC4">
      <w:pPr>
        <w:spacing w:after="0" w:line="240" w:lineRule="auto"/>
      </w:pPr>
      <w:r>
        <w:separator/>
      </w:r>
    </w:p>
  </w:footnote>
  <w:footnote w:type="continuationSeparator" w:id="1">
    <w:p w:rsidR="00CB2EC4" w:rsidRDefault="00CB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DE4"/>
    <w:multiLevelType w:val="hybridMultilevel"/>
    <w:tmpl w:val="82B278A2"/>
    <w:lvl w:ilvl="0" w:tplc="2C7634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52FB"/>
    <w:multiLevelType w:val="hybridMultilevel"/>
    <w:tmpl w:val="A664C86A"/>
    <w:lvl w:ilvl="0" w:tplc="6C7C3D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B037E88"/>
    <w:multiLevelType w:val="hybridMultilevel"/>
    <w:tmpl w:val="8064DC08"/>
    <w:lvl w:ilvl="0" w:tplc="2C76346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020"/>
    <w:multiLevelType w:val="hybridMultilevel"/>
    <w:tmpl w:val="5CA22C68"/>
    <w:lvl w:ilvl="0" w:tplc="56D6C878">
      <w:start w:val="1"/>
      <w:numFmt w:val="decimal"/>
      <w:lvlText w:val="%1."/>
      <w:lvlJc w:val="left"/>
      <w:pPr>
        <w:ind w:left="420" w:hanging="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51157"/>
    <w:multiLevelType w:val="hybridMultilevel"/>
    <w:tmpl w:val="27844C10"/>
    <w:lvl w:ilvl="0" w:tplc="464C417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6473757"/>
    <w:multiLevelType w:val="hybridMultilevel"/>
    <w:tmpl w:val="672EB4D4"/>
    <w:lvl w:ilvl="0" w:tplc="45067B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67BBF"/>
    <w:multiLevelType w:val="hybridMultilevel"/>
    <w:tmpl w:val="FEB6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2570A"/>
    <w:multiLevelType w:val="hybridMultilevel"/>
    <w:tmpl w:val="D2082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E717A"/>
    <w:multiLevelType w:val="hybridMultilevel"/>
    <w:tmpl w:val="8B2A70A0"/>
    <w:lvl w:ilvl="0" w:tplc="B776BED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B96901"/>
    <w:multiLevelType w:val="hybridMultilevel"/>
    <w:tmpl w:val="54F2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A1327"/>
    <w:multiLevelType w:val="hybridMultilevel"/>
    <w:tmpl w:val="DA663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3F3C"/>
    <w:multiLevelType w:val="hybridMultilevel"/>
    <w:tmpl w:val="3EA6E75E"/>
    <w:lvl w:ilvl="0" w:tplc="B71C3F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E21B8"/>
    <w:multiLevelType w:val="hybridMultilevel"/>
    <w:tmpl w:val="20EC7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03BB4"/>
    <w:multiLevelType w:val="hybridMultilevel"/>
    <w:tmpl w:val="D66C81D0"/>
    <w:lvl w:ilvl="0" w:tplc="33F2509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E783A"/>
    <w:multiLevelType w:val="hybridMultilevel"/>
    <w:tmpl w:val="262E2C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9694E"/>
    <w:multiLevelType w:val="hybridMultilevel"/>
    <w:tmpl w:val="3C805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76379"/>
    <w:multiLevelType w:val="hybridMultilevel"/>
    <w:tmpl w:val="ADE6F35A"/>
    <w:lvl w:ilvl="0" w:tplc="77624E56">
      <w:start w:val="1"/>
      <w:numFmt w:val="bullet"/>
      <w:lvlText w:val="-"/>
      <w:lvlJc w:val="left"/>
      <w:pPr>
        <w:ind w:left="4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21E764A"/>
    <w:multiLevelType w:val="hybridMultilevel"/>
    <w:tmpl w:val="FC98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44CBE"/>
    <w:multiLevelType w:val="hybridMultilevel"/>
    <w:tmpl w:val="C8FE3638"/>
    <w:lvl w:ilvl="0" w:tplc="69705DE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ACF5965"/>
    <w:multiLevelType w:val="hybridMultilevel"/>
    <w:tmpl w:val="27844C10"/>
    <w:lvl w:ilvl="0" w:tplc="464C417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6B4214BA"/>
    <w:multiLevelType w:val="hybridMultilevel"/>
    <w:tmpl w:val="27844C10"/>
    <w:lvl w:ilvl="0" w:tplc="464C417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7AA02305"/>
    <w:multiLevelType w:val="hybridMultilevel"/>
    <w:tmpl w:val="7D62996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>
    <w:nsid w:val="7AF37DDB"/>
    <w:multiLevelType w:val="hybridMultilevel"/>
    <w:tmpl w:val="28DE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7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22"/>
  </w:num>
  <w:num w:numId="11">
    <w:abstractNumId w:val="9"/>
  </w:num>
  <w:num w:numId="12">
    <w:abstractNumId w:val="3"/>
  </w:num>
  <w:num w:numId="13">
    <w:abstractNumId w:val="21"/>
  </w:num>
  <w:num w:numId="14">
    <w:abstractNumId w:val="15"/>
  </w:num>
  <w:num w:numId="15">
    <w:abstractNumId w:val="2"/>
  </w:num>
  <w:num w:numId="16">
    <w:abstractNumId w:val="14"/>
  </w:num>
  <w:num w:numId="17">
    <w:abstractNumId w:val="0"/>
  </w:num>
  <w:num w:numId="18">
    <w:abstractNumId w:val="1"/>
  </w:num>
  <w:num w:numId="19">
    <w:abstractNumId w:val="16"/>
  </w:num>
  <w:num w:numId="20">
    <w:abstractNumId w:val="20"/>
  </w:num>
  <w:num w:numId="21">
    <w:abstractNumId w:val="19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1B6"/>
    <w:rsid w:val="00007FE3"/>
    <w:rsid w:val="00013329"/>
    <w:rsid w:val="00015F5D"/>
    <w:rsid w:val="00023CAF"/>
    <w:rsid w:val="0002489F"/>
    <w:rsid w:val="000307E7"/>
    <w:rsid w:val="0003169A"/>
    <w:rsid w:val="0003199B"/>
    <w:rsid w:val="00041758"/>
    <w:rsid w:val="00041F9F"/>
    <w:rsid w:val="00057A05"/>
    <w:rsid w:val="00064128"/>
    <w:rsid w:val="000740A8"/>
    <w:rsid w:val="0007667C"/>
    <w:rsid w:val="00082F13"/>
    <w:rsid w:val="00084E2A"/>
    <w:rsid w:val="0009399A"/>
    <w:rsid w:val="00093FDF"/>
    <w:rsid w:val="000A0458"/>
    <w:rsid w:val="000B4A34"/>
    <w:rsid w:val="000B7390"/>
    <w:rsid w:val="000C1AF9"/>
    <w:rsid w:val="000C443F"/>
    <w:rsid w:val="000D1F90"/>
    <w:rsid w:val="000D5FB5"/>
    <w:rsid w:val="000D71AF"/>
    <w:rsid w:val="00111084"/>
    <w:rsid w:val="00126CF5"/>
    <w:rsid w:val="00145758"/>
    <w:rsid w:val="00155474"/>
    <w:rsid w:val="00164276"/>
    <w:rsid w:val="00173690"/>
    <w:rsid w:val="00175D99"/>
    <w:rsid w:val="00183C63"/>
    <w:rsid w:val="001861AB"/>
    <w:rsid w:val="00190658"/>
    <w:rsid w:val="001943B6"/>
    <w:rsid w:val="001B62B1"/>
    <w:rsid w:val="001B6E81"/>
    <w:rsid w:val="001E3DEF"/>
    <w:rsid w:val="001E50F7"/>
    <w:rsid w:val="001F1B11"/>
    <w:rsid w:val="00206B75"/>
    <w:rsid w:val="0021199F"/>
    <w:rsid w:val="00234521"/>
    <w:rsid w:val="002544C2"/>
    <w:rsid w:val="002575D0"/>
    <w:rsid w:val="00260242"/>
    <w:rsid w:val="00281C6A"/>
    <w:rsid w:val="00282309"/>
    <w:rsid w:val="002923CE"/>
    <w:rsid w:val="00294A82"/>
    <w:rsid w:val="002A37BA"/>
    <w:rsid w:val="002A699F"/>
    <w:rsid w:val="002B0CCE"/>
    <w:rsid w:val="002B4CDF"/>
    <w:rsid w:val="002C41BA"/>
    <w:rsid w:val="002D20CD"/>
    <w:rsid w:val="002D49E4"/>
    <w:rsid w:val="002E25FC"/>
    <w:rsid w:val="002E3FEF"/>
    <w:rsid w:val="002E576D"/>
    <w:rsid w:val="002E7E16"/>
    <w:rsid w:val="002F5CFF"/>
    <w:rsid w:val="00301771"/>
    <w:rsid w:val="00310DA4"/>
    <w:rsid w:val="003141F4"/>
    <w:rsid w:val="0031671B"/>
    <w:rsid w:val="00317752"/>
    <w:rsid w:val="00322078"/>
    <w:rsid w:val="00341CF3"/>
    <w:rsid w:val="00354AC2"/>
    <w:rsid w:val="003667DF"/>
    <w:rsid w:val="00366DC8"/>
    <w:rsid w:val="00370152"/>
    <w:rsid w:val="003731A3"/>
    <w:rsid w:val="003811CB"/>
    <w:rsid w:val="003830EC"/>
    <w:rsid w:val="003831DF"/>
    <w:rsid w:val="00386228"/>
    <w:rsid w:val="003949D6"/>
    <w:rsid w:val="003A4C52"/>
    <w:rsid w:val="003B10E9"/>
    <w:rsid w:val="003B4688"/>
    <w:rsid w:val="003D33BD"/>
    <w:rsid w:val="003E5BC0"/>
    <w:rsid w:val="004051F1"/>
    <w:rsid w:val="004121A3"/>
    <w:rsid w:val="00421227"/>
    <w:rsid w:val="00423BDE"/>
    <w:rsid w:val="00444B92"/>
    <w:rsid w:val="004474CE"/>
    <w:rsid w:val="00454BD7"/>
    <w:rsid w:val="004617B0"/>
    <w:rsid w:val="00470621"/>
    <w:rsid w:val="004970E3"/>
    <w:rsid w:val="004A0427"/>
    <w:rsid w:val="004A266C"/>
    <w:rsid w:val="004B38E6"/>
    <w:rsid w:val="004B5E02"/>
    <w:rsid w:val="004C63DF"/>
    <w:rsid w:val="004D356E"/>
    <w:rsid w:val="004D3735"/>
    <w:rsid w:val="004D57E3"/>
    <w:rsid w:val="004D73BD"/>
    <w:rsid w:val="004E1413"/>
    <w:rsid w:val="004E4579"/>
    <w:rsid w:val="00501382"/>
    <w:rsid w:val="00510E18"/>
    <w:rsid w:val="00514F31"/>
    <w:rsid w:val="00541A07"/>
    <w:rsid w:val="00554C47"/>
    <w:rsid w:val="00563B6B"/>
    <w:rsid w:val="00582B7C"/>
    <w:rsid w:val="00593F2C"/>
    <w:rsid w:val="005962CD"/>
    <w:rsid w:val="005D087D"/>
    <w:rsid w:val="005E3B5C"/>
    <w:rsid w:val="005E64E6"/>
    <w:rsid w:val="005F1B7A"/>
    <w:rsid w:val="005F54D5"/>
    <w:rsid w:val="006054F4"/>
    <w:rsid w:val="00626961"/>
    <w:rsid w:val="00645FD4"/>
    <w:rsid w:val="00674A4D"/>
    <w:rsid w:val="006779A6"/>
    <w:rsid w:val="00682A3D"/>
    <w:rsid w:val="00682C53"/>
    <w:rsid w:val="00684221"/>
    <w:rsid w:val="006B070D"/>
    <w:rsid w:val="006C23BA"/>
    <w:rsid w:val="006D03DD"/>
    <w:rsid w:val="006F1ECD"/>
    <w:rsid w:val="006F1FE7"/>
    <w:rsid w:val="00705953"/>
    <w:rsid w:val="00706A72"/>
    <w:rsid w:val="00711FA3"/>
    <w:rsid w:val="00721560"/>
    <w:rsid w:val="007327DE"/>
    <w:rsid w:val="007376F2"/>
    <w:rsid w:val="00784F1E"/>
    <w:rsid w:val="00792AEB"/>
    <w:rsid w:val="0079631A"/>
    <w:rsid w:val="007B3082"/>
    <w:rsid w:val="007B7CEA"/>
    <w:rsid w:val="007C1F06"/>
    <w:rsid w:val="007D2E51"/>
    <w:rsid w:val="007E39D1"/>
    <w:rsid w:val="007F770E"/>
    <w:rsid w:val="008034AF"/>
    <w:rsid w:val="00817714"/>
    <w:rsid w:val="00830D6C"/>
    <w:rsid w:val="00833735"/>
    <w:rsid w:val="00855A19"/>
    <w:rsid w:val="00870D69"/>
    <w:rsid w:val="008931EB"/>
    <w:rsid w:val="00893EDE"/>
    <w:rsid w:val="008A3AFD"/>
    <w:rsid w:val="008A6355"/>
    <w:rsid w:val="008C388E"/>
    <w:rsid w:val="008D650A"/>
    <w:rsid w:val="008E5224"/>
    <w:rsid w:val="008F2E62"/>
    <w:rsid w:val="009043D3"/>
    <w:rsid w:val="00907255"/>
    <w:rsid w:val="00926895"/>
    <w:rsid w:val="0093079E"/>
    <w:rsid w:val="009431D1"/>
    <w:rsid w:val="00944EDD"/>
    <w:rsid w:val="00953F46"/>
    <w:rsid w:val="009631B3"/>
    <w:rsid w:val="00970CDB"/>
    <w:rsid w:val="00982D75"/>
    <w:rsid w:val="00987CD0"/>
    <w:rsid w:val="00990C54"/>
    <w:rsid w:val="009929B8"/>
    <w:rsid w:val="009972C1"/>
    <w:rsid w:val="009A06AF"/>
    <w:rsid w:val="009A17B3"/>
    <w:rsid w:val="009A71DD"/>
    <w:rsid w:val="009C03CC"/>
    <w:rsid w:val="009C3231"/>
    <w:rsid w:val="009D2077"/>
    <w:rsid w:val="009D3868"/>
    <w:rsid w:val="009E3C6F"/>
    <w:rsid w:val="00A0018B"/>
    <w:rsid w:val="00A10D14"/>
    <w:rsid w:val="00A114A9"/>
    <w:rsid w:val="00A11C1C"/>
    <w:rsid w:val="00A145A6"/>
    <w:rsid w:val="00A14B16"/>
    <w:rsid w:val="00A2361B"/>
    <w:rsid w:val="00A2782D"/>
    <w:rsid w:val="00A3619A"/>
    <w:rsid w:val="00A36B20"/>
    <w:rsid w:val="00A46978"/>
    <w:rsid w:val="00A51327"/>
    <w:rsid w:val="00A527A4"/>
    <w:rsid w:val="00A874D2"/>
    <w:rsid w:val="00A878F3"/>
    <w:rsid w:val="00AA2F96"/>
    <w:rsid w:val="00AA4AB1"/>
    <w:rsid w:val="00AA7C86"/>
    <w:rsid w:val="00AC2F94"/>
    <w:rsid w:val="00AD571D"/>
    <w:rsid w:val="00B00CEE"/>
    <w:rsid w:val="00B03E3B"/>
    <w:rsid w:val="00B06DA5"/>
    <w:rsid w:val="00B10F7C"/>
    <w:rsid w:val="00B27227"/>
    <w:rsid w:val="00B332BB"/>
    <w:rsid w:val="00B3540D"/>
    <w:rsid w:val="00B44F86"/>
    <w:rsid w:val="00B47E43"/>
    <w:rsid w:val="00B50CA6"/>
    <w:rsid w:val="00B529FD"/>
    <w:rsid w:val="00B56847"/>
    <w:rsid w:val="00B6737C"/>
    <w:rsid w:val="00B83724"/>
    <w:rsid w:val="00B877C6"/>
    <w:rsid w:val="00B93BB4"/>
    <w:rsid w:val="00B955F3"/>
    <w:rsid w:val="00BB3136"/>
    <w:rsid w:val="00BE72A1"/>
    <w:rsid w:val="00BF26B0"/>
    <w:rsid w:val="00C133A4"/>
    <w:rsid w:val="00C318E9"/>
    <w:rsid w:val="00C4056E"/>
    <w:rsid w:val="00C54931"/>
    <w:rsid w:val="00C6356D"/>
    <w:rsid w:val="00C66791"/>
    <w:rsid w:val="00C671B6"/>
    <w:rsid w:val="00C8452E"/>
    <w:rsid w:val="00C851EA"/>
    <w:rsid w:val="00CA7E86"/>
    <w:rsid w:val="00CB2EC4"/>
    <w:rsid w:val="00CC1A01"/>
    <w:rsid w:val="00D000BC"/>
    <w:rsid w:val="00D17203"/>
    <w:rsid w:val="00D2088B"/>
    <w:rsid w:val="00D2589A"/>
    <w:rsid w:val="00D266D4"/>
    <w:rsid w:val="00D3206E"/>
    <w:rsid w:val="00D362E8"/>
    <w:rsid w:val="00D42669"/>
    <w:rsid w:val="00D44C60"/>
    <w:rsid w:val="00D56692"/>
    <w:rsid w:val="00D613AF"/>
    <w:rsid w:val="00D625B8"/>
    <w:rsid w:val="00D639F2"/>
    <w:rsid w:val="00D663CE"/>
    <w:rsid w:val="00D81A2D"/>
    <w:rsid w:val="00D900AB"/>
    <w:rsid w:val="00D92D46"/>
    <w:rsid w:val="00D931EA"/>
    <w:rsid w:val="00D94C4E"/>
    <w:rsid w:val="00DB5FEA"/>
    <w:rsid w:val="00DD174C"/>
    <w:rsid w:val="00DE629F"/>
    <w:rsid w:val="00E0131D"/>
    <w:rsid w:val="00E01921"/>
    <w:rsid w:val="00E249ED"/>
    <w:rsid w:val="00E32065"/>
    <w:rsid w:val="00E33E3E"/>
    <w:rsid w:val="00E4004D"/>
    <w:rsid w:val="00E62348"/>
    <w:rsid w:val="00E67BDD"/>
    <w:rsid w:val="00E908AB"/>
    <w:rsid w:val="00E909EF"/>
    <w:rsid w:val="00E91C1C"/>
    <w:rsid w:val="00E96F31"/>
    <w:rsid w:val="00ED467E"/>
    <w:rsid w:val="00F160F2"/>
    <w:rsid w:val="00F17F03"/>
    <w:rsid w:val="00F244E9"/>
    <w:rsid w:val="00F3128F"/>
    <w:rsid w:val="00F34AAE"/>
    <w:rsid w:val="00F35EDD"/>
    <w:rsid w:val="00F515D8"/>
    <w:rsid w:val="00F768BC"/>
    <w:rsid w:val="00F82F05"/>
    <w:rsid w:val="00F947BF"/>
    <w:rsid w:val="00FA78CB"/>
    <w:rsid w:val="00FB0E3E"/>
    <w:rsid w:val="00FB63B7"/>
    <w:rsid w:val="00FE36CE"/>
    <w:rsid w:val="00FF63A6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71B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671B6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A27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4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4E9"/>
    <w:rPr>
      <w:b/>
      <w:bCs/>
      <w:sz w:val="20"/>
      <w:szCs w:val="20"/>
    </w:rPr>
  </w:style>
  <w:style w:type="paragraph" w:styleId="NoSpacing">
    <w:name w:val="No Spacing"/>
    <w:uiPriority w:val="1"/>
    <w:qFormat/>
    <w:rsid w:val="003167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5535-9322-4A22-89C1-E08C3EA1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 Brnovic</dc:creator>
  <cp:lastModifiedBy>AnaVulevic</cp:lastModifiedBy>
  <cp:revision>2</cp:revision>
  <cp:lastPrinted>2021-04-12T08:34:00Z</cp:lastPrinted>
  <dcterms:created xsi:type="dcterms:W3CDTF">2021-06-08T09:33:00Z</dcterms:created>
  <dcterms:modified xsi:type="dcterms:W3CDTF">2021-06-08T09:33:00Z</dcterms:modified>
</cp:coreProperties>
</file>