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 w:rsidRPr="00FB36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-18415</wp:posOffset>
            </wp:positionV>
            <wp:extent cx="19431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        ``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ВОДОВОД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И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КАНАЛИЗАЦИЈА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``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ДОО</w:t>
      </w: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                           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Б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Е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Р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Н</w:t>
      </w:r>
      <w:r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Е</w:t>
      </w: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C59E5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П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Р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О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Г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Р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М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Р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Д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И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Ф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И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Н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Н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С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И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Ј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С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К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И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П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Л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Н</w:t>
      </w: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C59E5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П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О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С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Л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О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В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Њ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З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2016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годину</w:t>
      </w: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C59E5" w:rsidP="00FB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Беране</w:t>
      </w:r>
      <w:r w:rsid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децембар</w:t>
      </w:r>
      <w:r w:rsidR="00FB367F" w:rsidRPr="00FB367F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2015.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године</w:t>
      </w: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FB367F" w:rsidRPr="00FB367F" w:rsidRDefault="00FB367F" w:rsidP="00FB367F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FB367F" w:rsidRPr="00FB367F" w:rsidRDefault="00FB367F" w:rsidP="00FB367F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B7A44" w:rsidRPr="004438C8" w:rsidRDefault="00FC5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Увод</w:t>
      </w:r>
    </w:p>
    <w:p w:rsidR="00EB2A9B" w:rsidRPr="004438C8" w:rsidRDefault="00FC59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Правни</w:t>
      </w:r>
      <w:r w:rsidR="00EB2A9B" w:rsidRPr="004438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статус</w:t>
      </w:r>
      <w:r w:rsidR="00EB2A9B" w:rsidRPr="004438C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организација</w:t>
      </w:r>
      <w:r w:rsidR="00EB2A9B" w:rsidRPr="004438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EB2A9B" w:rsidRPr="004438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кадровска</w:t>
      </w:r>
      <w:r w:rsidR="006757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структура</w:t>
      </w:r>
    </w:p>
    <w:p w:rsidR="00D44096" w:rsidRDefault="00FC59E5" w:rsidP="00D44096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Оснивачи</w:t>
      </w:r>
      <w:r w:rsidR="00505752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власник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Друштва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са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ограниченом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одговорношћу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>„</w:t>
      </w:r>
      <w:r>
        <w:rPr>
          <w:rFonts w:ascii="Times New Roman" w:hAnsi="Times New Roman" w:cs="Times New Roman"/>
          <w:iCs/>
          <w:sz w:val="28"/>
          <w:szCs w:val="28"/>
        </w:rPr>
        <w:t>Водовод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канализација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“ </w:t>
      </w:r>
      <w:r>
        <w:rPr>
          <w:rFonts w:ascii="Times New Roman" w:hAnsi="Times New Roman" w:cs="Times New Roman"/>
          <w:iCs/>
          <w:sz w:val="28"/>
          <w:szCs w:val="28"/>
        </w:rPr>
        <w:t>је</w:t>
      </w:r>
      <w:r w:rsidR="005843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Општина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Беране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75750" w:rsidRPr="004438C8" w:rsidRDefault="00675750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00E01" w:rsidRPr="004438C8" w:rsidRDefault="00FC59E5" w:rsidP="00D44096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Друштва</w:t>
      </w:r>
      <w:r w:rsidR="00675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>:</w:t>
      </w:r>
    </w:p>
    <w:p w:rsidR="00D44096" w:rsidRPr="004438C8" w:rsidRDefault="00D44096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4096" w:rsidRPr="004438C8" w:rsidRDefault="00FC59E5" w:rsidP="008437B2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Одбор</w:t>
      </w:r>
      <w:r w:rsidR="00566B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директора</w:t>
      </w:r>
      <w:r w:rsidR="00CF4ED2" w:rsidRPr="004438C8">
        <w:rPr>
          <w:rFonts w:ascii="Times New Roman" w:hAnsi="Times New Roman" w:cs="Times New Roman"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</w:rPr>
        <w:t>као</w:t>
      </w:r>
      <w:r w:rsidR="00CF4ED2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</w:t>
      </w:r>
      <w:r w:rsidR="00CF4ED2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управљања</w:t>
      </w:r>
      <w:r w:rsidR="00CF4ED2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</w:p>
    <w:p w:rsidR="00D44096" w:rsidRPr="004438C8" w:rsidRDefault="00FC59E5" w:rsidP="008437B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Извршни</w:t>
      </w:r>
      <w:r w:rsidR="00566B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директор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</w:rPr>
        <w:t>као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руковођења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4096" w:rsidRPr="004438C8" w:rsidRDefault="00D44096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437B2" w:rsidRPr="004438C8" w:rsidRDefault="00FC59E5" w:rsidP="00D44096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Одбор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директора</w:t>
      </w:r>
      <w:r w:rsidR="008437B2" w:rsidRPr="004438C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853A8" w:rsidRPr="004438C8" w:rsidRDefault="004853A8" w:rsidP="00D44096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37B2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Доноси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Статут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Друштва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уз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сагласност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Оснивача</w:t>
      </w:r>
      <w:r w:rsidR="008437B2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9D50B7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Доноси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општа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акта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Друштва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осим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аката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које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доноси</w:t>
      </w:r>
      <w:r w:rsidR="00566B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Оснивач</w:t>
      </w:r>
      <w:r w:rsidR="00454AA2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454AA2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Утврђује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пословну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политику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Друштва</w:t>
      </w:r>
      <w:r w:rsidR="002B5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B5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доноси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акта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њено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извршење</w:t>
      </w:r>
      <w:r w:rsidR="006378F1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378F1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Усваја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годишње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програме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рада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Друштва</w:t>
      </w:r>
      <w:r w:rsidR="00DB7F76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DB7F76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Усваја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годишње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финансијске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исказе</w:t>
      </w:r>
      <w:r w:rsidR="00D768BE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768BE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извјештаје</w:t>
      </w:r>
      <w:r w:rsidR="00D768BE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768BE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раду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Друштва</w:t>
      </w:r>
      <w:r w:rsidR="00D768BE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4853A8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Предлаже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Оснивачу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смањење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односно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повећање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основног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капитала</w:t>
      </w:r>
      <w:r w:rsidR="004853A8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4853A8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Предлаже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Оснивачу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расподјелу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добити</w:t>
      </w:r>
      <w:r w:rsidR="005A7C16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A7C16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покриће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губитака</w:t>
      </w:r>
      <w:r w:rsidR="002F393E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2F393E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Утврђује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цјеновник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услуга</w:t>
      </w:r>
      <w:r w:rsidR="002F393E"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2F393E" w:rsidRPr="004438C8" w:rsidRDefault="00FC59E5" w:rsidP="008437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врши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друге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послове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складу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прописима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СтатутомДруштва</w:t>
      </w:r>
      <w:r w:rsidR="007542FA" w:rsidRPr="004438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7A36" w:rsidRPr="004438C8" w:rsidRDefault="00857A36" w:rsidP="00857A36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7A36" w:rsidRPr="004438C8" w:rsidRDefault="00FC59E5" w:rsidP="00857A36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Одбор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директора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има</w:t>
      </w:r>
      <w:r w:rsidR="00465A4F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пет</w:t>
      </w:r>
      <w:r w:rsidR="00465A4F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чланова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од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којих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четири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именује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Оснивач</w:t>
      </w:r>
      <w:r w:rsidR="00857A36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57A36"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једног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Синдикална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организација</w:t>
      </w:r>
      <w:r w:rsidR="005C3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Друштва</w:t>
      </w:r>
      <w:r w:rsidR="00857A36" w:rsidRPr="004438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324EE" w:rsidRPr="004438C8" w:rsidRDefault="00F324EE" w:rsidP="00D44096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23A0" w:rsidRPr="004438C8" w:rsidRDefault="00FC59E5" w:rsidP="004D2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Извршн</w:t>
      </w:r>
      <w:r w:rsidR="005C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идиректор</w:t>
      </w:r>
      <w:r w:rsidR="004D23A0" w:rsidRPr="004438C8">
        <w:rPr>
          <w:rFonts w:ascii="Times New Roman" w:hAnsi="Times New Roman" w:cs="Times New Roman"/>
          <w:sz w:val="28"/>
          <w:szCs w:val="28"/>
        </w:rPr>
        <w:t>:</w:t>
      </w:r>
    </w:p>
    <w:p w:rsidR="000C2965" w:rsidRPr="004438C8" w:rsidRDefault="000C2965" w:rsidP="004D2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A0" w:rsidRPr="004438C8" w:rsidRDefault="00FC59E5" w:rsidP="000C29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заступа</w:t>
      </w:r>
      <w:r w:rsidR="005C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представља</w:t>
      </w:r>
      <w:r w:rsidR="005C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Друштво</w:t>
      </w:r>
      <w:r w:rsidR="004D23A0" w:rsidRPr="004438C8">
        <w:rPr>
          <w:rFonts w:ascii="Times New Roman" w:hAnsi="Times New Roman" w:cs="Times New Roman"/>
          <w:sz w:val="28"/>
          <w:szCs w:val="28"/>
        </w:rPr>
        <w:t>,</w:t>
      </w:r>
    </w:p>
    <w:p w:rsidR="004D23A0" w:rsidRPr="004438C8" w:rsidRDefault="00FC59E5" w:rsidP="000C29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организује</w:t>
      </w:r>
      <w:r w:rsidR="000C2965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2965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послове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Друштва</w:t>
      </w:r>
      <w:r w:rsidR="004D23A0" w:rsidRPr="004438C8">
        <w:rPr>
          <w:rFonts w:ascii="Times New Roman" w:hAnsi="Times New Roman" w:cs="Times New Roman"/>
          <w:sz w:val="28"/>
          <w:szCs w:val="28"/>
        </w:rPr>
        <w:t>,</w:t>
      </w:r>
    </w:p>
    <w:p w:rsidR="004D23A0" w:rsidRPr="004438C8" w:rsidRDefault="00FC59E5" w:rsidP="000C29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одговара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законитост</w:t>
      </w:r>
      <w:r w:rsidR="00222817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2817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Друштва</w:t>
      </w:r>
      <w:r w:rsidR="004D23A0" w:rsidRPr="004438C8">
        <w:rPr>
          <w:rFonts w:ascii="Times New Roman" w:hAnsi="Times New Roman" w:cs="Times New Roman"/>
          <w:sz w:val="28"/>
          <w:szCs w:val="28"/>
        </w:rPr>
        <w:t>,</w:t>
      </w:r>
    </w:p>
    <w:p w:rsidR="004D23A0" w:rsidRPr="004438C8" w:rsidRDefault="00FC59E5" w:rsidP="000C29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извршава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одлуке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Управног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одбора</w:t>
      </w:r>
      <w:r w:rsidR="004D23A0" w:rsidRPr="004438C8">
        <w:rPr>
          <w:rFonts w:ascii="Times New Roman" w:hAnsi="Times New Roman" w:cs="Times New Roman"/>
          <w:sz w:val="28"/>
          <w:szCs w:val="28"/>
        </w:rPr>
        <w:t>,</w:t>
      </w:r>
    </w:p>
    <w:p w:rsidR="004D23A0" w:rsidRPr="004438C8" w:rsidRDefault="00FC59E5" w:rsidP="00D27B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предлаже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које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доноси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Одбор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одговоран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спровођење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одлука</w:t>
      </w:r>
      <w:r w:rsidR="00D27BED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BED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аката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Одбора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9108D8" w:rsidRPr="004438C8">
        <w:rPr>
          <w:rFonts w:ascii="Times New Roman" w:hAnsi="Times New Roman" w:cs="Times New Roman"/>
          <w:sz w:val="28"/>
          <w:szCs w:val="28"/>
        </w:rPr>
        <w:t>,</w:t>
      </w:r>
    </w:p>
    <w:p w:rsidR="00426898" w:rsidRPr="004438C8" w:rsidRDefault="00FC59E5" w:rsidP="004D2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одлучује</w:t>
      </w:r>
      <w:r w:rsidR="009108D8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питањима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везаним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текући</w:t>
      </w:r>
      <w:r w:rsidR="001D5F04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пословање</w:t>
      </w:r>
      <w:r w:rsidR="00E6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Друштва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23A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складу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Статутом</w:t>
      </w:r>
      <w:r w:rsidR="001A3F70" w:rsidRPr="00443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3F70" w:rsidRPr="0044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прописима</w:t>
      </w:r>
      <w:r w:rsidR="004D02BA" w:rsidRPr="004438C8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898" w:rsidRPr="004438C8" w:rsidRDefault="00426898" w:rsidP="0042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26898" w:rsidRPr="004438C8" w:rsidRDefault="00FC59E5" w:rsidP="0042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Директора</w:t>
      </w:r>
      <w:r w:rsidR="00C87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именује</w:t>
      </w:r>
      <w:r w:rsidR="00426898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426898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разрјешава</w:t>
      </w:r>
      <w:r w:rsidR="00C87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Управни</w:t>
      </w:r>
      <w:r w:rsidR="00C87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одбор</w:t>
      </w:r>
      <w:r w:rsidR="00C87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уз</w:t>
      </w:r>
      <w:r w:rsidR="00C87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сагласност</w:t>
      </w:r>
      <w:r w:rsidR="00C87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Оснивача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>.</w:t>
      </w:r>
    </w:p>
    <w:p w:rsidR="00741EA6" w:rsidRPr="004438C8" w:rsidRDefault="00741EA6" w:rsidP="0042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41EA6" w:rsidRPr="004438C8" w:rsidRDefault="00FC59E5" w:rsidP="0074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lastRenderedPageBreak/>
        <w:t>Организовано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снабдијевање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питком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водом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становника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Берана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преко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водоводног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система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почело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је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септембра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1962. </w:t>
      </w:r>
      <w:r w:rsidR="00E67C4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одине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када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су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послије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скоро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двогодишње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изградње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инвеститори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Општина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привредни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субјекти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са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Рудеша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уступили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на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управљање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кориштење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питки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водовод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Комуналној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пијачној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управи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". </w:t>
      </w:r>
    </w:p>
    <w:p w:rsidR="000047EE" w:rsidRPr="004438C8" w:rsidRDefault="000047EE" w:rsidP="0074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</w:p>
    <w:p w:rsidR="00741EA6" w:rsidRPr="004438C8" w:rsidRDefault="00FC59E5" w:rsidP="0074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Послије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бројних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организационих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промјена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од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августа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2014.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године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градским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водоводом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газдује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управља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Друштво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са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ограниченом</w:t>
      </w:r>
      <w:r w:rsidR="00EF44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одговорношћу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Водовод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канализација</w:t>
      </w:r>
      <w:r w:rsidR="00741EA6" w:rsidRPr="004438C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".</w:t>
      </w:r>
    </w:p>
    <w:p w:rsidR="00D44096" w:rsidRPr="004438C8" w:rsidRDefault="00D44096" w:rsidP="0042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5F4" w:rsidRPr="004438C8" w:rsidRDefault="00FC59E5" w:rsidP="00D44096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Сходно</w:t>
      </w:r>
      <w:r w:rsidR="00EF445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важећем</w:t>
      </w:r>
      <w:r w:rsidR="00EF445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Правилнику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организацији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систематизацији</w:t>
      </w:r>
      <w:r w:rsidR="00EF445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радних</w:t>
      </w:r>
      <w:r w:rsidR="00EF445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мјеста</w:t>
      </w:r>
      <w:r w:rsidR="00EF445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Друштво</w:t>
      </w:r>
      <w:r w:rsidR="006A06CF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је</w:t>
      </w:r>
      <w:r w:rsidR="006A06CF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организовано</w:t>
      </w:r>
      <w:r w:rsidR="006A06CF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6A06CF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три</w:t>
      </w:r>
      <w:r w:rsidR="00EF445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сектора</w:t>
      </w:r>
      <w:r w:rsidR="00D44096" w:rsidRPr="004438C8">
        <w:rPr>
          <w:rFonts w:ascii="Times New Roman" w:hAnsi="Times New Roman" w:cs="Times New Roman"/>
          <w:iCs/>
          <w:sz w:val="28"/>
          <w:szCs w:val="28"/>
        </w:rPr>
        <w:t>:</w:t>
      </w:r>
    </w:p>
    <w:p w:rsidR="00D44096" w:rsidRPr="004438C8" w:rsidRDefault="00D44096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4096" w:rsidRPr="004438C8" w:rsidRDefault="006A06CF" w:rsidP="00D44096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Сектор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опште</w:t>
      </w:r>
      <w:r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правне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послове</w:t>
      </w:r>
      <w:r w:rsidRPr="004438C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A06CF" w:rsidRPr="004438C8" w:rsidRDefault="006A06CF" w:rsidP="00D44096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  <w:r w:rsidRPr="004438C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7387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Финансијско</w:t>
      </w:r>
      <w:r w:rsidR="00C7387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комерцијални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сектор</w:t>
      </w:r>
      <w:r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и</w:t>
      </w:r>
    </w:p>
    <w:p w:rsidR="00D44096" w:rsidRPr="004438C8" w:rsidRDefault="006A06CF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438C8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Сектор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техничке</w:t>
      </w:r>
      <w:r w:rsidR="00EF4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59E5">
        <w:rPr>
          <w:rFonts w:ascii="Times New Roman" w:hAnsi="Times New Roman" w:cs="Times New Roman"/>
          <w:bCs/>
          <w:iCs/>
          <w:sz w:val="28"/>
          <w:szCs w:val="28"/>
        </w:rPr>
        <w:t>послове</w:t>
      </w:r>
      <w:r w:rsidR="00FD115E" w:rsidRPr="004438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4096" w:rsidRPr="004438C8" w:rsidRDefault="00D44096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4096" w:rsidRPr="004438C8" w:rsidRDefault="00FC59E5" w:rsidP="00D44096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Службе</w:t>
      </w:r>
      <w:r w:rsidR="00D7531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сљедећи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ниво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организације</w:t>
      </w:r>
      <w:r w:rsidR="00C0226D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C0226D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C0226D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њима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организовани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послови</w:t>
      </w:r>
      <w:r w:rsidR="00C0226D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C0226D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оквиру</w:t>
      </w:r>
      <w:r w:rsidR="00470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Сектора</w:t>
      </w:r>
      <w:r w:rsidR="00C0226D" w:rsidRPr="004438C8">
        <w:rPr>
          <w:rFonts w:ascii="Times New Roman" w:hAnsi="Times New Roman" w:cs="Times New Roman"/>
          <w:iCs/>
          <w:sz w:val="28"/>
          <w:szCs w:val="28"/>
        </w:rPr>
        <w:t>.</w:t>
      </w:r>
    </w:p>
    <w:p w:rsidR="00475ECB" w:rsidRPr="004438C8" w:rsidRDefault="00475ECB" w:rsidP="00D44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7716B" w:rsidRPr="004438C8" w:rsidRDefault="00FC59E5" w:rsidP="00D4409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Укупан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број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запошљених</w:t>
      </w:r>
      <w:r w:rsidR="00661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661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Друштву</w:t>
      </w:r>
      <w:r w:rsidR="00661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је</w:t>
      </w:r>
      <w:r w:rsidR="00661FD6">
        <w:rPr>
          <w:rFonts w:ascii="Times New Roman" w:hAnsi="Times New Roman" w:cs="Times New Roman"/>
          <w:iCs/>
          <w:sz w:val="28"/>
          <w:szCs w:val="28"/>
        </w:rPr>
        <w:t xml:space="preserve"> 50</w:t>
      </w:r>
      <w:r w:rsidR="00F45D2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F45D2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сви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стално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запошљени</w:t>
      </w:r>
      <w:r w:rsidR="0017716B" w:rsidRPr="004438C8">
        <w:rPr>
          <w:rFonts w:ascii="Times New Roman" w:hAnsi="Times New Roman" w:cs="Times New Roman"/>
          <w:iCs/>
          <w:sz w:val="28"/>
          <w:szCs w:val="28"/>
        </w:rPr>
        <w:t>.</w:t>
      </w:r>
    </w:p>
    <w:p w:rsidR="00EB2A9B" w:rsidRPr="004438C8" w:rsidRDefault="00FC59E5" w:rsidP="00D4409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Преглед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квалификационе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стру</w:t>
      </w:r>
      <w:r w:rsidR="00E67C48">
        <w:rPr>
          <w:rFonts w:ascii="Times New Roman" w:hAnsi="Times New Roman" w:cs="Times New Roman"/>
          <w:iCs/>
          <w:sz w:val="28"/>
          <w:szCs w:val="28"/>
          <w:lang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туре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запошљених</w:t>
      </w:r>
      <w:r w:rsidR="0017716B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је</w:t>
      </w:r>
      <w:r w:rsidR="0017716B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сљедећи</w:t>
      </w:r>
      <w:r w:rsidR="0017716B" w:rsidRPr="004438C8">
        <w:rPr>
          <w:rFonts w:ascii="Times New Roman" w:hAnsi="Times New Roman" w:cs="Times New Roman"/>
          <w:iCs/>
          <w:sz w:val="28"/>
          <w:szCs w:val="28"/>
        </w:rPr>
        <w:t>:</w:t>
      </w:r>
    </w:p>
    <w:p w:rsidR="00264FA2" w:rsidRPr="004438C8" w:rsidRDefault="00FC59E5" w:rsidP="00DA46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ВСС</w:t>
      </w:r>
      <w:r w:rsidR="00264FA2" w:rsidRPr="004438C8">
        <w:rPr>
          <w:rFonts w:ascii="Times New Roman" w:hAnsi="Times New Roman" w:cs="Times New Roman"/>
          <w:iCs/>
          <w:sz w:val="28"/>
          <w:szCs w:val="28"/>
        </w:rPr>
        <w:t xml:space="preserve"> – 5 </w:t>
      </w:r>
      <w:r>
        <w:rPr>
          <w:rFonts w:ascii="Times New Roman" w:hAnsi="Times New Roman" w:cs="Times New Roman"/>
          <w:iCs/>
          <w:sz w:val="28"/>
          <w:szCs w:val="28"/>
        </w:rPr>
        <w:t>извршилаца</w:t>
      </w:r>
      <w:r w:rsidR="00F422A6" w:rsidRPr="004438C8">
        <w:rPr>
          <w:rFonts w:ascii="Times New Roman" w:hAnsi="Times New Roman" w:cs="Times New Roman"/>
          <w:iCs/>
          <w:sz w:val="28"/>
          <w:szCs w:val="28"/>
        </w:rPr>
        <w:t>,</w:t>
      </w:r>
    </w:p>
    <w:p w:rsidR="00F422A6" w:rsidRPr="004438C8" w:rsidRDefault="00FC59E5" w:rsidP="00DA46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</w:t>
      </w:r>
      <w:r w:rsidR="00F422A6" w:rsidRPr="004438C8">
        <w:rPr>
          <w:rFonts w:ascii="Times New Roman" w:hAnsi="Times New Roman" w:cs="Times New Roman"/>
          <w:iCs/>
          <w:sz w:val="28"/>
          <w:szCs w:val="28"/>
        </w:rPr>
        <w:t xml:space="preserve"> – 3 </w:t>
      </w:r>
      <w:r>
        <w:rPr>
          <w:rFonts w:ascii="Times New Roman" w:hAnsi="Times New Roman" w:cs="Times New Roman"/>
          <w:iCs/>
          <w:sz w:val="28"/>
          <w:szCs w:val="28"/>
        </w:rPr>
        <w:t>извршиоца</w:t>
      </w:r>
      <w:r w:rsidR="00F422A6" w:rsidRPr="004438C8">
        <w:rPr>
          <w:rFonts w:ascii="Times New Roman" w:hAnsi="Times New Roman" w:cs="Times New Roman"/>
          <w:iCs/>
          <w:sz w:val="28"/>
          <w:szCs w:val="28"/>
        </w:rPr>
        <w:t>,</w:t>
      </w:r>
    </w:p>
    <w:p w:rsidR="00F422A6" w:rsidRDefault="00FC59E5" w:rsidP="00DA46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ССС</w:t>
      </w:r>
      <w:r w:rsidR="00D71426">
        <w:rPr>
          <w:rFonts w:ascii="Times New Roman" w:hAnsi="Times New Roman" w:cs="Times New Roman"/>
          <w:iCs/>
          <w:sz w:val="28"/>
          <w:szCs w:val="28"/>
        </w:rPr>
        <w:t xml:space="preserve"> – 25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извршилаца</w:t>
      </w:r>
      <w:r w:rsidR="002776C2">
        <w:rPr>
          <w:rFonts w:ascii="Times New Roman" w:hAnsi="Times New Roman" w:cs="Times New Roman"/>
          <w:iCs/>
          <w:sz w:val="28"/>
          <w:szCs w:val="28"/>
        </w:rPr>
        <w:t>,</w:t>
      </w:r>
    </w:p>
    <w:p w:rsidR="002776C2" w:rsidRPr="004438C8" w:rsidRDefault="00FC59E5" w:rsidP="00DA46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КВ</w:t>
      </w:r>
      <w:r w:rsidR="002776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426">
        <w:rPr>
          <w:rFonts w:ascii="Times New Roman" w:hAnsi="Times New Roman" w:cs="Times New Roman"/>
          <w:iCs/>
          <w:sz w:val="28"/>
          <w:szCs w:val="28"/>
        </w:rPr>
        <w:t xml:space="preserve">–10 </w:t>
      </w:r>
      <w:r>
        <w:rPr>
          <w:rFonts w:ascii="Times New Roman" w:hAnsi="Times New Roman" w:cs="Times New Roman"/>
          <w:iCs/>
          <w:sz w:val="28"/>
          <w:szCs w:val="28"/>
        </w:rPr>
        <w:t>извршилаца</w:t>
      </w:r>
      <w:r w:rsidR="00D7142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</w:p>
    <w:p w:rsidR="00F422A6" w:rsidRPr="004438C8" w:rsidRDefault="00FC59E5" w:rsidP="00DA46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ПК</w:t>
      </w:r>
      <w:r w:rsidR="00F422A6" w:rsidRPr="004438C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НК</w:t>
      </w:r>
      <w:r w:rsidR="00F422A6" w:rsidRPr="0044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7582" w:rsidRPr="004438C8">
        <w:rPr>
          <w:rFonts w:ascii="Times New Roman" w:hAnsi="Times New Roman" w:cs="Times New Roman"/>
          <w:iCs/>
          <w:sz w:val="28"/>
          <w:szCs w:val="28"/>
        </w:rPr>
        <w:t>–</w:t>
      </w:r>
      <w:r w:rsidR="002776C2">
        <w:rPr>
          <w:rFonts w:ascii="Times New Roman" w:hAnsi="Times New Roman" w:cs="Times New Roman"/>
          <w:iCs/>
          <w:sz w:val="28"/>
          <w:szCs w:val="28"/>
        </w:rPr>
        <w:t>7</w:t>
      </w:r>
      <w:r w:rsidR="00875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извршиоца</w:t>
      </w:r>
      <w:r w:rsidR="00DE7582" w:rsidRPr="004438C8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C48" w:rsidRDefault="00FC59E5" w:rsidP="00D7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Циљ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пословања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Друштва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је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да</w:t>
      </w:r>
      <w:r w:rsidR="006C27DF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се</w:t>
      </w:r>
      <w:r w:rsidR="006D1D48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</w:t>
      </w:r>
      <w:r w:rsidR="006D1D48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сарадњи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Оснивачем</w:t>
      </w:r>
      <w:r w:rsidR="006C27DF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Општином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Беране</w:t>
      </w:r>
      <w:r w:rsidR="006C27DF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обезбиједе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услови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дугорочно</w:t>
      </w:r>
      <w:r w:rsidR="005802F1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,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континуирано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снабдијевање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свих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корисника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услуга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Друштва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са</w:t>
      </w:r>
      <w:r w:rsidR="00FC0F92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хигијенски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исправном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водом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пиће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као</w:t>
      </w:r>
      <w:r w:rsidR="005760A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уредно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одвођење</w:t>
      </w:r>
      <w:r w:rsidR="00C05C10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C05C10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третман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отпадних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вода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Осигурањем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добрих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услова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рада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задовољства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запошљених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</w:t>
      </w:r>
      <w:r w:rsidR="008C6FF2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Друштву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доприносимо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постизању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високог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степена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квалитета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наших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услуга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непрекидним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обучавањем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мотивисањем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свих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запошљених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омогућавамо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њихово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знање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искуство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допринесу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даљем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унапређењу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пословања</w:t>
      </w:r>
      <w:r w:rsidR="008757E0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Друштва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.</w:t>
      </w:r>
    </w:p>
    <w:p w:rsidR="00D7551A" w:rsidRPr="004438C8" w:rsidRDefault="00FC59E5" w:rsidP="00D7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lastRenderedPageBreak/>
        <w:t>Чињеница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је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вода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опште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насљедство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ограничени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ресурс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одрживи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развој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је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императив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све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запошљене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као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за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оне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који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доносе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одлуке</w:t>
      </w:r>
      <w:r w:rsidR="00825E25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из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ове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области</w:t>
      </w:r>
      <w:r w:rsidR="00D7551A" w:rsidRPr="004438C8"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  <w:t>.</w:t>
      </w:r>
    </w:p>
    <w:p w:rsidR="00D7551A" w:rsidRPr="004438C8" w:rsidRDefault="00D7551A" w:rsidP="00DA46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D1BC6" w:rsidRPr="004438C8" w:rsidRDefault="00FC59E5" w:rsidP="00DA4685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Планиране</w:t>
      </w:r>
      <w:r w:rsidR="00EF122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активности</w:t>
      </w:r>
      <w:r w:rsidR="00DE7582" w:rsidRPr="004438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DE7582" w:rsidRPr="004438C8">
        <w:rPr>
          <w:rFonts w:ascii="Times New Roman" w:hAnsi="Times New Roman" w:cs="Times New Roman"/>
          <w:b/>
          <w:iCs/>
          <w:sz w:val="28"/>
          <w:szCs w:val="28"/>
        </w:rPr>
        <w:t xml:space="preserve"> 2016.</w:t>
      </w:r>
      <w:r>
        <w:rPr>
          <w:rFonts w:ascii="Times New Roman" w:hAnsi="Times New Roman" w:cs="Times New Roman"/>
          <w:b/>
          <w:iCs/>
          <w:sz w:val="28"/>
          <w:szCs w:val="28"/>
        </w:rPr>
        <w:t>години</w:t>
      </w:r>
    </w:p>
    <w:p w:rsidR="008A6C15" w:rsidRPr="004438C8" w:rsidRDefault="008A6C15" w:rsidP="00103838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3838" w:rsidRPr="004438C8" w:rsidRDefault="00FC59E5" w:rsidP="00103838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Основ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израду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Програма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рада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2016.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документа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: "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Стратешки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развоја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Општине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Беране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до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2017.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Консолидација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развој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пословног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система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водовод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".</w:t>
      </w:r>
    </w:p>
    <w:p w:rsidR="00103838" w:rsidRPr="004438C8" w:rsidRDefault="00FC59E5" w:rsidP="00103838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Такође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узето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обзир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кретање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основних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параметара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пословању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задње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фактори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дефинишу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такве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токове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као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процјена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будућих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кретања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основу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расположивих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могућности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познатих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економских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услова</w:t>
      </w:r>
      <w:r w:rsidR="00103838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461627" w:rsidRPr="004438C8" w:rsidRDefault="00461627" w:rsidP="00103838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461627" w:rsidRPr="004438C8" w:rsidRDefault="00FC59E5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Ради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даљег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унапређења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довођења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комплетног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водоводног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система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система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одвођење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отпадних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вода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ниво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</w:t>
      </w:r>
      <w:r w:rsidR="00A63389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обезбјеђује</w:t>
      </w:r>
      <w:r w:rsidR="00291500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испуњење</w:t>
      </w:r>
      <w:r w:rsidR="00291500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усвојених</w:t>
      </w:r>
      <w:r w:rsidR="00291500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циљева</w:t>
      </w:r>
      <w:r w:rsidR="001522C1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пословања</w:t>
      </w:r>
      <w:r w:rsidR="00564C2A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564C2A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2016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неопходно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урадити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сљедеће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:</w:t>
      </w:r>
    </w:p>
    <w:p w:rsidR="00461627" w:rsidRPr="004438C8" w:rsidRDefault="00461627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461627" w:rsidRPr="004438C8" w:rsidRDefault="00FC59E5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организационе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мјере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461627" w:rsidRPr="004438C8" w:rsidRDefault="00FC59E5" w:rsidP="00601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радити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смањењу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губитака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водоводној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предузимати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мјере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повећање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ефикасности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наплати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9713AA" w:rsidRPr="004438C8" w:rsidRDefault="00FC59E5" w:rsidP="009713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урадити</w:t>
      </w:r>
      <w:r w:rsidR="00CE785F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детаљни</w:t>
      </w:r>
      <w:r w:rsidR="00CE785F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план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редовне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контроле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текућег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одржавања</w:t>
      </w:r>
      <w:r w:rsidR="00564C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водоводног</w:t>
      </w:r>
      <w:r w:rsidR="00564C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канализационог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система</w:t>
      </w:r>
      <w:r w:rsidR="009713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унапређивати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информациони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CE78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радити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даљем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смањењу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паушалне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потрошње</w:t>
      </w:r>
      <w:r w:rsidR="00CE785F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код</w:t>
      </w:r>
      <w:r w:rsidR="00CE785F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свих</w:t>
      </w:r>
      <w:r w:rsidR="00CE785F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категорија</w:t>
      </w:r>
      <w:r w:rsidR="00CE785F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потрошача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унапређивати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контроле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наставити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рад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катастру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подземних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инсталација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радити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даљем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унапре</w:t>
      </w:r>
      <w:r w:rsidR="00E67C4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ђ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ењу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односа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потрошачима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8A6C15" w:rsidRPr="004438C8" w:rsidRDefault="008A6C15" w:rsidP="00461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</w:pPr>
    </w:p>
    <w:p w:rsidR="00461627" w:rsidRPr="004438C8" w:rsidRDefault="00FC59E5" w:rsidP="00461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мјере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из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области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текућег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одржавања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461627" w:rsidRPr="004438C8" w:rsidRDefault="00FC59E5" w:rsidP="006016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детекција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мјеста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цурења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инсталацијама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вентила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провјера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водомјера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3D3B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lastRenderedPageBreak/>
        <w:t>замјене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цјевовода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друге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интервенције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водоводној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канализационој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самостално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сарадњи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Оснивачем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Друштва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градјанима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085099" w:rsidRPr="004438C8" w:rsidRDefault="00FC59E5" w:rsidP="003D3B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одржавање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опреме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хлорисање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сервисирање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боца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хлор</w:t>
      </w:r>
      <w:r w:rsidR="00085099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шахти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канализационом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сервисирање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одржавање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016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обезбјеђење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неопходних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алата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резервних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дјелова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461627" w:rsidRPr="004438C8" w:rsidRDefault="00FC59E5" w:rsidP="00461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мјере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из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инвестиционог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одржавања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</w:pPr>
    </w:p>
    <w:p w:rsidR="00461627" w:rsidRPr="004438C8" w:rsidRDefault="00FC59E5" w:rsidP="006939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даља</w:t>
      </w:r>
      <w:r w:rsidR="00F0504B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прекидних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комора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Бањевцу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Полици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Дапсићима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939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даља</w:t>
      </w:r>
      <w:r w:rsidR="00F0504B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ограде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око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објеката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којима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газдује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Друштво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154F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одржавање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опреме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хлорисање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до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потпуне</w:t>
      </w:r>
      <w:r w:rsid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аутоматизације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поступка</w:t>
      </w:r>
      <w:r w:rsidR="00F809A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хлорисања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939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дјелимчно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санирати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водозахват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Манастирско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врело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“, </w:t>
      </w:r>
    </w:p>
    <w:p w:rsidR="00461627" w:rsidRPr="004438C8" w:rsidRDefault="00FC59E5" w:rsidP="00154F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даље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обезбјеђивати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неопходну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текуће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одржавање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939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уградња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нових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водомјера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6939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уградња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нових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вентила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због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подјеле</w:t>
      </w:r>
      <w:r w:rsidR="005C593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водоводног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уже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зоне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AB6A3D" w:rsidRPr="004438C8" w:rsidRDefault="00FC59E5" w:rsidP="00461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инвестиционе</w:t>
      </w:r>
      <w:r w:rsidR="00461627" w:rsidRPr="004438C8"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  <w:t>мјере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sr-Latn-CS" w:eastAsia="sr-Latn-CS"/>
        </w:rPr>
      </w:pPr>
    </w:p>
    <w:p w:rsidR="00461627" w:rsidRPr="004438C8" w:rsidRDefault="00FC59E5" w:rsidP="009046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почетак</w:t>
      </w:r>
      <w:r w:rsidR="00CB0F4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изградње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канализационих</w:t>
      </w:r>
      <w:r w:rsidR="00D6012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колектора</w:t>
      </w:r>
      <w:r w:rsidR="00D6012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канализационе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мреже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постројења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пречишћавање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отпадних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вода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– </w:t>
      </w:r>
      <w:r w:rsidR="00E67C4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I</w:t>
      </w:r>
      <w:r w:rsidR="00CF4CAA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фаза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9046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почетак</w:t>
      </w:r>
      <w:r w:rsidR="00C83B7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реконструкције</w:t>
      </w:r>
      <w:r w:rsidR="00744FD5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водоводног</w:t>
      </w:r>
      <w:r w:rsidR="00744FD5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E711CB" w:rsidRPr="00EF122A" w:rsidRDefault="00FC59E5" w:rsidP="00EF12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изградња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нових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хлорних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станица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</w:t>
      </w:r>
      <w:r w:rsidR="00DB2FE2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прекидној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комори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Бањевац</w:t>
      </w:r>
      <w:r w:rsidR="007B3871" w:rsidRPr="00EF122A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, </w:t>
      </w:r>
    </w:p>
    <w:p w:rsidR="00461627" w:rsidRPr="004438C8" w:rsidRDefault="00FC59E5" w:rsidP="00E77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пумпној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станици</w:t>
      </w:r>
      <w:r w:rsidR="00DB2FE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Беране</w:t>
      </w:r>
      <w:r w:rsidR="00DB2FE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DB2FE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</w:t>
      </w:r>
      <w:r w:rsidR="00DB2FE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Дапсицима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E711CB" w:rsidRDefault="00EF122A" w:rsidP="00744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   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 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изградња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новог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објекта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пумпну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станицу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Беранама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уградња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</w:p>
    <w:p w:rsidR="007B3871" w:rsidRPr="004438C8" w:rsidRDefault="00FC59E5" w:rsidP="00E711CB">
      <w:pPr>
        <w:tabs>
          <w:tab w:val="left" w:pos="1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нове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опреме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7B3871" w:rsidRPr="004438C8" w:rsidRDefault="00EF122A" w:rsidP="00744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    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 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изградања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новог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резервоара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Јасиковцу</w:t>
      </w:r>
      <w:r w:rsidR="007B387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, </w:t>
      </w:r>
    </w:p>
    <w:p w:rsidR="00461627" w:rsidRPr="004438C8" w:rsidRDefault="00FC59E5" w:rsidP="00825D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израда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пројектне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документације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санацију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реконструкцију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водоводног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Дапсиће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Полица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825D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пројектовање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набавка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мјерење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протока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главним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цјевоводима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825D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набавка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опреме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дјелимично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испитивање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микробиолошке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исправности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,</w:t>
      </w:r>
    </w:p>
    <w:p w:rsidR="00461627" w:rsidRPr="004438C8" w:rsidRDefault="00FC59E5" w:rsidP="00825D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израда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Генералног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пројекта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постојеће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градске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канализационе</w:t>
      </w:r>
      <w:r w:rsidR="00825D55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мреже</w:t>
      </w:r>
      <w:r w:rsidR="00825D55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.</w:t>
      </w:r>
    </w:p>
    <w:p w:rsidR="004C6806" w:rsidRPr="004438C8" w:rsidRDefault="004C6806" w:rsidP="004C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4C6806" w:rsidRPr="004438C8" w:rsidRDefault="00FC59E5" w:rsidP="00A8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lastRenderedPageBreak/>
        <w:t>Изградња</w:t>
      </w:r>
      <w:r w:rsidR="004C680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канализационе</w:t>
      </w:r>
      <w:r w:rsidR="004C680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мреже</w:t>
      </w:r>
      <w:r w:rsidR="004C680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4C6806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постројења</w:t>
      </w:r>
      <w:r w:rsidR="008A352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8A352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пречишћавање</w:t>
      </w:r>
      <w:r w:rsidR="008A352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отпадних</w:t>
      </w:r>
      <w:r w:rsidR="008A3521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вода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реконструкција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водоводног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система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финансира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се</w:t>
      </w:r>
      <w:r w:rsidR="009E214C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фондова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Европске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уније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док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би</w:t>
      </w:r>
      <w:r w:rsidR="006E2E12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финансијска</w:t>
      </w:r>
      <w:r w:rsidR="00F563ED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средства</w:t>
      </w:r>
      <w:r w:rsidR="00F563ED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неопходна</w:t>
      </w:r>
      <w:r w:rsidR="00F563ED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за</w:t>
      </w:r>
      <w:r w:rsidR="00F563ED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остале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инвестиције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требало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обезбиједити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из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капиталног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бу</w:t>
      </w:r>
      <w:r w:rsidR="00EF0352">
        <w:rPr>
          <w:rFonts w:ascii="Times New Roman" w:eastAsia="Times New Roman" w:hAnsi="Times New Roman" w:cs="Times New Roman"/>
          <w:sz w:val="28"/>
          <w:szCs w:val="28"/>
          <w:lang w:eastAsia="sr-Latn-CS"/>
        </w:rPr>
        <w:t>џ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ета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Оснивача</w:t>
      </w:r>
      <w:r w:rsidR="00566EA4" w:rsidRPr="004438C8"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  <w:t>.</w:t>
      </w:r>
    </w:p>
    <w:p w:rsidR="00461627" w:rsidRPr="004438C8" w:rsidRDefault="00461627" w:rsidP="004616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D60126" w:rsidRPr="004438C8" w:rsidRDefault="00D60126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461627" w:rsidRPr="004438C8" w:rsidRDefault="00FC59E5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Одвођење</w:t>
      </w:r>
      <w:r w:rsidR="00461627" w:rsidRPr="004438C8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атмосферских</w:t>
      </w:r>
      <w:r w:rsidR="00461627" w:rsidRPr="004438C8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вода</w:t>
      </w:r>
    </w:p>
    <w:p w:rsidR="00EF0352" w:rsidRDefault="00EF0352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615A" w:rsidRPr="004438C8" w:rsidRDefault="00EF0352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''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Одлуком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комуналном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уређењу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територије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општине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Беране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"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регулисано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да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се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д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 "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Водовод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"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стара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одржавању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заштити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атмосферске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FC59E5"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канализације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461627" w:rsidRPr="004438C8" w:rsidRDefault="00FC59E5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основу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усвојеног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годишњег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Плана</w:t>
      </w:r>
      <w:r w:rsidR="0042615A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рада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радове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667FAB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одржавању</w:t>
      </w:r>
      <w:r w:rsidR="00667FAB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атмосферске</w:t>
      </w:r>
      <w:r w:rsidR="00667FAB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канализације</w:t>
      </w:r>
      <w:r w:rsidR="00667FAB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финансира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Оснивач</w:t>
      </w:r>
      <w:r w:rsidR="000D4BE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461627" w:rsidRPr="004438C8" w:rsidRDefault="00FC59E5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Одржавање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атмосферске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подразумијева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чишћење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колектора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цјевовода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чишћење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казана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сливника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замјену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оштећених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несталих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сливника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замјену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оштећених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несталих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поклопаца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шахтама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атмосферске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461627" w:rsidRPr="004438C8" w:rsidRDefault="00461627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461627" w:rsidRPr="004438C8" w:rsidRDefault="00FC59E5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Послови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одржавања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атмосферске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канализације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ће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се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реализовати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према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сљедећем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плану</w:t>
      </w:r>
      <w:r w:rsidR="00461627" w:rsidRPr="004438C8">
        <w:rPr>
          <w:rFonts w:ascii="Times New Roman" w:eastAsia="Times New Roman" w:hAnsi="Times New Roman" w:cs="Times New Roman"/>
          <w:sz w:val="28"/>
          <w:szCs w:val="28"/>
          <w:lang w:val="sr-Latn-CS"/>
        </w:rPr>
        <w:t>:</w:t>
      </w:r>
    </w:p>
    <w:p w:rsidR="00461627" w:rsidRPr="004438C8" w:rsidRDefault="00461627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6"/>
        <w:gridCol w:w="1332"/>
        <w:gridCol w:w="1332"/>
      </w:tblGrid>
      <w:tr w:rsidR="00461627" w:rsidRPr="00C3065E" w:rsidTr="001B7A44">
        <w:trPr>
          <w:jc w:val="center"/>
        </w:trPr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627" w:rsidRPr="00C3065E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опис</w:t>
            </w:r>
            <w:r w:rsidR="00461627" w:rsidRPr="00C3065E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радова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627" w:rsidRPr="00C3065E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јед</w:t>
            </w:r>
            <w:r w:rsidR="00461627" w:rsidRPr="00C3065E">
              <w:rPr>
                <w:rFonts w:ascii="Times New Roman" w:eastAsia="Times New Roman" w:hAnsi="Times New Roman" w:cs="Times New Roman"/>
                <w:b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мјере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627" w:rsidRPr="00C3065E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количина</w:t>
            </w:r>
          </w:p>
        </w:tc>
      </w:tr>
      <w:tr w:rsidR="00461627" w:rsidRPr="00461627" w:rsidTr="001B7A44">
        <w:trPr>
          <w:jc w:val="center"/>
        </w:trPr>
        <w:tc>
          <w:tcPr>
            <w:tcW w:w="59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чишћење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3.200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колектора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специјалним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возилом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канал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јетт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два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пута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годишње</w:t>
            </w:r>
          </w:p>
        </w:tc>
        <w:tc>
          <w:tcPr>
            <w:tcW w:w="1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метар</w:t>
            </w: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627" w:rsidRPr="00461627" w:rsidRDefault="00461627" w:rsidP="00461627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  <w:r w:rsidRPr="00461627"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  <w:t xml:space="preserve">  6.400</w:t>
            </w:r>
          </w:p>
        </w:tc>
      </w:tr>
      <w:tr w:rsidR="00461627" w:rsidRPr="00461627" w:rsidTr="001B7A44">
        <w:trPr>
          <w:jc w:val="center"/>
        </w:trPr>
        <w:tc>
          <w:tcPr>
            <w:tcW w:w="5926" w:type="dxa"/>
            <w:tcBorders>
              <w:left w:val="double" w:sz="4" w:space="0" w:color="auto"/>
            </w:tcBorders>
            <w:shd w:val="clear" w:color="auto" w:fill="auto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чишћење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7.850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цјевовода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специјалним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возилом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канал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јетт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два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пута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годишње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метар</w:t>
            </w:r>
          </w:p>
        </w:tc>
        <w:tc>
          <w:tcPr>
            <w:tcW w:w="13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627" w:rsidRPr="00461627" w:rsidRDefault="00461627" w:rsidP="00461627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  <w:r w:rsidRPr="00461627"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  <w:t>15.700</w:t>
            </w:r>
          </w:p>
        </w:tc>
      </w:tr>
      <w:tr w:rsidR="00461627" w:rsidRPr="00461627" w:rsidTr="001B7A44">
        <w:trPr>
          <w:jc w:val="center"/>
        </w:trPr>
        <w:tc>
          <w:tcPr>
            <w:tcW w:w="5926" w:type="dxa"/>
            <w:tcBorders>
              <w:left w:val="double" w:sz="4" w:space="0" w:color="auto"/>
            </w:tcBorders>
            <w:shd w:val="clear" w:color="auto" w:fill="auto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чишћење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казана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сливника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два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пута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год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комада</w:t>
            </w:r>
          </w:p>
        </w:tc>
        <w:tc>
          <w:tcPr>
            <w:tcW w:w="13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627" w:rsidRPr="00461627" w:rsidRDefault="00461627" w:rsidP="00461627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  <w:r w:rsidRPr="00461627"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  <w:t>572</w:t>
            </w:r>
          </w:p>
        </w:tc>
      </w:tr>
      <w:tr w:rsidR="00461627" w:rsidRPr="00461627" w:rsidTr="001B7A44">
        <w:trPr>
          <w:jc w:val="center"/>
        </w:trPr>
        <w:tc>
          <w:tcPr>
            <w:tcW w:w="5926" w:type="dxa"/>
            <w:tcBorders>
              <w:left w:val="double" w:sz="4" w:space="0" w:color="auto"/>
            </w:tcBorders>
            <w:shd w:val="clear" w:color="auto" w:fill="auto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замјена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оштећених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несталих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сливника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комада</w:t>
            </w:r>
          </w:p>
        </w:tc>
        <w:tc>
          <w:tcPr>
            <w:tcW w:w="13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627" w:rsidRPr="00461627" w:rsidRDefault="00461627" w:rsidP="00461627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  <w:r w:rsidRPr="00461627"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  <w:t>30</w:t>
            </w:r>
          </w:p>
        </w:tc>
      </w:tr>
      <w:tr w:rsidR="00461627" w:rsidRPr="00461627" w:rsidTr="001B7A44">
        <w:trPr>
          <w:jc w:val="center"/>
        </w:trPr>
        <w:tc>
          <w:tcPr>
            <w:tcW w:w="59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замјена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оштећених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несталих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поклопаца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461627" w:rsidRPr="004616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шахтама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627" w:rsidRPr="00461627" w:rsidRDefault="00FC59E5" w:rsidP="00461627">
            <w:pPr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комада</w:t>
            </w: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627" w:rsidRPr="00461627" w:rsidRDefault="00461627" w:rsidP="00461627">
            <w:pPr>
              <w:tabs>
                <w:tab w:val="left" w:pos="57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  <w:r w:rsidRPr="00461627"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  <w:t>20</w:t>
            </w:r>
          </w:p>
        </w:tc>
      </w:tr>
    </w:tbl>
    <w:p w:rsidR="00461627" w:rsidRPr="00461627" w:rsidRDefault="00461627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461627" w:rsidRPr="00461627" w:rsidRDefault="00461627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461627" w:rsidRPr="00461627" w:rsidRDefault="00461627" w:rsidP="0046162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461627" w:rsidRPr="00461627" w:rsidRDefault="00461627" w:rsidP="004616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627" w:rsidRPr="00461627" w:rsidRDefault="00461627" w:rsidP="004616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627" w:rsidRPr="00103838" w:rsidRDefault="00461627" w:rsidP="00103838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103838" w:rsidRDefault="00103838" w:rsidP="00DA4685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DE7582" w:rsidRDefault="00DE7582" w:rsidP="00DA4685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5C3CB9" w:rsidRPr="005C3CB9" w:rsidRDefault="005C3CB9" w:rsidP="00DA4685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DA4685" w:rsidRDefault="00DA4685" w:rsidP="00D44096">
      <w:pPr>
        <w:rPr>
          <w:rFonts w:ascii="Times New Roman" w:hAnsi="Times New Roman" w:cs="Times New Roman"/>
          <w:iCs/>
        </w:rPr>
      </w:pPr>
    </w:p>
    <w:p w:rsidR="00147B8F" w:rsidRPr="008841C7" w:rsidRDefault="00FC59E5" w:rsidP="00147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Финансијски</w:t>
      </w:r>
      <w:r w:rsidR="00147B8F" w:rsidRPr="00884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147B8F" w:rsidRPr="00884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пословања</w:t>
      </w:r>
    </w:p>
    <w:p w:rsidR="00147B8F" w:rsidRPr="008841C7" w:rsidRDefault="00147B8F" w:rsidP="00147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99E" w:rsidRPr="008841C7" w:rsidRDefault="00FC59E5" w:rsidP="00E6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прихода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односно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финансијски</w:t>
      </w:r>
      <w:r w:rsidR="00147B8F" w:rsidRPr="008841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 w:rsidR="00147B8F" w:rsidRPr="008841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пословања</w:t>
      </w:r>
      <w:r w:rsidR="00147B8F" w:rsidRPr="008841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исказан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кроз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биланс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успјеха</w:t>
      </w:r>
      <w:r w:rsidR="00890195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90195" w:rsidRPr="008841C7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годину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урађен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је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бази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натуралног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потрошње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воде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постојећих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цијена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³ </w:t>
      </w:r>
      <w:r>
        <w:rPr>
          <w:rFonts w:ascii="Times New Roman" w:eastAsia="Calibri" w:hAnsi="Times New Roman" w:cs="Times New Roman"/>
          <w:sz w:val="28"/>
          <w:szCs w:val="28"/>
        </w:rPr>
        <w:t>утрошене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воде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процјене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незнатном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повећању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броја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потрошача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односно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нових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корисника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водоводног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канализационог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постојећем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броју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радника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запошљених</w:t>
      </w:r>
      <w:r w:rsidR="00890195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90195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Друштву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важеће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обрачунске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вриједности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коефицијента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обрачун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зарада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плану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набавке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резервних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дјелова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материјала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плану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текућег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инвестиционог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одржавања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средстава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бази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осталих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елемената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битних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планирање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квантифакацију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финансијских</w:t>
      </w:r>
      <w:r w:rsidR="006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категорија</w:t>
      </w:r>
      <w:r w:rsidR="00147B8F" w:rsidRPr="00884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99E" w:rsidRPr="008841C7" w:rsidRDefault="00C7599E" w:rsidP="00E6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99E" w:rsidRPr="008841C7" w:rsidRDefault="00FC59E5" w:rsidP="00C7599E">
      <w:pPr>
        <w:tabs>
          <w:tab w:val="left" w:pos="5787"/>
        </w:tabs>
        <w:spacing w:after="120"/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план</w:t>
      </w:r>
      <w:r w:rsidR="00C7599E" w:rsidRPr="008841C7"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потрошње</w:t>
      </w:r>
      <w:r w:rsidR="00C7599E" w:rsidRPr="008841C7"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воде</w:t>
      </w:r>
    </w:p>
    <w:p w:rsidR="003A303F" w:rsidRPr="008841C7" w:rsidRDefault="00FC59E5" w:rsidP="00C7599E">
      <w:pPr>
        <w:tabs>
          <w:tab w:val="left" w:pos="578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Потрошња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воде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свим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категоријама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потрошача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претходне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три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године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као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наша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процјена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незнатном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повећању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броја</w:t>
      </w:r>
      <w:r w:rsidR="00CC1B3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потрошача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опредијелили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су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планирану</w:t>
      </w:r>
      <w:r w:rsidR="00E14A4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потрошњу</w:t>
      </w:r>
      <w:r w:rsidR="007A0B9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воде</w:t>
      </w:r>
      <w:r w:rsidR="007A0B9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E53D94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2016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години</w:t>
      </w:r>
      <w:r w:rsidR="00C7599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3A303F" w:rsidRPr="003A303F" w:rsidRDefault="003A303F" w:rsidP="003A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0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28"/>
        <w:gridCol w:w="1176"/>
        <w:gridCol w:w="1176"/>
        <w:gridCol w:w="1176"/>
        <w:gridCol w:w="1412"/>
        <w:gridCol w:w="1176"/>
        <w:gridCol w:w="1412"/>
      </w:tblGrid>
      <w:tr w:rsidR="003A303F" w:rsidRPr="00C3065E" w:rsidTr="00101C70">
        <w:tc>
          <w:tcPr>
            <w:tcW w:w="262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303F" w:rsidRPr="00C3065E" w:rsidRDefault="00FC59E5" w:rsidP="003A303F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потрошачи</w:t>
            </w:r>
          </w:p>
        </w:tc>
        <w:tc>
          <w:tcPr>
            <w:tcW w:w="352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A303F" w:rsidRPr="00C3065E" w:rsidRDefault="00E67C48" w:rsidP="003A303F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Ф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актурисана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количине</w:t>
            </w:r>
            <w:r w:rsidR="00A301AB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водеу</w:t>
            </w:r>
            <w:r w:rsidR="00E50720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м</w:t>
            </w:r>
            <w:r w:rsidR="003A303F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³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A303F" w:rsidRPr="00C3065E" w:rsidRDefault="00FC59E5" w:rsidP="003A303F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план</w:t>
            </w:r>
            <w:r w:rsidR="003A303F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за</w:t>
            </w:r>
            <w:r w:rsidR="003A303F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2016.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  <w:r w:rsidR="00F477D8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м</w:t>
            </w:r>
            <w:r w:rsidR="00F477D8"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³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303F" w:rsidRPr="00C3065E" w:rsidRDefault="003A303F" w:rsidP="003A30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2016/2015</w:t>
            </w:r>
            <w:r w:rsidR="00345737" w:rsidRPr="00C30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%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303F" w:rsidRPr="00C3065E" w:rsidRDefault="00FC59E5" w:rsidP="00A704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оствар</w:t>
            </w:r>
            <w:r w:rsidR="00A70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.</w:t>
            </w:r>
            <w:r w:rsidR="00FD4DAC" w:rsidRPr="00C30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2015</w:t>
            </w:r>
            <w:r w:rsidR="00A70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/</w:t>
            </w:r>
            <w:r w:rsidR="00FD4DAC" w:rsidRPr="00C30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план</w:t>
            </w:r>
            <w:r w:rsidR="003A303F" w:rsidRPr="00C30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2015</w:t>
            </w:r>
          </w:p>
        </w:tc>
      </w:tr>
      <w:tr w:rsidR="003A303F" w:rsidRPr="00C3065E" w:rsidTr="00101C70">
        <w:tc>
          <w:tcPr>
            <w:tcW w:w="262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2013.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2014.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2015.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</w:p>
        </w:tc>
        <w:tc>
          <w:tcPr>
            <w:tcW w:w="141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A303F" w:rsidRPr="00C3065E" w:rsidRDefault="003A303F" w:rsidP="003A303F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</w:tr>
      <w:tr w:rsidR="003A303F" w:rsidRPr="003A303F" w:rsidTr="00101C70">
        <w:tc>
          <w:tcPr>
            <w:tcW w:w="2628" w:type="dxa"/>
            <w:tcBorders>
              <w:top w:val="double" w:sz="4" w:space="0" w:color="auto"/>
            </w:tcBorders>
          </w:tcPr>
          <w:p w:rsidR="003A303F" w:rsidRPr="003A303F" w:rsidRDefault="00FC59E5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правна</w:t>
            </w:r>
            <w:r w:rsidR="003A303F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лица</w:t>
            </w: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3A303F" w:rsidRPr="003A303F" w:rsidTr="00101C70">
        <w:tc>
          <w:tcPr>
            <w:tcW w:w="2628" w:type="dxa"/>
          </w:tcPr>
          <w:p w:rsidR="003A303F" w:rsidRPr="003A303F" w:rsidRDefault="00FC59E5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предузећа</w:t>
            </w:r>
            <w:r w:rsidR="003A303F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3A303F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установе</w:t>
            </w:r>
          </w:p>
        </w:tc>
        <w:tc>
          <w:tcPr>
            <w:tcW w:w="1176" w:type="dxa"/>
          </w:tcPr>
          <w:p w:rsidR="003A303F" w:rsidRPr="003A303F" w:rsidRDefault="00FD4D0E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142.258</w:t>
            </w:r>
          </w:p>
        </w:tc>
        <w:tc>
          <w:tcPr>
            <w:tcW w:w="1176" w:type="dxa"/>
          </w:tcPr>
          <w:p w:rsidR="003A303F" w:rsidRPr="003A303F" w:rsidRDefault="00FD4D0E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144.146</w:t>
            </w:r>
          </w:p>
        </w:tc>
        <w:tc>
          <w:tcPr>
            <w:tcW w:w="1176" w:type="dxa"/>
          </w:tcPr>
          <w:p w:rsidR="003A303F" w:rsidRPr="003A303F" w:rsidRDefault="00B46D56" w:rsidP="00EB096E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149.007</w:t>
            </w:r>
          </w:p>
        </w:tc>
        <w:tc>
          <w:tcPr>
            <w:tcW w:w="1412" w:type="dxa"/>
          </w:tcPr>
          <w:p w:rsidR="003A303F" w:rsidRPr="003A303F" w:rsidRDefault="00907C59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154.000</w:t>
            </w:r>
          </w:p>
        </w:tc>
        <w:tc>
          <w:tcPr>
            <w:tcW w:w="1176" w:type="dxa"/>
          </w:tcPr>
          <w:p w:rsidR="003A303F" w:rsidRPr="003A303F" w:rsidRDefault="00F55604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</w:t>
            </w:r>
            <w:r w:rsidR="0010642D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3,35</w:t>
            </w:r>
          </w:p>
        </w:tc>
        <w:tc>
          <w:tcPr>
            <w:tcW w:w="1412" w:type="dxa"/>
          </w:tcPr>
          <w:p w:rsidR="003A303F" w:rsidRPr="003A303F" w:rsidRDefault="00FC4BC7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+ 1,70</w:t>
            </w:r>
          </w:p>
        </w:tc>
      </w:tr>
      <w:tr w:rsidR="003A303F" w:rsidRPr="003A303F" w:rsidTr="00101C70">
        <w:tc>
          <w:tcPr>
            <w:tcW w:w="2628" w:type="dxa"/>
          </w:tcPr>
          <w:p w:rsidR="003A303F" w:rsidRPr="003A303F" w:rsidRDefault="00FC59E5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самосталне</w:t>
            </w:r>
            <w:r w:rsidR="003A303F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радње</w:t>
            </w:r>
          </w:p>
        </w:tc>
        <w:tc>
          <w:tcPr>
            <w:tcW w:w="1176" w:type="dxa"/>
          </w:tcPr>
          <w:p w:rsidR="003A303F" w:rsidRPr="003A303F" w:rsidRDefault="000A206A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41.546</w:t>
            </w:r>
          </w:p>
        </w:tc>
        <w:tc>
          <w:tcPr>
            <w:tcW w:w="1176" w:type="dxa"/>
          </w:tcPr>
          <w:p w:rsidR="003A303F" w:rsidRPr="003A303F" w:rsidRDefault="00EE303D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43.096</w:t>
            </w:r>
          </w:p>
        </w:tc>
        <w:tc>
          <w:tcPr>
            <w:tcW w:w="1176" w:type="dxa"/>
          </w:tcPr>
          <w:p w:rsidR="003A303F" w:rsidRPr="003A303F" w:rsidRDefault="00B46D56" w:rsidP="00EB096E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41.367</w:t>
            </w:r>
          </w:p>
        </w:tc>
        <w:tc>
          <w:tcPr>
            <w:tcW w:w="1412" w:type="dxa"/>
          </w:tcPr>
          <w:p w:rsidR="003A303F" w:rsidRPr="003A303F" w:rsidRDefault="00D871A2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44.000</w:t>
            </w:r>
          </w:p>
        </w:tc>
        <w:tc>
          <w:tcPr>
            <w:tcW w:w="1176" w:type="dxa"/>
          </w:tcPr>
          <w:p w:rsidR="003A303F" w:rsidRPr="003A303F" w:rsidRDefault="0010642D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+ 6,37</w:t>
            </w:r>
          </w:p>
        </w:tc>
        <w:tc>
          <w:tcPr>
            <w:tcW w:w="1412" w:type="dxa"/>
          </w:tcPr>
          <w:p w:rsidR="003A303F" w:rsidRPr="003A303F" w:rsidRDefault="002278CB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-6,26</w:t>
            </w:r>
          </w:p>
        </w:tc>
      </w:tr>
      <w:tr w:rsidR="003A303F" w:rsidRPr="003A303F" w:rsidTr="00101C70">
        <w:tc>
          <w:tcPr>
            <w:tcW w:w="2628" w:type="dxa"/>
          </w:tcPr>
          <w:p w:rsidR="003A303F" w:rsidRPr="00813A9B" w:rsidRDefault="003A303F" w:rsidP="003A303F">
            <w:pP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                        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с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в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е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г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а</w:t>
            </w:r>
          </w:p>
        </w:tc>
        <w:tc>
          <w:tcPr>
            <w:tcW w:w="1176" w:type="dxa"/>
          </w:tcPr>
          <w:p w:rsidR="003A303F" w:rsidRPr="00813A9B" w:rsidRDefault="000A206A" w:rsidP="00E231C9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183.804</w:t>
            </w:r>
          </w:p>
        </w:tc>
        <w:tc>
          <w:tcPr>
            <w:tcW w:w="1176" w:type="dxa"/>
          </w:tcPr>
          <w:p w:rsidR="003A303F" w:rsidRPr="00813A9B" w:rsidRDefault="00EE303D" w:rsidP="00E231C9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187.242</w:t>
            </w:r>
          </w:p>
        </w:tc>
        <w:tc>
          <w:tcPr>
            <w:tcW w:w="1176" w:type="dxa"/>
          </w:tcPr>
          <w:p w:rsidR="003A303F" w:rsidRPr="00813A9B" w:rsidRDefault="00B46D56" w:rsidP="00EB096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190.374</w:t>
            </w:r>
          </w:p>
        </w:tc>
        <w:tc>
          <w:tcPr>
            <w:tcW w:w="1412" w:type="dxa"/>
          </w:tcPr>
          <w:p w:rsidR="003A303F" w:rsidRPr="00813A9B" w:rsidRDefault="006B6334" w:rsidP="006B144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198.000</w:t>
            </w:r>
          </w:p>
        </w:tc>
        <w:tc>
          <w:tcPr>
            <w:tcW w:w="1176" w:type="dxa"/>
          </w:tcPr>
          <w:p w:rsidR="003A303F" w:rsidRPr="00813A9B" w:rsidRDefault="00345737" w:rsidP="006B144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+ 4,00</w:t>
            </w:r>
          </w:p>
        </w:tc>
        <w:tc>
          <w:tcPr>
            <w:tcW w:w="1412" w:type="dxa"/>
          </w:tcPr>
          <w:p w:rsidR="003A303F" w:rsidRPr="00813A9B" w:rsidRDefault="002278CB" w:rsidP="006B144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-0,14</w:t>
            </w:r>
          </w:p>
        </w:tc>
      </w:tr>
      <w:tr w:rsidR="003A303F" w:rsidRPr="003A303F" w:rsidTr="00101C70">
        <w:tc>
          <w:tcPr>
            <w:tcW w:w="2628" w:type="dxa"/>
          </w:tcPr>
          <w:p w:rsidR="003A303F" w:rsidRPr="003A303F" w:rsidRDefault="00FC59E5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физичка</w:t>
            </w:r>
            <w:r w:rsidR="003A303F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лица</w:t>
            </w:r>
          </w:p>
        </w:tc>
        <w:tc>
          <w:tcPr>
            <w:tcW w:w="1176" w:type="dxa"/>
          </w:tcPr>
          <w:p w:rsidR="003A303F" w:rsidRPr="003A303F" w:rsidRDefault="003A303F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3A303F" w:rsidRPr="003A303F" w:rsidRDefault="003A303F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3A303F" w:rsidRPr="003A303F" w:rsidRDefault="003A303F" w:rsidP="00EB096E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12" w:type="dxa"/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12" w:type="dxa"/>
          </w:tcPr>
          <w:p w:rsidR="003A303F" w:rsidRPr="003A303F" w:rsidRDefault="003A303F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3A303F" w:rsidRPr="003A303F" w:rsidTr="00101C70">
        <w:tc>
          <w:tcPr>
            <w:tcW w:w="2628" w:type="dxa"/>
          </w:tcPr>
          <w:p w:rsidR="003A303F" w:rsidRPr="003A303F" w:rsidRDefault="00FC59E5" w:rsidP="003A303F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потрошачи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у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стамб</w:t>
            </w:r>
            <w:r w:rsidR="00E67C4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.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објектима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са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више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стамбених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јединица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а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  <w:p w:rsidR="003A303F" w:rsidRPr="003A303F" w:rsidRDefault="00FC59E5" w:rsidP="003A303F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заједничким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мјерилом</w:t>
            </w:r>
          </w:p>
        </w:tc>
        <w:tc>
          <w:tcPr>
            <w:tcW w:w="1176" w:type="dxa"/>
            <w:vAlign w:val="bottom"/>
          </w:tcPr>
          <w:p w:rsidR="003A303F" w:rsidRPr="003A303F" w:rsidRDefault="00EE303D" w:rsidP="00E231C9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280.986</w:t>
            </w:r>
          </w:p>
        </w:tc>
        <w:tc>
          <w:tcPr>
            <w:tcW w:w="1176" w:type="dxa"/>
            <w:vAlign w:val="bottom"/>
          </w:tcPr>
          <w:p w:rsidR="003A303F" w:rsidRPr="003A303F" w:rsidRDefault="00EE303D" w:rsidP="00691B0F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262.335</w:t>
            </w:r>
          </w:p>
        </w:tc>
        <w:tc>
          <w:tcPr>
            <w:tcW w:w="1176" w:type="dxa"/>
            <w:vAlign w:val="bottom"/>
          </w:tcPr>
          <w:p w:rsidR="003A303F" w:rsidRPr="003A303F" w:rsidRDefault="00DE6EF4" w:rsidP="00CD23F1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244.560</w:t>
            </w:r>
          </w:p>
        </w:tc>
        <w:tc>
          <w:tcPr>
            <w:tcW w:w="1412" w:type="dxa"/>
            <w:vAlign w:val="bottom"/>
          </w:tcPr>
          <w:p w:rsidR="003A303F" w:rsidRPr="003A303F" w:rsidRDefault="009C71A4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250.000</w:t>
            </w:r>
          </w:p>
        </w:tc>
        <w:tc>
          <w:tcPr>
            <w:tcW w:w="1176" w:type="dxa"/>
            <w:vAlign w:val="bottom"/>
          </w:tcPr>
          <w:p w:rsidR="003A303F" w:rsidRPr="003A303F" w:rsidRDefault="000A3640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+ 2,22</w:t>
            </w:r>
          </w:p>
        </w:tc>
        <w:tc>
          <w:tcPr>
            <w:tcW w:w="1412" w:type="dxa"/>
            <w:vAlign w:val="bottom"/>
          </w:tcPr>
          <w:p w:rsidR="003A303F" w:rsidRPr="003A303F" w:rsidRDefault="00584C23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-6,48</w:t>
            </w:r>
          </w:p>
        </w:tc>
      </w:tr>
      <w:tr w:rsidR="003A303F" w:rsidRPr="003A303F" w:rsidTr="00101C70">
        <w:tc>
          <w:tcPr>
            <w:tcW w:w="2628" w:type="dxa"/>
          </w:tcPr>
          <w:p w:rsidR="003A303F" w:rsidRPr="003A303F" w:rsidRDefault="003A303F" w:rsidP="003A303F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потрошачи</w:t>
            </w:r>
            <w:r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у</w:t>
            </w:r>
            <w:r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индивидуалним</w:t>
            </w:r>
            <w:r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    </w:t>
            </w:r>
          </w:p>
          <w:p w:rsidR="003A303F" w:rsidRPr="003A303F" w:rsidRDefault="00FC59E5" w:rsidP="003A303F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стамбеним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објектима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 </w:t>
            </w:r>
          </w:p>
          <w:p w:rsidR="003A303F" w:rsidRPr="003A303F" w:rsidRDefault="00FC59E5" w:rsidP="003A303F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сопственим</w:t>
            </w:r>
            <w:r w:rsidR="003A303F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мјерилом</w:t>
            </w:r>
          </w:p>
        </w:tc>
        <w:tc>
          <w:tcPr>
            <w:tcW w:w="1176" w:type="dxa"/>
            <w:vAlign w:val="bottom"/>
          </w:tcPr>
          <w:p w:rsidR="003A303F" w:rsidRPr="003A303F" w:rsidRDefault="001E3AF9" w:rsidP="00691B0F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940.911</w:t>
            </w:r>
          </w:p>
        </w:tc>
        <w:tc>
          <w:tcPr>
            <w:tcW w:w="1176" w:type="dxa"/>
            <w:vAlign w:val="bottom"/>
          </w:tcPr>
          <w:p w:rsidR="003A303F" w:rsidRPr="003A303F" w:rsidRDefault="00EE303D" w:rsidP="00691B0F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914.651</w:t>
            </w:r>
          </w:p>
        </w:tc>
        <w:tc>
          <w:tcPr>
            <w:tcW w:w="1176" w:type="dxa"/>
            <w:vAlign w:val="bottom"/>
          </w:tcPr>
          <w:p w:rsidR="003A303F" w:rsidRPr="003A303F" w:rsidRDefault="00DE6EF4" w:rsidP="00CD23F1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922.706</w:t>
            </w:r>
          </w:p>
        </w:tc>
        <w:tc>
          <w:tcPr>
            <w:tcW w:w="1412" w:type="dxa"/>
            <w:vAlign w:val="bottom"/>
          </w:tcPr>
          <w:p w:rsidR="003A303F" w:rsidRPr="003A303F" w:rsidRDefault="003B51EC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98</w:t>
            </w:r>
            <w:r w:rsidR="009C71A4">
              <w:rPr>
                <w:rFonts w:ascii="Times New Roman" w:eastAsia="Times New Roman" w:hAnsi="Times New Roman" w:cs="Times New Roman"/>
                <w:lang w:val="sr-Latn-CS" w:eastAsia="sr-Latn-CS"/>
              </w:rPr>
              <w:t>0.000</w:t>
            </w:r>
          </w:p>
        </w:tc>
        <w:tc>
          <w:tcPr>
            <w:tcW w:w="1176" w:type="dxa"/>
            <w:vAlign w:val="bottom"/>
          </w:tcPr>
          <w:p w:rsidR="003A303F" w:rsidRPr="003A303F" w:rsidRDefault="00CB6870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+ 6,21</w:t>
            </w:r>
          </w:p>
        </w:tc>
        <w:tc>
          <w:tcPr>
            <w:tcW w:w="1412" w:type="dxa"/>
            <w:vAlign w:val="bottom"/>
          </w:tcPr>
          <w:p w:rsidR="003A303F" w:rsidRPr="003A303F" w:rsidRDefault="00657C02" w:rsidP="006B1446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-3,83</w:t>
            </w:r>
          </w:p>
        </w:tc>
      </w:tr>
      <w:tr w:rsidR="003A303F" w:rsidRPr="003A303F" w:rsidTr="00101C70">
        <w:tc>
          <w:tcPr>
            <w:tcW w:w="2628" w:type="dxa"/>
          </w:tcPr>
          <w:p w:rsidR="003A303F" w:rsidRPr="00813A9B" w:rsidRDefault="00FC59E5" w:rsidP="003A303F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с</w:t>
            </w:r>
            <w:r w:rsidR="003A303F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в</w:t>
            </w:r>
            <w:r w:rsidR="003A303F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е</w:t>
            </w:r>
            <w:r w:rsidR="003A303F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г</w:t>
            </w:r>
            <w:r w:rsidR="003A303F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а</w:t>
            </w:r>
          </w:p>
        </w:tc>
        <w:tc>
          <w:tcPr>
            <w:tcW w:w="1176" w:type="dxa"/>
          </w:tcPr>
          <w:p w:rsidR="003A303F" w:rsidRPr="00813A9B" w:rsidRDefault="00DE26BB" w:rsidP="00E231C9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1.221.897</w:t>
            </w:r>
          </w:p>
        </w:tc>
        <w:tc>
          <w:tcPr>
            <w:tcW w:w="1176" w:type="dxa"/>
          </w:tcPr>
          <w:p w:rsidR="003A303F" w:rsidRPr="00813A9B" w:rsidRDefault="00EE303D" w:rsidP="00E231C9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1.176.986</w:t>
            </w:r>
          </w:p>
        </w:tc>
        <w:tc>
          <w:tcPr>
            <w:tcW w:w="1176" w:type="dxa"/>
          </w:tcPr>
          <w:p w:rsidR="003A303F" w:rsidRPr="00813A9B" w:rsidRDefault="008F35B9" w:rsidP="00EB096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1.167.266</w:t>
            </w:r>
          </w:p>
        </w:tc>
        <w:tc>
          <w:tcPr>
            <w:tcW w:w="1412" w:type="dxa"/>
          </w:tcPr>
          <w:p w:rsidR="003A303F" w:rsidRPr="00813A9B" w:rsidRDefault="003B51EC" w:rsidP="006B144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1.23</w:t>
            </w:r>
            <w:r w:rsidR="009C71A4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0.000</w:t>
            </w:r>
          </w:p>
        </w:tc>
        <w:tc>
          <w:tcPr>
            <w:tcW w:w="1176" w:type="dxa"/>
          </w:tcPr>
          <w:p w:rsidR="003A303F" w:rsidRPr="00813A9B" w:rsidRDefault="00084E25" w:rsidP="006B144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+ 5,37</w:t>
            </w:r>
          </w:p>
        </w:tc>
        <w:tc>
          <w:tcPr>
            <w:tcW w:w="1412" w:type="dxa"/>
          </w:tcPr>
          <w:p w:rsidR="003A303F" w:rsidRPr="00813A9B" w:rsidRDefault="00521241" w:rsidP="006B144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-4,39</w:t>
            </w:r>
          </w:p>
        </w:tc>
      </w:tr>
      <w:tr w:rsidR="003A303F" w:rsidRPr="003A303F" w:rsidTr="00101C70">
        <w:tc>
          <w:tcPr>
            <w:tcW w:w="2628" w:type="dxa"/>
            <w:vAlign w:val="center"/>
          </w:tcPr>
          <w:p w:rsidR="003A303F" w:rsidRPr="003A303F" w:rsidRDefault="00FC59E5" w:rsidP="00A70432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У</w:t>
            </w:r>
            <w:r w:rsidR="003A303F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к</w:t>
            </w:r>
            <w:r w:rsidR="003A303F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у</w:t>
            </w:r>
            <w:r w:rsidR="003A303F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п</w:t>
            </w:r>
            <w:r w:rsidR="003A303F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н</w:t>
            </w:r>
            <w:r w:rsidR="003A303F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о</w:t>
            </w:r>
          </w:p>
        </w:tc>
        <w:tc>
          <w:tcPr>
            <w:tcW w:w="1176" w:type="dxa"/>
          </w:tcPr>
          <w:p w:rsidR="003A303F" w:rsidRPr="003A303F" w:rsidRDefault="00063E9B" w:rsidP="00E231C9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1.405.701</w:t>
            </w:r>
          </w:p>
        </w:tc>
        <w:tc>
          <w:tcPr>
            <w:tcW w:w="1176" w:type="dxa"/>
          </w:tcPr>
          <w:p w:rsidR="003A303F" w:rsidRPr="003A303F" w:rsidRDefault="00E231C9" w:rsidP="00E231C9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613D68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1.364.228</w:t>
            </w:r>
          </w:p>
        </w:tc>
        <w:tc>
          <w:tcPr>
            <w:tcW w:w="1176" w:type="dxa"/>
          </w:tcPr>
          <w:p w:rsidR="003A303F" w:rsidRPr="00CD23F1" w:rsidRDefault="00EB096E" w:rsidP="00EB096E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D23F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1.357.640</w:t>
            </w:r>
          </w:p>
        </w:tc>
        <w:tc>
          <w:tcPr>
            <w:tcW w:w="1412" w:type="dxa"/>
          </w:tcPr>
          <w:p w:rsidR="003A303F" w:rsidRPr="00AD2B3B" w:rsidRDefault="003B51EC" w:rsidP="006B1446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1.42</w:t>
            </w:r>
            <w:r w:rsidR="00AD2B3B" w:rsidRPr="00AD2B3B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8.000</w:t>
            </w:r>
          </w:p>
        </w:tc>
        <w:tc>
          <w:tcPr>
            <w:tcW w:w="1176" w:type="dxa"/>
          </w:tcPr>
          <w:p w:rsidR="003A303F" w:rsidRPr="00521241" w:rsidRDefault="00084E25" w:rsidP="006B1446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52124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+ 5,18</w:t>
            </w:r>
          </w:p>
        </w:tc>
        <w:tc>
          <w:tcPr>
            <w:tcW w:w="1412" w:type="dxa"/>
          </w:tcPr>
          <w:p w:rsidR="003A303F" w:rsidRPr="00521241" w:rsidRDefault="00521241" w:rsidP="006B1446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52124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-3,82</w:t>
            </w:r>
          </w:p>
        </w:tc>
      </w:tr>
    </w:tbl>
    <w:p w:rsidR="00613D68" w:rsidRDefault="00613D68" w:rsidP="00EF0352">
      <w:pPr>
        <w:spacing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175D8A" w:rsidRPr="008841C7" w:rsidRDefault="00FC59E5" w:rsidP="00EF03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2016.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годину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односу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претходну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планирано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1A0EA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укупно</w:t>
      </w:r>
      <w:r w:rsidR="001A0EA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повећање</w:t>
      </w:r>
      <w:r w:rsidR="001A0EA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потрошње</w:t>
      </w:r>
      <w:r w:rsidR="001A0EA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воде</w:t>
      </w:r>
      <w:r w:rsidR="001A0EA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E82DE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5,18 %. </w:t>
      </w:r>
    </w:p>
    <w:p w:rsidR="00175D8A" w:rsidRPr="008841C7" w:rsidRDefault="00FC59E5" w:rsidP="00EF03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Код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потршача</w:t>
      </w:r>
      <w:r w:rsidR="00EF035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предузећа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установе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рачуна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се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наставак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тренда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повећања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потрошње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0141D9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C87DF4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2016.</w:t>
      </w:r>
      <w:r w:rsidR="00EF035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годину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планирано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повећање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испорука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воде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овим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потрошачима</w:t>
      </w:r>
      <w:r w:rsidR="003C1F77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износи</w:t>
      </w:r>
      <w:r w:rsidR="006A602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4</w:t>
      </w:r>
      <w:r w:rsidR="00805E32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%. </w:t>
      </w:r>
    </w:p>
    <w:p w:rsidR="00AA2BC0" w:rsidRPr="008841C7" w:rsidRDefault="00FC59E5" w:rsidP="00EF03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lastRenderedPageBreak/>
        <w:t>Код</w:t>
      </w:r>
      <w:r w:rsidR="00723A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категорије</w:t>
      </w:r>
      <w:r w:rsidR="002964C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потрошача</w:t>
      </w:r>
      <w:r w:rsidR="002964C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самосталне</w:t>
      </w:r>
      <w:r w:rsidR="002964C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радње</w:t>
      </w:r>
      <w:r w:rsidR="002964C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“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планирана</w:t>
      </w:r>
      <w:r w:rsidR="005A69E4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уградња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нових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водомјера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код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свих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потрошача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</w:t>
      </w:r>
      <w:r w:rsidR="004B779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сада</w:t>
      </w:r>
      <w:r w:rsidR="006706D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имају</w:t>
      </w:r>
      <w:r w:rsidR="002964C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паушалну</w:t>
      </w:r>
      <w:r w:rsidR="002964C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потрошњу</w:t>
      </w:r>
      <w:r w:rsidR="00723A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  <w:r w:rsidR="00CF20F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Смањењем</w:t>
      </w:r>
      <w:r w:rsidR="00A9624A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броја</w:t>
      </w:r>
      <w:r w:rsidR="00A9624A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потрошача</w:t>
      </w:r>
      <w:r w:rsidR="00A9624A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са</w:t>
      </w:r>
      <w:r w:rsidR="00A9624A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паушалним</w:t>
      </w:r>
      <w:r w:rsidR="00775BB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мјерењем</w:t>
      </w:r>
      <w:r w:rsidR="00775BB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потрошња</w:t>
      </w:r>
      <w:r w:rsidR="00BD63A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воде</w:t>
      </w:r>
      <w:r w:rsidR="00BD63A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би</w:t>
      </w:r>
      <w:r w:rsidR="00775BB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се</w:t>
      </w:r>
      <w:r w:rsidR="00775BB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реалније</w:t>
      </w:r>
      <w:r w:rsidR="00775BB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регистровала</w:t>
      </w:r>
      <w:r w:rsidR="00775BB6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ибила</w:t>
      </w:r>
      <w:r w:rsidR="00CC79E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би</w:t>
      </w:r>
      <w:r w:rsidR="00CC79E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већа</w:t>
      </w:r>
      <w:r w:rsidR="00CC79E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5C2EE5" w:rsidRPr="008841C7" w:rsidRDefault="00FC59E5" w:rsidP="00EF03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Планирано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повећање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испорука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воде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потрошачима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физичка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лица</w:t>
      </w:r>
      <w:r w:rsidR="00AC3361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“</w:t>
      </w:r>
      <w:r w:rsidR="006A602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износи</w:t>
      </w:r>
      <w:r w:rsidR="006A602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преко</w:t>
      </w:r>
      <w:r w:rsidR="006A602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5</w:t>
      </w:r>
      <w:r w:rsidR="00442770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442770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оно</w:t>
      </w:r>
      <w:r w:rsidR="00442770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се</w:t>
      </w:r>
      <w:r w:rsidR="005C2EE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углавном</w:t>
      </w:r>
      <w:r w:rsidR="00E24F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темељи</w:t>
      </w:r>
      <w:r w:rsidR="005C2EE5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,</w:t>
      </w:r>
      <w:r w:rsidR="00E24F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E24F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повећању</w:t>
      </w:r>
      <w:r w:rsidR="00E24F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броја</w:t>
      </w:r>
      <w:r w:rsidR="00E24F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корисника</w:t>
      </w:r>
      <w:r w:rsidR="00E24F28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F47E5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реалнијем</w:t>
      </w:r>
      <w:r w:rsidR="00F47E5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приказивању</w:t>
      </w:r>
      <w:r w:rsidR="00F47E5E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потрошње</w:t>
      </w:r>
      <w:r w:rsidR="004C4B8C" w:rsidRPr="008841C7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F2783C" w:rsidRPr="008841C7" w:rsidRDefault="00FC59E5" w:rsidP="00F2783C">
      <w:p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Плану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прихода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калкулисало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се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постојећим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цијенама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све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категорије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потрошача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Latn-CS"/>
        </w:rPr>
        <w:t>Али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понављамо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наш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став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изнијет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="005F52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sr-Latn-CS"/>
        </w:rPr>
        <w:t>Извјештају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раду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Друштва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20</w:t>
      </w:r>
      <w:r w:rsidR="0005080D" w:rsidRPr="008841C7">
        <w:rPr>
          <w:rFonts w:ascii="Times New Roman" w:hAnsi="Times New Roman" w:cs="Times New Roman"/>
          <w:sz w:val="28"/>
          <w:szCs w:val="28"/>
          <w:lang w:val="sr-Latn-CS"/>
        </w:rPr>
        <w:t>14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CS"/>
        </w:rPr>
        <w:t>години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sr-Latn-CS"/>
        </w:rPr>
        <w:t>да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је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постојећи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ниво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цијена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постао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ограничавајући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фактор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за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даље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успјешно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пословање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Друштва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да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омогућава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пословање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само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на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нивоу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просте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репродукције</w:t>
      </w:r>
      <w:r w:rsidR="00F2783C" w:rsidRPr="008841C7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7C4F25" w:rsidRDefault="00FC59E5" w:rsidP="00233C14">
      <w:pPr>
        <w:spacing w:line="240" w:lineRule="auto"/>
        <w:rPr>
          <w:rFonts w:ascii="Calibri" w:eastAsia="Calibri" w:hAnsi="Calibri" w:cs="Times New Roman"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sz w:val="28"/>
          <w:szCs w:val="28"/>
          <w:lang w:val="sr-Latn-CS"/>
        </w:rPr>
        <w:t>Финансијски</w:t>
      </w:r>
      <w:r w:rsidR="006B1446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исказ</w:t>
      </w:r>
      <w:r w:rsidR="006B1446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натуралног</w:t>
      </w:r>
      <w:r w:rsidR="006B1446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плана</w:t>
      </w:r>
      <w:r w:rsidR="006B1446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за</w:t>
      </w:r>
      <w:r w:rsidR="006B1446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2016</w:t>
      </w:r>
      <w:r w:rsidR="00233C14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годину</w:t>
      </w:r>
      <w:r w:rsidR="00F407D3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у</w:t>
      </w:r>
      <w:r w:rsidR="00F407D3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еурима</w:t>
      </w:r>
      <w:r w:rsidR="00F407D3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без</w:t>
      </w:r>
      <w:r w:rsidR="00F407D3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ПДВ</w:t>
      </w:r>
      <w:r w:rsidR="00F407D3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а</w:t>
      </w:r>
      <w:r w:rsidR="00F407D3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је</w:t>
      </w:r>
      <w:r w:rsidR="00233C14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сљедећи</w:t>
      </w:r>
      <w:r w:rsidR="00233C14" w:rsidRPr="008841C7">
        <w:rPr>
          <w:rFonts w:ascii="Times New Roman" w:eastAsia="Calibri" w:hAnsi="Times New Roman" w:cs="Times New Roman"/>
          <w:sz w:val="28"/>
          <w:szCs w:val="28"/>
          <w:lang w:val="sr-Latn-CS"/>
        </w:rPr>
        <w:t>:</w:t>
      </w:r>
    </w:p>
    <w:p w:rsidR="00725561" w:rsidRPr="008841C7" w:rsidRDefault="00725561" w:rsidP="00233C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9920" w:type="dxa"/>
        <w:tblLook w:val="04A0"/>
      </w:tblPr>
      <w:tblGrid>
        <w:gridCol w:w="2628"/>
        <w:gridCol w:w="1176"/>
        <w:gridCol w:w="1176"/>
        <w:gridCol w:w="1176"/>
        <w:gridCol w:w="1176"/>
        <w:gridCol w:w="1176"/>
        <w:gridCol w:w="1412"/>
      </w:tblGrid>
      <w:tr w:rsidR="002268B0" w:rsidRPr="00B6515E" w:rsidTr="00B6515E"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8B0" w:rsidRPr="00B6515E" w:rsidRDefault="00FC59E5" w:rsidP="001B7A44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потрошачи</w:t>
            </w:r>
          </w:p>
        </w:tc>
        <w:tc>
          <w:tcPr>
            <w:tcW w:w="352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2268B0" w:rsidRPr="00B6515E" w:rsidRDefault="00C07349" w:rsidP="00E50720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Ф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актурисана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количине</w:t>
            </w:r>
            <w:r w:rsidR="00A301AB"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воде</w:t>
            </w:r>
            <w:r w:rsidR="00E50720"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у</w:t>
            </w:r>
            <w:r w:rsidR="00E50720"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€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268B0" w:rsidRPr="00B6515E" w:rsidRDefault="00FC59E5" w:rsidP="00F477D8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план</w:t>
            </w:r>
            <w:r w:rsidR="002268B0"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за</w:t>
            </w:r>
            <w:r w:rsidR="002268B0"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2016.</w:t>
            </w: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  <w:r w:rsidR="00F477D8"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. € 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2268B0" w:rsidRPr="00B6515E" w:rsidRDefault="00A51078" w:rsidP="001B7A44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B65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2016/2015 %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68B0" w:rsidRPr="00B6515E" w:rsidRDefault="00FC59E5" w:rsidP="00B651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оствар</w:t>
            </w:r>
            <w:r w:rsidR="008449B6" w:rsidRPr="00B65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2015</w:t>
            </w:r>
            <w:r w:rsidR="00B65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/</w:t>
            </w:r>
            <w:r w:rsidR="008449B6" w:rsidRPr="00B65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план</w:t>
            </w:r>
            <w:r w:rsidR="008449B6" w:rsidRPr="00B65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2015</w:t>
            </w:r>
          </w:p>
        </w:tc>
      </w:tr>
      <w:tr w:rsidR="002268B0" w:rsidRPr="00B6515E" w:rsidTr="00BC7D8E">
        <w:tc>
          <w:tcPr>
            <w:tcW w:w="26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8B0" w:rsidRPr="00B6515E" w:rsidRDefault="002268B0" w:rsidP="001B7A44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double" w:sz="4" w:space="0" w:color="auto"/>
            </w:tcBorders>
          </w:tcPr>
          <w:p w:rsidR="002268B0" w:rsidRPr="00B6515E" w:rsidRDefault="002268B0" w:rsidP="001B7A44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2013.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B6515E" w:rsidRDefault="002268B0" w:rsidP="001B7A44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2014.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B6515E" w:rsidRDefault="002268B0" w:rsidP="001B7A44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B6515E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2015.</w:t>
            </w:r>
            <w:r w:rsidR="00FC59E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г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</w:tcPr>
          <w:p w:rsidR="002268B0" w:rsidRPr="00B6515E" w:rsidRDefault="002268B0" w:rsidP="001B7A44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</w:tcPr>
          <w:p w:rsidR="002268B0" w:rsidRPr="00B6515E" w:rsidRDefault="002268B0" w:rsidP="001B7A44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14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68B0" w:rsidRPr="00B6515E" w:rsidRDefault="002268B0" w:rsidP="001B7A44">
            <w:pP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</w:tr>
      <w:tr w:rsidR="002268B0" w:rsidRPr="003A303F" w:rsidTr="00BC7D8E">
        <w:tc>
          <w:tcPr>
            <w:tcW w:w="2628" w:type="dxa"/>
            <w:tcBorders>
              <w:top w:val="double" w:sz="4" w:space="0" w:color="auto"/>
              <w:left w:val="double" w:sz="4" w:space="0" w:color="auto"/>
            </w:tcBorders>
          </w:tcPr>
          <w:p w:rsidR="002268B0" w:rsidRPr="003A303F" w:rsidRDefault="00FC59E5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правна</w:t>
            </w:r>
            <w:r w:rsidR="002268B0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лица</w:t>
            </w: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2268B0" w:rsidRPr="003A303F" w:rsidRDefault="002268B0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2268B0" w:rsidRPr="003A303F" w:rsidRDefault="002268B0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2268B0" w:rsidRPr="003A303F" w:rsidRDefault="002268B0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2268B0" w:rsidRPr="003A303F" w:rsidRDefault="002268B0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2268B0" w:rsidRPr="003A303F" w:rsidRDefault="002268B0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12" w:type="dxa"/>
            <w:tcBorders>
              <w:top w:val="double" w:sz="4" w:space="0" w:color="auto"/>
              <w:right w:val="double" w:sz="4" w:space="0" w:color="auto"/>
            </w:tcBorders>
          </w:tcPr>
          <w:p w:rsidR="002268B0" w:rsidRPr="003A303F" w:rsidRDefault="002268B0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3A303F" w:rsidRDefault="00FC59E5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предузећа</w:t>
            </w:r>
            <w:r w:rsidR="002268B0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2268B0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установе</w:t>
            </w:r>
          </w:p>
        </w:tc>
        <w:tc>
          <w:tcPr>
            <w:tcW w:w="1176" w:type="dxa"/>
          </w:tcPr>
          <w:p w:rsidR="002268B0" w:rsidRPr="003A303F" w:rsidRDefault="009C1D77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150.237</w:t>
            </w:r>
          </w:p>
        </w:tc>
        <w:tc>
          <w:tcPr>
            <w:tcW w:w="1176" w:type="dxa"/>
          </w:tcPr>
          <w:p w:rsidR="002268B0" w:rsidRPr="003A303F" w:rsidRDefault="0091015B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164.533</w:t>
            </w:r>
          </w:p>
        </w:tc>
        <w:tc>
          <w:tcPr>
            <w:tcW w:w="1176" w:type="dxa"/>
          </w:tcPr>
          <w:p w:rsidR="002268B0" w:rsidRPr="003A303F" w:rsidRDefault="00FD2353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177.575</w:t>
            </w:r>
          </w:p>
        </w:tc>
        <w:tc>
          <w:tcPr>
            <w:tcW w:w="1176" w:type="dxa"/>
          </w:tcPr>
          <w:p w:rsidR="002268B0" w:rsidRPr="003A303F" w:rsidRDefault="000E69F9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184.985</w:t>
            </w:r>
          </w:p>
        </w:tc>
        <w:tc>
          <w:tcPr>
            <w:tcW w:w="1176" w:type="dxa"/>
          </w:tcPr>
          <w:p w:rsidR="002268B0" w:rsidRPr="003A303F" w:rsidRDefault="00A4513C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+ 34.17</w:t>
            </w: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:rsidR="002268B0" w:rsidRPr="003A303F" w:rsidRDefault="00075DA3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+ 1.</w:t>
            </w:r>
            <w:r w:rsidR="00514D46">
              <w:rPr>
                <w:rFonts w:ascii="Times New Roman" w:eastAsia="Times New Roman" w:hAnsi="Times New Roman" w:cs="Times New Roman"/>
                <w:lang w:val="sr-Latn-CS" w:eastAsia="sr-Latn-CS"/>
              </w:rPr>
              <w:t>47</w:t>
            </w: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3A303F" w:rsidRDefault="00FC59E5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самосталне</w:t>
            </w:r>
            <w:r w:rsidR="002268B0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радње</w:t>
            </w:r>
          </w:p>
        </w:tc>
        <w:tc>
          <w:tcPr>
            <w:tcW w:w="1176" w:type="dxa"/>
          </w:tcPr>
          <w:p w:rsidR="002268B0" w:rsidRPr="003A303F" w:rsidRDefault="009C1D77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48.316</w:t>
            </w:r>
          </w:p>
        </w:tc>
        <w:tc>
          <w:tcPr>
            <w:tcW w:w="1176" w:type="dxa"/>
          </w:tcPr>
          <w:p w:rsidR="002268B0" w:rsidRPr="003A303F" w:rsidRDefault="0091015B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50.054</w:t>
            </w:r>
          </w:p>
        </w:tc>
        <w:tc>
          <w:tcPr>
            <w:tcW w:w="1176" w:type="dxa"/>
          </w:tcPr>
          <w:p w:rsidR="002268B0" w:rsidRPr="003A303F" w:rsidRDefault="00FD2353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52.393</w:t>
            </w:r>
          </w:p>
        </w:tc>
        <w:tc>
          <w:tcPr>
            <w:tcW w:w="1176" w:type="dxa"/>
          </w:tcPr>
          <w:p w:rsidR="002268B0" w:rsidRPr="003A303F" w:rsidRDefault="000E69F9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52.853</w:t>
            </w:r>
          </w:p>
        </w:tc>
        <w:tc>
          <w:tcPr>
            <w:tcW w:w="1176" w:type="dxa"/>
          </w:tcPr>
          <w:p w:rsidR="002268B0" w:rsidRPr="003A303F" w:rsidRDefault="008D53D8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+ 0.88</w:t>
            </w: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:rsidR="002268B0" w:rsidRPr="003A303F" w:rsidRDefault="00075DA3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-4.</w:t>
            </w:r>
            <w:r w:rsidR="000B5507">
              <w:rPr>
                <w:rFonts w:ascii="Times New Roman" w:eastAsia="Times New Roman" w:hAnsi="Times New Roman" w:cs="Times New Roman"/>
                <w:lang w:val="sr-Latn-CS" w:eastAsia="sr-Latn-CS"/>
              </w:rPr>
              <w:t>74</w:t>
            </w: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813A9B" w:rsidRDefault="00FC59E5" w:rsidP="001B7A44">
            <w:pP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с</w:t>
            </w:r>
            <w:r w:rsidR="002268B0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в</w:t>
            </w:r>
            <w:r w:rsidR="002268B0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е</w:t>
            </w:r>
            <w:r w:rsidR="002268B0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г</w:t>
            </w:r>
            <w:r w:rsidR="002268B0"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а</w:t>
            </w:r>
          </w:p>
        </w:tc>
        <w:tc>
          <w:tcPr>
            <w:tcW w:w="1176" w:type="dxa"/>
          </w:tcPr>
          <w:p w:rsidR="002268B0" w:rsidRPr="00813A9B" w:rsidRDefault="007B7BA3" w:rsidP="001B7A4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198.553</w:t>
            </w:r>
          </w:p>
        </w:tc>
        <w:tc>
          <w:tcPr>
            <w:tcW w:w="1176" w:type="dxa"/>
          </w:tcPr>
          <w:p w:rsidR="002268B0" w:rsidRPr="00813A9B" w:rsidRDefault="00FB1BAC" w:rsidP="001B7A4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214.587</w:t>
            </w:r>
          </w:p>
        </w:tc>
        <w:tc>
          <w:tcPr>
            <w:tcW w:w="1176" w:type="dxa"/>
          </w:tcPr>
          <w:p w:rsidR="002268B0" w:rsidRPr="00813A9B" w:rsidRDefault="00FD2353" w:rsidP="00401EC0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229.968</w:t>
            </w:r>
          </w:p>
        </w:tc>
        <w:tc>
          <w:tcPr>
            <w:tcW w:w="1176" w:type="dxa"/>
          </w:tcPr>
          <w:p w:rsidR="002268B0" w:rsidRPr="00813A9B" w:rsidRDefault="000E69F9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237.838</w:t>
            </w:r>
          </w:p>
        </w:tc>
        <w:tc>
          <w:tcPr>
            <w:tcW w:w="1176" w:type="dxa"/>
          </w:tcPr>
          <w:p w:rsidR="002268B0" w:rsidRPr="00813A9B" w:rsidRDefault="008D53D8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+ 3.42</w:t>
            </w: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:rsidR="002268B0" w:rsidRPr="00813A9B" w:rsidRDefault="00075DA3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+0.</w:t>
            </w:r>
            <w:r w:rsidR="00514D4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01</w:t>
            </w: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3A303F" w:rsidRDefault="00FC59E5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физичка</w:t>
            </w:r>
            <w:r w:rsidR="002268B0" w:rsidRPr="003A303F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лица</w:t>
            </w:r>
          </w:p>
        </w:tc>
        <w:tc>
          <w:tcPr>
            <w:tcW w:w="1176" w:type="dxa"/>
          </w:tcPr>
          <w:p w:rsidR="002268B0" w:rsidRPr="003A303F" w:rsidRDefault="002268B0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2268B0" w:rsidRPr="003A303F" w:rsidRDefault="002268B0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2268B0" w:rsidRPr="003A303F" w:rsidRDefault="002268B0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2268B0" w:rsidRPr="003A303F" w:rsidRDefault="002268B0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6" w:type="dxa"/>
          </w:tcPr>
          <w:p w:rsidR="002268B0" w:rsidRPr="003A303F" w:rsidRDefault="002268B0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:rsidR="002268B0" w:rsidRPr="003A303F" w:rsidRDefault="002268B0" w:rsidP="00401EC0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3A303F" w:rsidRDefault="00FC59E5" w:rsidP="001B7A44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потрошачи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у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стамб</w:t>
            </w:r>
            <w:r w:rsidR="00C0734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.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објектима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са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више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стамбених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јединица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а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  <w:p w:rsidR="002268B0" w:rsidRPr="003A303F" w:rsidRDefault="00FC59E5" w:rsidP="001B7A44">
            <w:pPr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заједничким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мјерилом</w:t>
            </w:r>
          </w:p>
        </w:tc>
        <w:tc>
          <w:tcPr>
            <w:tcW w:w="1176" w:type="dxa"/>
            <w:vAlign w:val="bottom"/>
          </w:tcPr>
          <w:p w:rsidR="002268B0" w:rsidRPr="003A303F" w:rsidRDefault="00200828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75.396</w:t>
            </w:r>
          </w:p>
        </w:tc>
        <w:tc>
          <w:tcPr>
            <w:tcW w:w="1176" w:type="dxa"/>
            <w:vAlign w:val="bottom"/>
          </w:tcPr>
          <w:p w:rsidR="002268B0" w:rsidRPr="003A303F" w:rsidRDefault="00B20A6E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70.122</w:t>
            </w:r>
          </w:p>
        </w:tc>
        <w:tc>
          <w:tcPr>
            <w:tcW w:w="1176" w:type="dxa"/>
            <w:vAlign w:val="bottom"/>
          </w:tcPr>
          <w:p w:rsidR="002268B0" w:rsidRPr="003A303F" w:rsidRDefault="00D21ED6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62.067</w:t>
            </w:r>
          </w:p>
        </w:tc>
        <w:tc>
          <w:tcPr>
            <w:tcW w:w="1176" w:type="dxa"/>
            <w:vAlign w:val="bottom"/>
          </w:tcPr>
          <w:p w:rsidR="002268B0" w:rsidRPr="003A303F" w:rsidRDefault="003C60A5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64.200</w:t>
            </w:r>
          </w:p>
        </w:tc>
        <w:tc>
          <w:tcPr>
            <w:tcW w:w="1176" w:type="dxa"/>
            <w:vAlign w:val="bottom"/>
          </w:tcPr>
          <w:p w:rsidR="002268B0" w:rsidRPr="003A303F" w:rsidRDefault="002A6D51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+ 3.44</w:t>
            </w:r>
          </w:p>
        </w:tc>
        <w:tc>
          <w:tcPr>
            <w:tcW w:w="1412" w:type="dxa"/>
            <w:tcBorders>
              <w:right w:val="double" w:sz="4" w:space="0" w:color="auto"/>
            </w:tcBorders>
            <w:vAlign w:val="bottom"/>
          </w:tcPr>
          <w:p w:rsidR="002268B0" w:rsidRPr="003A303F" w:rsidRDefault="00974191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-16.16</w:t>
            </w: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3A303F" w:rsidRDefault="00FC59E5" w:rsidP="001B7A44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потрошачи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у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индивидуалним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стамбеним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објектима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 </w:t>
            </w:r>
          </w:p>
          <w:p w:rsidR="002268B0" w:rsidRPr="003A303F" w:rsidRDefault="00FC59E5" w:rsidP="001B7A44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сопственим</w:t>
            </w:r>
            <w:r w:rsidR="002268B0" w:rsidRPr="003A30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мјерилом</w:t>
            </w:r>
          </w:p>
        </w:tc>
        <w:tc>
          <w:tcPr>
            <w:tcW w:w="1176" w:type="dxa"/>
            <w:vAlign w:val="bottom"/>
          </w:tcPr>
          <w:p w:rsidR="002268B0" w:rsidRPr="003A303F" w:rsidRDefault="00200828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252.670</w:t>
            </w:r>
          </w:p>
        </w:tc>
        <w:tc>
          <w:tcPr>
            <w:tcW w:w="1176" w:type="dxa"/>
            <w:vAlign w:val="bottom"/>
          </w:tcPr>
          <w:p w:rsidR="002268B0" w:rsidRPr="003A303F" w:rsidRDefault="00795071" w:rsidP="001B7A4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246.737</w:t>
            </w:r>
          </w:p>
        </w:tc>
        <w:tc>
          <w:tcPr>
            <w:tcW w:w="1176" w:type="dxa"/>
            <w:vAlign w:val="bottom"/>
          </w:tcPr>
          <w:p w:rsidR="002268B0" w:rsidRPr="003A303F" w:rsidRDefault="00D21ED6" w:rsidP="003129A4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234.965</w:t>
            </w:r>
          </w:p>
        </w:tc>
        <w:tc>
          <w:tcPr>
            <w:tcW w:w="1176" w:type="dxa"/>
            <w:vAlign w:val="bottom"/>
          </w:tcPr>
          <w:p w:rsidR="002268B0" w:rsidRPr="003A303F" w:rsidRDefault="003C60A5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2</w:t>
            </w:r>
            <w:r w:rsidR="004A64A8">
              <w:rPr>
                <w:rFonts w:ascii="Times New Roman" w:eastAsia="Times New Roman" w:hAnsi="Times New Roman" w:cs="Times New Roman"/>
                <w:lang w:val="sr-Latn-CS" w:eastAsia="sr-Latn-CS"/>
              </w:rPr>
              <w:t>51.664</w:t>
            </w:r>
          </w:p>
        </w:tc>
        <w:tc>
          <w:tcPr>
            <w:tcW w:w="1176" w:type="dxa"/>
            <w:vAlign w:val="bottom"/>
          </w:tcPr>
          <w:p w:rsidR="002268B0" w:rsidRPr="003A303F" w:rsidRDefault="008A1FD6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+ </w:t>
            </w:r>
            <w:r w:rsidR="002A6D51">
              <w:rPr>
                <w:rFonts w:ascii="Times New Roman" w:eastAsia="Times New Roman" w:hAnsi="Times New Roman" w:cs="Times New Roman"/>
                <w:lang w:val="sr-Latn-CS" w:eastAsia="sr-Latn-CS"/>
              </w:rPr>
              <w:t>7.11</w:t>
            </w:r>
          </w:p>
        </w:tc>
        <w:tc>
          <w:tcPr>
            <w:tcW w:w="1412" w:type="dxa"/>
            <w:tcBorders>
              <w:right w:val="double" w:sz="4" w:space="0" w:color="auto"/>
            </w:tcBorders>
            <w:vAlign w:val="bottom"/>
          </w:tcPr>
          <w:p w:rsidR="002268B0" w:rsidRPr="003A303F" w:rsidRDefault="00815D45" w:rsidP="00302D77">
            <w:pPr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-12.22</w:t>
            </w: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</w:tcBorders>
          </w:tcPr>
          <w:p w:rsidR="002268B0" w:rsidRPr="00813A9B" w:rsidRDefault="002268B0" w:rsidP="001B7A44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                        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с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в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е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г</w:t>
            </w:r>
            <w:r w:rsidRPr="00813A9B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а</w:t>
            </w:r>
          </w:p>
        </w:tc>
        <w:tc>
          <w:tcPr>
            <w:tcW w:w="1176" w:type="dxa"/>
          </w:tcPr>
          <w:p w:rsidR="002268B0" w:rsidRPr="00813A9B" w:rsidRDefault="00200828" w:rsidP="001B7A4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328.066</w:t>
            </w:r>
          </w:p>
        </w:tc>
        <w:tc>
          <w:tcPr>
            <w:tcW w:w="1176" w:type="dxa"/>
          </w:tcPr>
          <w:p w:rsidR="002268B0" w:rsidRPr="00813A9B" w:rsidRDefault="00795071" w:rsidP="001B7A4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316.859</w:t>
            </w:r>
          </w:p>
        </w:tc>
        <w:tc>
          <w:tcPr>
            <w:tcW w:w="1176" w:type="dxa"/>
          </w:tcPr>
          <w:p w:rsidR="002268B0" w:rsidRPr="00813A9B" w:rsidRDefault="00D21ED6" w:rsidP="00401EC0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Latn-CS" w:eastAsia="sr-Latn-CS"/>
              </w:rPr>
              <w:t>297.032</w:t>
            </w:r>
          </w:p>
        </w:tc>
        <w:tc>
          <w:tcPr>
            <w:tcW w:w="1176" w:type="dxa"/>
          </w:tcPr>
          <w:p w:rsidR="002268B0" w:rsidRPr="00813A9B" w:rsidRDefault="008A1FD6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813A9B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315.864</w:t>
            </w:r>
          </w:p>
        </w:tc>
        <w:tc>
          <w:tcPr>
            <w:tcW w:w="1176" w:type="dxa"/>
          </w:tcPr>
          <w:p w:rsidR="002268B0" w:rsidRPr="00813A9B" w:rsidRDefault="00974191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+ 6.34</w:t>
            </w: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:rsidR="002268B0" w:rsidRPr="00813A9B" w:rsidRDefault="00815D45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-13.07</w:t>
            </w:r>
          </w:p>
        </w:tc>
      </w:tr>
      <w:tr w:rsidR="002268B0" w:rsidRPr="003A303F" w:rsidTr="00BC7D8E"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</w:tcPr>
          <w:p w:rsidR="002268B0" w:rsidRPr="003A303F" w:rsidRDefault="00FC59E5" w:rsidP="00B6515E">
            <w:pPr>
              <w:tabs>
                <w:tab w:val="left" w:pos="5787"/>
              </w:tabs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У</w:t>
            </w:r>
            <w:r w:rsidR="002268B0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к</w:t>
            </w:r>
            <w:r w:rsidR="002268B0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у</w:t>
            </w:r>
            <w:r w:rsidR="002268B0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п</w:t>
            </w:r>
            <w:r w:rsidR="002268B0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н</w:t>
            </w:r>
            <w:r w:rsidR="002268B0" w:rsidRPr="003A303F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о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3A303F" w:rsidRDefault="00B25CB9" w:rsidP="001B7A44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526.619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3A303F" w:rsidRDefault="009C1D77" w:rsidP="001B7A44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531.446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CF708E" w:rsidRDefault="007D7202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5</w:t>
            </w:r>
            <w:r w:rsidR="00D21ED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27.000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2900D3" w:rsidRDefault="008A1FD6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553.702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2268B0" w:rsidRPr="002900D3" w:rsidRDefault="00974191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+ 5.07</w:t>
            </w:r>
          </w:p>
        </w:tc>
        <w:tc>
          <w:tcPr>
            <w:tcW w:w="1412" w:type="dxa"/>
            <w:tcBorders>
              <w:bottom w:val="double" w:sz="4" w:space="0" w:color="auto"/>
              <w:right w:val="double" w:sz="4" w:space="0" w:color="auto"/>
            </w:tcBorders>
          </w:tcPr>
          <w:p w:rsidR="002268B0" w:rsidRPr="002900D3" w:rsidRDefault="00075DA3" w:rsidP="00401EC0">
            <w:pPr>
              <w:jc w:val="right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-7.</w:t>
            </w:r>
            <w:r w:rsidR="00815D45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82</w:t>
            </w:r>
          </w:p>
        </w:tc>
      </w:tr>
    </w:tbl>
    <w:p w:rsidR="00E66753" w:rsidRDefault="00E66753"/>
    <w:p w:rsidR="004120F3" w:rsidRPr="007C4F25" w:rsidRDefault="00FC59E5" w:rsidP="00EF0352">
      <w:pPr>
        <w:pStyle w:val="BodyText"/>
        <w:tabs>
          <w:tab w:val="left" w:pos="5787"/>
        </w:tabs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</w:rPr>
        <w:t>Планом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прихода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Друштва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2016.</w:t>
      </w:r>
      <w:r>
        <w:rPr>
          <w:rFonts w:ascii="Times New Roman" w:hAnsi="Times New Roman" w:cs="Times New Roman"/>
          <w:sz w:val="28"/>
          <w:szCs w:val="28"/>
        </w:rPr>
        <w:t>годину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предвиђено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повећање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прихода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остварују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дјелатношћу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испорукама</w:t>
      </w:r>
      <w:r w:rsidR="000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074E" w:rsidRPr="007C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одвођењем</w:t>
      </w:r>
      <w:r w:rsidR="0034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отпадних</w:t>
      </w:r>
      <w:r w:rsidR="0034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746FE1" w:rsidRPr="007C4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776464">
        <w:rPr>
          <w:rFonts w:ascii="Times New Roman" w:hAnsi="Times New Roman" w:cs="Times New Roman"/>
          <w:sz w:val="28"/>
          <w:szCs w:val="28"/>
        </w:rPr>
        <w:t xml:space="preserve"> 5,07</w:t>
      </w:r>
      <w:r w:rsidR="00E652EB" w:rsidRPr="002637EF">
        <w:rPr>
          <w:rFonts w:ascii="Times New Roman" w:hAnsi="Times New Roman" w:cs="Times New Roman"/>
          <w:sz w:val="28"/>
          <w:szCs w:val="28"/>
        </w:rPr>
        <w:t xml:space="preserve"> %.</w:t>
      </w:r>
      <w:r w:rsidR="0034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Поред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основног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планом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предвиђени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су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се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остварују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основу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наплате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нових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прикључака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такса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одржавање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водомјера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услуга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цистерна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lastRenderedPageBreak/>
        <w:t>канал</w:t>
      </w:r>
      <w:r w:rsidR="00B51DAC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јет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донација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рефундираних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средстава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Овај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нивоу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прошлогодишњег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износу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C76DF6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85</w:t>
      </w:r>
      <w:r w:rsidR="00172F54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.000,- €.</w:t>
      </w:r>
    </w:p>
    <w:p w:rsidR="00AB57C8" w:rsidRPr="007C4F25" w:rsidRDefault="00FC59E5" w:rsidP="00EF0352">
      <w:pPr>
        <w:pStyle w:val="BodyText"/>
        <w:tabs>
          <w:tab w:val="left" w:pos="5787"/>
        </w:tabs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обзиром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ограничена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средства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којима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руштво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располаже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потребно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да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Оснивач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капиталним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буџетом</w:t>
      </w:r>
      <w:r w:rsidR="00353BD7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предвиди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финансијска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средства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улагање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опрему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инсталације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којима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газдује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управља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ово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AB57C8" w:rsidRPr="007C4F25" w:rsidRDefault="00FC59E5" w:rsidP="00EF0352">
      <w:pPr>
        <w:pStyle w:val="BodyText"/>
        <w:tabs>
          <w:tab w:val="left" w:pos="5787"/>
        </w:tabs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расхода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одре</w:t>
      </w:r>
      <w:r w:rsidR="00B51DAC">
        <w:rPr>
          <w:rFonts w:ascii="Times New Roman" w:eastAsia="Times New Roman" w:hAnsi="Times New Roman" w:cs="Times New Roman"/>
          <w:sz w:val="28"/>
          <w:szCs w:val="28"/>
          <w:lang/>
        </w:rPr>
        <w:t>ђ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ен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планом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његовој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структури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појединачни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трошкови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задржали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учешће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укупним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трошковима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како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остваривано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претходним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годинама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Укупни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трошкови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износу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1A654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635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.000,- €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појединачно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највеће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учешце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имају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зараде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запошљених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затим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трошкови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материјала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одржавања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водоводних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канализационих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инсталација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којима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газдује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AB57C8" w:rsidRPr="007C4F25" w:rsidRDefault="00FC59E5" w:rsidP="00AB57C8">
      <w:pPr>
        <w:pStyle w:val="BodyText"/>
        <w:tabs>
          <w:tab w:val="left" w:pos="5787"/>
        </w:tabs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Билансом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успјеха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наредну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годину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разлика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изме</w:t>
      </w:r>
      <w:r w:rsidR="00B51DAC">
        <w:rPr>
          <w:rFonts w:ascii="Times New Roman" w:eastAsia="Times New Roman" w:hAnsi="Times New Roman" w:cs="Times New Roman"/>
          <w:sz w:val="28"/>
          <w:szCs w:val="28"/>
          <w:lang/>
        </w:rPr>
        <w:t>ђ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расхода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износу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</w:t>
      </w:r>
      <w:r w:rsidR="00F6780D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1.465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,- €.</w:t>
      </w:r>
    </w:p>
    <w:p w:rsidR="00B51DAC" w:rsidRDefault="00FC59E5" w:rsidP="00AB57C8">
      <w:pPr>
        <w:pStyle w:val="BodyText"/>
        <w:tabs>
          <w:tab w:val="left" w:pos="5787"/>
        </w:tabs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табели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која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слиједи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дајемо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приказ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планираних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расхода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703CDC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2016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њихову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структуру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као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упоредјење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са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оствареним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приходима</w:t>
      </w:r>
      <w:r w:rsidR="00244CFF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</w:p>
    <w:p w:rsidR="00AB57C8" w:rsidRPr="00B51DAC" w:rsidRDefault="00FC59E5" w:rsidP="00AB57C8">
      <w:pPr>
        <w:pStyle w:val="BodyText"/>
        <w:tabs>
          <w:tab w:val="left" w:pos="5787"/>
        </w:tabs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244CFF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расходима</w:t>
      </w:r>
      <w:r w:rsidR="00244CFF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244CFF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претходне</w:t>
      </w:r>
      <w:r w:rsidR="00244CFF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двије</w:t>
      </w:r>
      <w:r w:rsidR="00244CFF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године</w:t>
      </w:r>
      <w:r w:rsidR="00AB57C8" w:rsidRPr="007C4F25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34228E" w:rsidRDefault="0034228E" w:rsidP="00AB57C8">
      <w:pPr>
        <w:pStyle w:val="BodyText"/>
        <w:tabs>
          <w:tab w:val="left" w:pos="5787"/>
        </w:tabs>
        <w:rPr>
          <w:rFonts w:ascii="Times New Roman" w:eastAsia="Times New Roman" w:hAnsi="Times New Roman" w:cs="Times New Roman"/>
          <w:lang w:val="sr-Latn-CS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6"/>
        <w:gridCol w:w="1148"/>
        <w:gridCol w:w="1148"/>
        <w:gridCol w:w="1148"/>
      </w:tblGrid>
      <w:tr w:rsidR="00C85877" w:rsidRPr="00C3065E" w:rsidTr="0063493F">
        <w:trPr>
          <w:jc w:val="center"/>
        </w:trPr>
        <w:tc>
          <w:tcPr>
            <w:tcW w:w="4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5877" w:rsidRPr="00C3065E" w:rsidRDefault="00FC59E5" w:rsidP="001B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Приходи</w:t>
            </w:r>
            <w:r w:rsidR="00C85877" w:rsidRPr="00C3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и</w:t>
            </w:r>
            <w:r w:rsidR="00C85877" w:rsidRPr="00C3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расходи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877" w:rsidRPr="00C3065E" w:rsidRDefault="00C85877" w:rsidP="001B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2014.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877" w:rsidRPr="00C3065E" w:rsidRDefault="00244CFF" w:rsidP="001B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2015.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877" w:rsidRPr="00C3065E" w:rsidRDefault="00244CFF" w:rsidP="001B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3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2016</w:t>
            </w:r>
            <w:r w:rsidR="00C85877" w:rsidRPr="00C3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укупни</w:t>
            </w:r>
            <w:r w:rsidR="00C85877" w:rsidRPr="00B5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приход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C85877" w:rsidRPr="00B55E69" w:rsidRDefault="00CD46D3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635.353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C85877" w:rsidRPr="00B55E69" w:rsidRDefault="00F6780D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612.062</w:t>
            </w:r>
          </w:p>
        </w:tc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</w:tcPr>
          <w:p w:rsidR="00C85877" w:rsidRPr="00B55E69" w:rsidRDefault="00CA6C7E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641.579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правна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лица</w:t>
            </w:r>
          </w:p>
        </w:tc>
        <w:tc>
          <w:tcPr>
            <w:tcW w:w="1148" w:type="dxa"/>
          </w:tcPr>
          <w:p w:rsidR="00C85877" w:rsidRPr="00B55E69" w:rsidRDefault="00CD46D3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214.588</w:t>
            </w:r>
          </w:p>
        </w:tc>
        <w:tc>
          <w:tcPr>
            <w:tcW w:w="1148" w:type="dxa"/>
          </w:tcPr>
          <w:p w:rsidR="00C85877" w:rsidRPr="00B55E69" w:rsidRDefault="00F6780D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229.969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CA6C7E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240.715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физичка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лица</w:t>
            </w:r>
          </w:p>
        </w:tc>
        <w:tc>
          <w:tcPr>
            <w:tcW w:w="1148" w:type="dxa"/>
          </w:tcPr>
          <w:p w:rsidR="00C85877" w:rsidRPr="00B55E69" w:rsidRDefault="00CD46D3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316.725</w:t>
            </w:r>
          </w:p>
        </w:tc>
        <w:tc>
          <w:tcPr>
            <w:tcW w:w="1148" w:type="dxa"/>
          </w:tcPr>
          <w:p w:rsidR="00C85877" w:rsidRPr="00B55E69" w:rsidRDefault="00F6780D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297.032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CA6C7E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315.864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остали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пословни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приходи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104.040</w:t>
            </w:r>
          </w:p>
        </w:tc>
        <w:tc>
          <w:tcPr>
            <w:tcW w:w="1148" w:type="dxa"/>
          </w:tcPr>
          <w:p w:rsidR="00C85877" w:rsidRPr="00B55E69" w:rsidRDefault="00F6780D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85.061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CA6C7E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C85877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прикључи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22.236</w:t>
            </w:r>
          </w:p>
        </w:tc>
        <w:tc>
          <w:tcPr>
            <w:tcW w:w="1148" w:type="dxa"/>
          </w:tcPr>
          <w:p w:rsidR="00C85877" w:rsidRPr="00B55E69" w:rsidRDefault="00E15D55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16.383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EA62E8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C85877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услуга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цистерна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,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канал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јет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1.991</w:t>
            </w:r>
          </w:p>
        </w:tc>
        <w:tc>
          <w:tcPr>
            <w:tcW w:w="1148" w:type="dxa"/>
          </w:tcPr>
          <w:p w:rsidR="00C85877" w:rsidRPr="00B55E69" w:rsidRDefault="001C004A" w:rsidP="001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2.078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EA62E8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C85877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такса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за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одржавање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водомјера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49.178</w:t>
            </w:r>
          </w:p>
        </w:tc>
        <w:tc>
          <w:tcPr>
            <w:tcW w:w="1148" w:type="dxa"/>
          </w:tcPr>
          <w:p w:rsidR="00C85877" w:rsidRPr="00B55E69" w:rsidRDefault="00E15D55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51.162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1B3F0B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51.000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5877" w:rsidRPr="00B55E69" w:rsidRDefault="00C85877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донације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,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рефундирана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средства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</w:t>
            </w: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FC59E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остало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30.635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C85877" w:rsidRPr="00B55E69" w:rsidRDefault="00E15D55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15.438</w:t>
            </w:r>
          </w:p>
        </w:tc>
        <w:tc>
          <w:tcPr>
            <w:tcW w:w="1148" w:type="dxa"/>
            <w:tcBorders>
              <w:bottom w:val="double" w:sz="4" w:space="0" w:color="auto"/>
              <w:right w:val="double" w:sz="4" w:space="0" w:color="auto"/>
            </w:tcBorders>
          </w:tcPr>
          <w:p w:rsidR="00C85877" w:rsidRPr="00B55E69" w:rsidRDefault="001B3F0B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укупни</w:t>
            </w:r>
            <w:r w:rsidR="00C85877" w:rsidRPr="00B5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расходи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C85877" w:rsidRPr="00B55E69" w:rsidRDefault="00D14029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  <w:r w:rsidR="00F1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.997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C85877" w:rsidRPr="00B55E69" w:rsidRDefault="00E15D55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610.597</w:t>
            </w:r>
          </w:p>
        </w:tc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</w:tcPr>
          <w:p w:rsidR="00C85877" w:rsidRPr="00B55E69" w:rsidRDefault="00270B9F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635.000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трошкови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материјала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резервних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дјелова</w:t>
            </w:r>
          </w:p>
        </w:tc>
        <w:tc>
          <w:tcPr>
            <w:tcW w:w="1148" w:type="dxa"/>
          </w:tcPr>
          <w:p w:rsidR="00C85877" w:rsidRPr="00B55E69" w:rsidRDefault="00D14029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40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.014</w:t>
            </w:r>
          </w:p>
        </w:tc>
        <w:tc>
          <w:tcPr>
            <w:tcW w:w="1148" w:type="dxa"/>
          </w:tcPr>
          <w:p w:rsidR="00C85877" w:rsidRPr="00B55E69" w:rsidRDefault="00E15D55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24.978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32646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46</w:t>
            </w:r>
            <w:r w:rsidR="00E2251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.000</w:t>
            </w:r>
          </w:p>
        </w:tc>
      </w:tr>
      <w:tr w:rsidR="00C85877" w:rsidRPr="00B55E69" w:rsidTr="0063493F">
        <w:trPr>
          <w:trHeight w:val="103"/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трошкови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одржавања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водовода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канализ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148" w:type="dxa"/>
          </w:tcPr>
          <w:p w:rsidR="00C85877" w:rsidRPr="00B55E69" w:rsidRDefault="00D14029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44.273</w:t>
            </w:r>
          </w:p>
        </w:tc>
        <w:tc>
          <w:tcPr>
            <w:tcW w:w="1148" w:type="dxa"/>
          </w:tcPr>
          <w:p w:rsidR="00C85877" w:rsidRPr="00B55E69" w:rsidRDefault="00E15D55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46</w:t>
            </w:r>
            <w:r w:rsidR="002A134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898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E2251C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електрична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енергија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28.438</w:t>
            </w:r>
          </w:p>
        </w:tc>
        <w:tc>
          <w:tcPr>
            <w:tcW w:w="1148" w:type="dxa"/>
          </w:tcPr>
          <w:p w:rsidR="00C85877" w:rsidRPr="00B55E69" w:rsidRDefault="001941FA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20.932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E2251C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гориво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мазиво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18.246</w:t>
            </w:r>
          </w:p>
        </w:tc>
        <w:tc>
          <w:tcPr>
            <w:tcW w:w="1148" w:type="dxa"/>
          </w:tcPr>
          <w:p w:rsidR="00C85877" w:rsidRPr="00B55E69" w:rsidRDefault="001941FA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14.762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E2251C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испитивање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квалитета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воде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        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13.488</w:t>
            </w:r>
          </w:p>
        </w:tc>
        <w:tc>
          <w:tcPr>
            <w:tcW w:w="1148" w:type="dxa"/>
          </w:tcPr>
          <w:p w:rsidR="00C85877" w:rsidRPr="00B55E69" w:rsidRDefault="001941FA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12.099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E2251C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нето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зараде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224.857</w:t>
            </w:r>
          </w:p>
        </w:tc>
        <w:tc>
          <w:tcPr>
            <w:tcW w:w="1148" w:type="dxa"/>
            <w:vAlign w:val="bottom"/>
          </w:tcPr>
          <w:p w:rsidR="00C85877" w:rsidRPr="00B55E69" w:rsidRDefault="002A134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234.569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vAlign w:val="bottom"/>
          </w:tcPr>
          <w:p w:rsidR="00C85877" w:rsidRPr="00B55E69" w:rsidRDefault="0032646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245.000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порези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доприноси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зараде</w:t>
            </w:r>
          </w:p>
        </w:tc>
        <w:tc>
          <w:tcPr>
            <w:tcW w:w="1148" w:type="dxa"/>
            <w:vAlign w:val="bottom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156.440</w:t>
            </w:r>
          </w:p>
        </w:tc>
        <w:tc>
          <w:tcPr>
            <w:tcW w:w="1148" w:type="dxa"/>
          </w:tcPr>
          <w:p w:rsidR="00C85877" w:rsidRPr="00B55E69" w:rsidRDefault="002A134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163.985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32646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168.000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топли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оброк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превоз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регрес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запосљене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4.798</w:t>
            </w:r>
          </w:p>
        </w:tc>
        <w:tc>
          <w:tcPr>
            <w:tcW w:w="1148" w:type="dxa"/>
          </w:tcPr>
          <w:p w:rsidR="00C85877" w:rsidRPr="00B55E69" w:rsidRDefault="0012667D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4.623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32646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амортизација</w:t>
            </w:r>
          </w:p>
        </w:tc>
        <w:tc>
          <w:tcPr>
            <w:tcW w:w="1148" w:type="dxa"/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46.822</w:t>
            </w:r>
          </w:p>
        </w:tc>
        <w:tc>
          <w:tcPr>
            <w:tcW w:w="1148" w:type="dxa"/>
          </w:tcPr>
          <w:p w:rsidR="00C85877" w:rsidRPr="00B55E69" w:rsidRDefault="006F1B49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45.831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C85877" w:rsidRPr="00B55E69" w:rsidRDefault="0032646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45.000</w:t>
            </w:r>
          </w:p>
        </w:tc>
      </w:tr>
      <w:tr w:rsidR="00C85877" w:rsidRPr="00B55E69" w:rsidTr="0063493F">
        <w:trPr>
          <w:jc w:val="center"/>
        </w:trPr>
        <w:tc>
          <w:tcPr>
            <w:tcW w:w="42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остали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пословни</w:t>
            </w:r>
            <w:r w:rsidR="00C85877"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расходи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85877" w:rsidRPr="00B55E69" w:rsidRDefault="00C85877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55E6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51.621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85877" w:rsidRPr="00B55E69" w:rsidRDefault="00AD4119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41.9</w:t>
            </w:r>
            <w:r w:rsidR="00FA47D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  <w:tc>
          <w:tcPr>
            <w:tcW w:w="1148" w:type="dxa"/>
            <w:tcBorders>
              <w:bottom w:val="single" w:sz="4" w:space="0" w:color="auto"/>
              <w:right w:val="double" w:sz="4" w:space="0" w:color="auto"/>
            </w:tcBorders>
          </w:tcPr>
          <w:p w:rsidR="00C85877" w:rsidRPr="00B55E69" w:rsidRDefault="00326462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43.000</w:t>
            </w:r>
          </w:p>
        </w:tc>
      </w:tr>
      <w:tr w:rsidR="00C85877" w:rsidRPr="00B55E69" w:rsidTr="0063493F">
        <w:trPr>
          <w:trHeight w:val="179"/>
          <w:jc w:val="center"/>
        </w:trPr>
        <w:tc>
          <w:tcPr>
            <w:tcW w:w="42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5877" w:rsidRPr="00B55E69" w:rsidRDefault="00FC59E5" w:rsidP="001B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разлика</w:t>
            </w:r>
            <w:r w:rsidR="0045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измедју</w:t>
            </w:r>
            <w:r w:rsidR="0045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прихода</w:t>
            </w:r>
            <w:r w:rsidR="0045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и</w:t>
            </w:r>
            <w:r w:rsidR="0045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расхода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C85877" w:rsidRPr="00B55E69" w:rsidRDefault="00694821" w:rsidP="001B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6.356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C85877" w:rsidRPr="00B55E69" w:rsidRDefault="00FA47D8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1.465</w:t>
            </w:r>
          </w:p>
        </w:tc>
        <w:tc>
          <w:tcPr>
            <w:tcW w:w="1148" w:type="dxa"/>
            <w:tcBorders>
              <w:bottom w:val="double" w:sz="4" w:space="0" w:color="auto"/>
              <w:right w:val="double" w:sz="4" w:space="0" w:color="auto"/>
            </w:tcBorders>
          </w:tcPr>
          <w:p w:rsidR="00C85877" w:rsidRPr="00B55E69" w:rsidRDefault="001A654C" w:rsidP="0045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6.579</w:t>
            </w:r>
          </w:p>
        </w:tc>
      </w:tr>
    </w:tbl>
    <w:p w:rsidR="00BC20E9" w:rsidRPr="00EF0352" w:rsidRDefault="00BC20E9" w:rsidP="001B7A44">
      <w:pPr>
        <w:tabs>
          <w:tab w:val="left" w:pos="578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B7A44" w:rsidRPr="00BC20E9" w:rsidRDefault="00FC59E5" w:rsidP="001B7A44">
      <w:pPr>
        <w:tabs>
          <w:tab w:val="left" w:pos="578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пројектованом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билансу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успјеха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приходну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страну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чини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фактурисана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реализација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расходну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укупни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планирани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трошкови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Али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за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оцјену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финансијског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положаја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Друштва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веома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је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важан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биланс</w:t>
      </w:r>
      <w:r w:rsidR="001B7A44" w:rsidRPr="00BC20E9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новчаних</w:t>
      </w:r>
      <w:r w:rsidR="001B7A44" w:rsidRPr="00BC20E9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токова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односно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план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прилива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и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одлива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новчаних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средстава</w:t>
      </w:r>
      <w:r w:rsidR="001B7A44" w:rsidRPr="00BC20E9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1B7A44" w:rsidRPr="00BC20E9" w:rsidRDefault="001B7A44" w:rsidP="001B7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A44" w:rsidRPr="00BC20E9" w:rsidRDefault="00FC59E5" w:rsidP="001B7A4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план</w:t>
      </w:r>
      <w:r w:rsidR="001B7A44" w:rsidRPr="00BC20E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прилива</w:t>
      </w:r>
      <w:r w:rsidR="001B7A44" w:rsidRPr="00BC20E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и</w:t>
      </w:r>
      <w:r w:rsidR="001B7A44" w:rsidRPr="00BC20E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одлива</w:t>
      </w:r>
      <w:r w:rsidR="00F76E7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новчаних</w:t>
      </w:r>
      <w:r w:rsidR="00F76E7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средстава</w:t>
      </w:r>
      <w:r w:rsidR="00F76E7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за</w:t>
      </w:r>
      <w:r w:rsidR="0045023C" w:rsidRPr="00BC20E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2016</w:t>
      </w:r>
      <w:r w:rsidR="001B7A44" w:rsidRPr="00BC20E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годину</w:t>
      </w:r>
    </w:p>
    <w:p w:rsidR="001B7A44" w:rsidRPr="001B7A44" w:rsidRDefault="001B7A44" w:rsidP="001B7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212"/>
        <w:gridCol w:w="2160"/>
      </w:tblGrid>
      <w:tr w:rsidR="001B7A44" w:rsidRPr="00BC7D8E" w:rsidTr="001B7A44">
        <w:trPr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7A44" w:rsidRPr="00BC7D8E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7A44" w:rsidRPr="00BC7D8E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B7A44" w:rsidRPr="00BC7D8E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план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(€)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1B7A44" w:rsidRPr="001B7A4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Прилив</w:t>
            </w:r>
            <w:r w:rsidR="00F76E7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финансијских</w:t>
            </w:r>
            <w:r w:rsidR="00F76E7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средстава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7A44" w:rsidRPr="001B7A44" w:rsidRDefault="00876B4B" w:rsidP="001B7A44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617.600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B7A4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Стање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на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жиро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рачуну</w:t>
            </w:r>
            <w:r w:rsidR="001B7A44" w:rsidRPr="001B7A44">
              <w:rPr>
                <w:rFonts w:ascii="Times New Roman" w:eastAsia="Calibri" w:hAnsi="Times New Roman" w:cs="Times New Roman"/>
                <w:bCs/>
              </w:rPr>
              <w:t xml:space="preserve"> 01.01.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876B4B" w:rsidP="001B7A44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12.400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A4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Приливи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средстава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876B4B" w:rsidP="001B7A44">
            <w:pPr>
              <w:autoSpaceDE w:val="0"/>
              <w:autoSpaceDN w:val="0"/>
              <w:adjustRightInd w:val="0"/>
              <w:spacing w:after="0" w:line="240" w:lineRule="auto"/>
              <w:ind w:left="49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605.200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B7A44">
              <w:rPr>
                <w:rFonts w:ascii="Times New Roman" w:eastAsia="Calibri" w:hAnsi="Times New Roman" w:cs="Times New Roman"/>
                <w:bCs/>
              </w:rPr>
              <w:t xml:space="preserve">2.1     </w:t>
            </w: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Наплата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потраживања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876B4B" w:rsidP="001B7A44">
            <w:pPr>
              <w:autoSpaceDE w:val="0"/>
              <w:autoSpaceDN w:val="0"/>
              <w:adjustRightInd w:val="0"/>
              <w:spacing w:after="0" w:line="240" w:lineRule="auto"/>
              <w:ind w:left="443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520.200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</w:rPr>
            </w:pPr>
            <w:r w:rsidRPr="001B7A44">
              <w:rPr>
                <w:rFonts w:ascii="Times New Roman" w:eastAsia="Calibri" w:hAnsi="Times New Roman" w:cs="Times New Roman"/>
              </w:rPr>
              <w:t xml:space="preserve">- </w:t>
            </w:r>
            <w:r w:rsidR="00FC59E5">
              <w:rPr>
                <w:rFonts w:ascii="Times New Roman" w:eastAsia="Calibri" w:hAnsi="Times New Roman" w:cs="Times New Roman"/>
              </w:rPr>
              <w:t>предузећа</w:t>
            </w:r>
            <w:r w:rsidRPr="001B7A44">
              <w:rPr>
                <w:rFonts w:ascii="Times New Roman" w:eastAsia="Calibri" w:hAnsi="Times New Roman" w:cs="Times New Roman"/>
              </w:rPr>
              <w:t xml:space="preserve"> </w:t>
            </w:r>
            <w:r w:rsidR="00FC59E5">
              <w:rPr>
                <w:rFonts w:ascii="Times New Roman" w:eastAsia="Calibri" w:hAnsi="Times New Roman" w:cs="Times New Roman"/>
              </w:rPr>
              <w:t>и</w:t>
            </w:r>
            <w:r w:rsidRPr="001B7A44">
              <w:rPr>
                <w:rFonts w:ascii="Times New Roman" w:eastAsia="Calibri" w:hAnsi="Times New Roman" w:cs="Times New Roman"/>
              </w:rPr>
              <w:t xml:space="preserve"> </w:t>
            </w:r>
            <w:r w:rsidR="00FC59E5">
              <w:rPr>
                <w:rFonts w:ascii="Times New Roman" w:eastAsia="Calibri" w:hAnsi="Times New Roman" w:cs="Times New Roman"/>
              </w:rPr>
              <w:t>јавне</w:t>
            </w:r>
            <w:r w:rsidR="00F76E7E">
              <w:rPr>
                <w:rFonts w:ascii="Times New Roman" w:eastAsia="Calibri" w:hAnsi="Times New Roman" w:cs="Times New Roman"/>
              </w:rPr>
              <w:t xml:space="preserve"> </w:t>
            </w:r>
            <w:r w:rsidR="00FC59E5">
              <w:rPr>
                <w:rFonts w:ascii="Times New Roman" w:eastAsia="Calibri" w:hAnsi="Times New Roman" w:cs="Times New Roman"/>
              </w:rPr>
              <w:t>установе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876B4B" w:rsidP="001B7A44">
            <w:pPr>
              <w:autoSpaceDE w:val="0"/>
              <w:autoSpaceDN w:val="0"/>
              <w:adjustRightInd w:val="0"/>
              <w:spacing w:after="0" w:line="240" w:lineRule="auto"/>
              <w:ind w:left="68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188.000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</w:rPr>
            </w:pPr>
            <w:r w:rsidRPr="001B7A44">
              <w:rPr>
                <w:rFonts w:ascii="Times New Roman" w:eastAsia="Calibri" w:hAnsi="Times New Roman" w:cs="Times New Roman"/>
              </w:rPr>
              <w:t xml:space="preserve">- </w:t>
            </w:r>
            <w:r w:rsidR="00FC59E5">
              <w:rPr>
                <w:rFonts w:ascii="Times New Roman" w:eastAsia="Calibri" w:hAnsi="Times New Roman" w:cs="Times New Roman"/>
              </w:rPr>
              <w:t>самосталне</w:t>
            </w:r>
            <w:r w:rsidR="00F76E7E">
              <w:rPr>
                <w:rFonts w:ascii="Times New Roman" w:eastAsia="Calibri" w:hAnsi="Times New Roman" w:cs="Times New Roman"/>
              </w:rPr>
              <w:t xml:space="preserve"> </w:t>
            </w:r>
            <w:r w:rsidR="00FC59E5">
              <w:rPr>
                <w:rFonts w:ascii="Times New Roman" w:eastAsia="Calibri" w:hAnsi="Times New Roman" w:cs="Times New Roman"/>
              </w:rPr>
              <w:t>радње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427A6C" w:rsidP="001B7A44">
            <w:pPr>
              <w:autoSpaceDE w:val="0"/>
              <w:autoSpaceDN w:val="0"/>
              <w:adjustRightInd w:val="0"/>
              <w:spacing w:after="0" w:line="240" w:lineRule="auto"/>
              <w:ind w:left="79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61.800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</w:rPr>
            </w:pPr>
            <w:r w:rsidRPr="001B7A44">
              <w:rPr>
                <w:rFonts w:ascii="Times New Roman" w:eastAsia="Calibri" w:hAnsi="Times New Roman" w:cs="Times New Roman"/>
              </w:rPr>
              <w:t xml:space="preserve">- </w:t>
            </w:r>
            <w:r w:rsidR="00FC59E5">
              <w:rPr>
                <w:rFonts w:ascii="Times New Roman" w:eastAsia="Calibri" w:hAnsi="Times New Roman" w:cs="Times New Roman"/>
              </w:rPr>
              <w:t>физичкалица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B7A44" w:rsidRPr="001B7A44" w:rsidRDefault="00427A6C" w:rsidP="001B7A44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270.400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A44">
              <w:rPr>
                <w:rFonts w:ascii="Times New Roman" w:eastAsia="Calibri" w:hAnsi="Times New Roman" w:cs="Times New Roman"/>
              </w:rPr>
              <w:t xml:space="preserve">2.2     </w:t>
            </w:r>
          </w:p>
        </w:tc>
        <w:tc>
          <w:tcPr>
            <w:tcW w:w="5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Остало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B7A44" w:rsidRPr="001B7A44" w:rsidRDefault="00427A6C" w:rsidP="001B7A44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85.000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</w:t>
            </w:r>
            <w:r w:rsidR="001B7A44" w:rsidRPr="001B7A4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52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Укупан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одлив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финансијских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средстава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7A44" w:rsidRPr="001B7A44" w:rsidRDefault="0025270F" w:rsidP="001B7A44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660</w:t>
            </w:r>
            <w:r w:rsidR="00427A6C">
              <w:rPr>
                <w:rFonts w:ascii="Times New Roman" w:eastAsia="Calibri" w:hAnsi="Times New Roman" w:cs="Times New Roman"/>
                <w:bCs/>
              </w:rPr>
              <w:t>.400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B7A44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Обавезе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према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добављачима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427A6C" w:rsidP="001B7A44">
            <w:pPr>
              <w:autoSpaceDE w:val="0"/>
              <w:autoSpaceDN w:val="0"/>
              <w:adjustRightInd w:val="0"/>
              <w:spacing w:after="0" w:line="240" w:lineRule="auto"/>
              <w:ind w:left="343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202.400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B7A4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12" w:type="dxa"/>
            <w:tcBorders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Обавезе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према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радницима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1B7A44" w:rsidRPr="001B7A44" w:rsidRDefault="00427A6C" w:rsidP="001B7A44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417.000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B7A4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Обавезе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за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кредит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B7A44" w:rsidRPr="001B7A44" w:rsidRDefault="0025270F" w:rsidP="001B7A44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11.000</w:t>
            </w:r>
          </w:p>
        </w:tc>
      </w:tr>
      <w:tr w:rsidR="001B7A44" w:rsidRPr="001B7A44" w:rsidTr="001B7A44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A44" w:rsidRPr="001B7A44" w:rsidRDefault="001B7A44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B7A44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7A44" w:rsidRPr="001B7A44" w:rsidRDefault="00FC59E5" w:rsidP="001B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Обавезе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за</w:t>
            </w:r>
            <w:r w:rsidR="00F76E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пдв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B7A44" w:rsidRPr="001B7A44" w:rsidRDefault="0025270F" w:rsidP="001B7A44">
            <w:pPr>
              <w:autoSpaceDE w:val="0"/>
              <w:autoSpaceDN w:val="0"/>
              <w:adjustRightInd w:val="0"/>
              <w:spacing w:after="0" w:line="240" w:lineRule="auto"/>
              <w:ind w:left="606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30.000</w:t>
            </w:r>
          </w:p>
        </w:tc>
      </w:tr>
      <w:tr w:rsidR="001B7A44" w:rsidRPr="00BC7D8E" w:rsidTr="001B7A44">
        <w:trPr>
          <w:jc w:val="center"/>
        </w:trPr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1B7A44" w:rsidRPr="00BC7D8E" w:rsidRDefault="00FC59E5" w:rsidP="001B7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Ц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7A44" w:rsidRPr="00BC7D8E" w:rsidRDefault="00FC59E5" w:rsidP="001B7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Нето</w:t>
            </w:r>
            <w:r w:rsidR="00F76E7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одлив</w:t>
            </w:r>
            <w:r w:rsidR="00F76E7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финансијских</w:t>
            </w:r>
            <w:r w:rsidR="00F76E7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(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Б</w:t>
            </w:r>
            <w:r w:rsidR="001B7A44" w:rsidRPr="00BC7D8E">
              <w:rPr>
                <w:rFonts w:ascii="Times New Roman" w:eastAsia="Calibri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B7A44" w:rsidRPr="00BC7D8E" w:rsidRDefault="0025270F" w:rsidP="001B7A44">
            <w:pPr>
              <w:spacing w:after="0" w:line="240" w:lineRule="auto"/>
              <w:ind w:left="443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C7D8E">
              <w:rPr>
                <w:rFonts w:ascii="Times New Roman" w:eastAsia="Calibri" w:hAnsi="Times New Roman" w:cs="Times New Roman"/>
                <w:b/>
                <w:bCs/>
              </w:rPr>
              <w:t>42.800</w:t>
            </w:r>
          </w:p>
        </w:tc>
      </w:tr>
    </w:tbl>
    <w:p w:rsidR="001B7A44" w:rsidRPr="001B7A44" w:rsidRDefault="001B7A44" w:rsidP="001B7A44">
      <w:pPr>
        <w:rPr>
          <w:rFonts w:ascii="Times New Roman" w:eastAsia="Calibri" w:hAnsi="Times New Roman" w:cs="Times New Roman"/>
          <w:bCs/>
        </w:rPr>
      </w:pPr>
    </w:p>
    <w:p w:rsidR="001B7A44" w:rsidRPr="00BC20E9" w:rsidRDefault="00FC59E5" w:rsidP="001B7A4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Иако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је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просјечан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степен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наплате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планиран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високом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нивоу</w:t>
      </w:r>
      <w:r w:rsidR="00D25E83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(87</w:t>
      </w:r>
      <w:r w:rsidR="00D868BA" w:rsidRPr="00BC20E9">
        <w:rPr>
          <w:rFonts w:ascii="Times New Roman" w:eastAsia="Calibri" w:hAnsi="Times New Roman" w:cs="Times New Roman"/>
          <w:bCs/>
          <w:sz w:val="28"/>
          <w:szCs w:val="28"/>
        </w:rPr>
        <w:t>,36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%)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остварена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финансијска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средства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према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билансу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новчаних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токова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неће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бити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довољна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покриће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свих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планираних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трошкова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што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значи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да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очекује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остварење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нето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одлива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финансијских</w:t>
      </w:r>
      <w:r w:rsidR="008D64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средстава</w:t>
      </w:r>
      <w:r w:rsidR="00D868BA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D868BA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износу</w:t>
      </w:r>
      <w:r w:rsidR="00D868BA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од</w:t>
      </w:r>
      <w:r w:rsidR="00D868BA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 42.800</w:t>
      </w:r>
      <w:r w:rsidR="001B7A44" w:rsidRPr="00BC20E9">
        <w:rPr>
          <w:rFonts w:ascii="Times New Roman" w:eastAsia="Calibri" w:hAnsi="Times New Roman" w:cs="Times New Roman"/>
          <w:bCs/>
          <w:sz w:val="28"/>
          <w:szCs w:val="28"/>
        </w:rPr>
        <w:t xml:space="preserve">,- €. </w:t>
      </w:r>
    </w:p>
    <w:p w:rsidR="00233C14" w:rsidRPr="00233C14" w:rsidRDefault="00233C14" w:rsidP="00233C14">
      <w:pPr>
        <w:spacing w:line="240" w:lineRule="auto"/>
        <w:rPr>
          <w:rFonts w:ascii="Calibri" w:eastAsia="Calibri" w:hAnsi="Calibri" w:cs="Times New Roman"/>
          <w:lang w:val="sr-Latn-CS"/>
        </w:rPr>
      </w:pPr>
    </w:p>
    <w:p w:rsidR="00C7599E" w:rsidRPr="00C7599E" w:rsidRDefault="00C7599E" w:rsidP="00C7599E">
      <w:pPr>
        <w:tabs>
          <w:tab w:val="left" w:pos="5787"/>
        </w:tabs>
        <w:spacing w:after="120"/>
        <w:rPr>
          <w:rFonts w:ascii="Times New Roman" w:eastAsia="Times New Roman" w:hAnsi="Times New Roman" w:cs="Times New Roman"/>
          <w:lang w:val="sr-Latn-CS"/>
        </w:rPr>
      </w:pPr>
    </w:p>
    <w:p w:rsidR="00147B8F" w:rsidRPr="00147B8F" w:rsidRDefault="00147B8F" w:rsidP="00147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47B8F" w:rsidRPr="00D44096" w:rsidRDefault="00147B8F" w:rsidP="00D44096">
      <w:pPr>
        <w:rPr>
          <w:rFonts w:ascii="Times New Roman" w:hAnsi="Times New Roman" w:cs="Times New Roman"/>
        </w:rPr>
      </w:pPr>
    </w:p>
    <w:sectPr w:rsidR="00147B8F" w:rsidRPr="00D44096" w:rsidSect="009834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73" w:rsidRDefault="00465273" w:rsidP="00FC59E5">
      <w:pPr>
        <w:spacing w:after="0" w:line="240" w:lineRule="auto"/>
      </w:pPr>
      <w:r>
        <w:separator/>
      </w:r>
    </w:p>
  </w:endnote>
  <w:endnote w:type="continuationSeparator" w:id="1">
    <w:p w:rsidR="00465273" w:rsidRDefault="00465273" w:rsidP="00FC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3157"/>
      <w:docPartObj>
        <w:docPartGallery w:val="Page Numbers (Bottom of Page)"/>
        <w:docPartUnique/>
      </w:docPartObj>
    </w:sdtPr>
    <w:sdtContent>
      <w:p w:rsidR="00FC59E5" w:rsidRDefault="00DC5DBD">
        <w:pPr>
          <w:pStyle w:val="Footer"/>
        </w:pPr>
        <w:r>
          <w:rPr>
            <w:noProof/>
            <w:lang w:eastAsia="zh-TW"/>
          </w:rPr>
          <w:pict>
            <v:rect id="_x0000_s3073" style="position:absolute;margin-left:.4pt;margin-top:42.55pt;width:60pt;height:70.5pt;z-index:251660288;mso-position-horizontal-relative:right-margin-area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C59E5" w:rsidRDefault="00DC5DB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FC59E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C59E5" w:rsidRPr="00FC59E5">
                              <w:rPr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FC59E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F0352" w:rsidRPr="00EF0352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FC59E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73" w:rsidRDefault="00465273" w:rsidP="00FC59E5">
      <w:pPr>
        <w:spacing w:after="0" w:line="240" w:lineRule="auto"/>
      </w:pPr>
      <w:r>
        <w:separator/>
      </w:r>
    </w:p>
  </w:footnote>
  <w:footnote w:type="continuationSeparator" w:id="1">
    <w:p w:rsidR="00465273" w:rsidRDefault="00465273" w:rsidP="00FC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84F"/>
    <w:multiLevelType w:val="hybridMultilevel"/>
    <w:tmpl w:val="9E6E8FBE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C4047"/>
    <w:multiLevelType w:val="hybridMultilevel"/>
    <w:tmpl w:val="58648A2C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839CB"/>
    <w:multiLevelType w:val="hybridMultilevel"/>
    <w:tmpl w:val="687A8BEC"/>
    <w:lvl w:ilvl="0" w:tplc="BBDC6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20B24"/>
    <w:multiLevelType w:val="hybridMultilevel"/>
    <w:tmpl w:val="28E2E740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386D"/>
    <w:multiLevelType w:val="hybridMultilevel"/>
    <w:tmpl w:val="BFFCCB9E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16043"/>
    <w:multiLevelType w:val="hybridMultilevel"/>
    <w:tmpl w:val="76203CA2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7623"/>
    <w:multiLevelType w:val="hybridMultilevel"/>
    <w:tmpl w:val="ED5C7B22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F77CC"/>
    <w:multiLevelType w:val="hybridMultilevel"/>
    <w:tmpl w:val="69BCE968"/>
    <w:lvl w:ilvl="0" w:tplc="766A6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2249"/>
    <w:multiLevelType w:val="hybridMultilevel"/>
    <w:tmpl w:val="13A628CE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EB0DF4"/>
    <w:multiLevelType w:val="hybridMultilevel"/>
    <w:tmpl w:val="D8AAAAB2"/>
    <w:lvl w:ilvl="0" w:tplc="BBDC6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B367F"/>
    <w:rsid w:val="000047EE"/>
    <w:rsid w:val="000141D9"/>
    <w:rsid w:val="0003074E"/>
    <w:rsid w:val="0005080D"/>
    <w:rsid w:val="000535EE"/>
    <w:rsid w:val="00063E9B"/>
    <w:rsid w:val="00075DA3"/>
    <w:rsid w:val="00084E25"/>
    <w:rsid w:val="00085099"/>
    <w:rsid w:val="00095FF1"/>
    <w:rsid w:val="000A206A"/>
    <w:rsid w:val="000A3640"/>
    <w:rsid w:val="000B5507"/>
    <w:rsid w:val="000C2965"/>
    <w:rsid w:val="000D4BE1"/>
    <w:rsid w:val="000D5A96"/>
    <w:rsid w:val="000E69F9"/>
    <w:rsid w:val="000F320D"/>
    <w:rsid w:val="001015C5"/>
    <w:rsid w:val="00101ACF"/>
    <w:rsid w:val="00101C70"/>
    <w:rsid w:val="00103838"/>
    <w:rsid w:val="0010642D"/>
    <w:rsid w:val="00112D1F"/>
    <w:rsid w:val="00113959"/>
    <w:rsid w:val="00115C61"/>
    <w:rsid w:val="00120B09"/>
    <w:rsid w:val="001222AE"/>
    <w:rsid w:val="00124FF3"/>
    <w:rsid w:val="0012667D"/>
    <w:rsid w:val="00126987"/>
    <w:rsid w:val="00132A5A"/>
    <w:rsid w:val="00147B8F"/>
    <w:rsid w:val="001522C1"/>
    <w:rsid w:val="00154FAC"/>
    <w:rsid w:val="00156FD3"/>
    <w:rsid w:val="00161C1D"/>
    <w:rsid w:val="00167EB9"/>
    <w:rsid w:val="00171B21"/>
    <w:rsid w:val="00172F54"/>
    <w:rsid w:val="00175D8A"/>
    <w:rsid w:val="0017716B"/>
    <w:rsid w:val="00190E38"/>
    <w:rsid w:val="001941FA"/>
    <w:rsid w:val="001A0EAE"/>
    <w:rsid w:val="001A3F70"/>
    <w:rsid w:val="001A654C"/>
    <w:rsid w:val="001B3F0B"/>
    <w:rsid w:val="001B447F"/>
    <w:rsid w:val="001B7A44"/>
    <w:rsid w:val="001C004A"/>
    <w:rsid w:val="001C2E76"/>
    <w:rsid w:val="001D5F04"/>
    <w:rsid w:val="001E1383"/>
    <w:rsid w:val="001E3AF9"/>
    <w:rsid w:val="001F432D"/>
    <w:rsid w:val="00200828"/>
    <w:rsid w:val="00222817"/>
    <w:rsid w:val="002268B0"/>
    <w:rsid w:val="002278CB"/>
    <w:rsid w:val="00233C14"/>
    <w:rsid w:val="00235658"/>
    <w:rsid w:val="00244CFF"/>
    <w:rsid w:val="00247AF3"/>
    <w:rsid w:val="0025270F"/>
    <w:rsid w:val="002637EF"/>
    <w:rsid w:val="0026439A"/>
    <w:rsid w:val="00264FA2"/>
    <w:rsid w:val="00270B9F"/>
    <w:rsid w:val="00276FB6"/>
    <w:rsid w:val="002776C2"/>
    <w:rsid w:val="00284614"/>
    <w:rsid w:val="002900D3"/>
    <w:rsid w:val="00291500"/>
    <w:rsid w:val="002964C5"/>
    <w:rsid w:val="002A1342"/>
    <w:rsid w:val="002A5EA1"/>
    <w:rsid w:val="002A6D51"/>
    <w:rsid w:val="002B539F"/>
    <w:rsid w:val="002C6161"/>
    <w:rsid w:val="002D5265"/>
    <w:rsid w:val="002F393E"/>
    <w:rsid w:val="00302D77"/>
    <w:rsid w:val="0030383F"/>
    <w:rsid w:val="003129A4"/>
    <w:rsid w:val="003163EA"/>
    <w:rsid w:val="00326462"/>
    <w:rsid w:val="00336CFA"/>
    <w:rsid w:val="0034228E"/>
    <w:rsid w:val="00345737"/>
    <w:rsid w:val="00347BAC"/>
    <w:rsid w:val="00353BD7"/>
    <w:rsid w:val="0036037F"/>
    <w:rsid w:val="0037389D"/>
    <w:rsid w:val="0039488B"/>
    <w:rsid w:val="003A303F"/>
    <w:rsid w:val="003B51EC"/>
    <w:rsid w:val="003C1930"/>
    <w:rsid w:val="003C1F77"/>
    <w:rsid w:val="003C52A8"/>
    <w:rsid w:val="003C60A5"/>
    <w:rsid w:val="003C6872"/>
    <w:rsid w:val="003D3B57"/>
    <w:rsid w:val="003E5B7C"/>
    <w:rsid w:val="00401EC0"/>
    <w:rsid w:val="00401F8B"/>
    <w:rsid w:val="004120F3"/>
    <w:rsid w:val="0042356A"/>
    <w:rsid w:val="0042615A"/>
    <w:rsid w:val="00426898"/>
    <w:rsid w:val="00427A6C"/>
    <w:rsid w:val="00442770"/>
    <w:rsid w:val="004438C8"/>
    <w:rsid w:val="0045023C"/>
    <w:rsid w:val="00454AA2"/>
    <w:rsid w:val="00457529"/>
    <w:rsid w:val="00461627"/>
    <w:rsid w:val="00465273"/>
    <w:rsid w:val="00465A4F"/>
    <w:rsid w:val="00470509"/>
    <w:rsid w:val="00475ECB"/>
    <w:rsid w:val="004853A8"/>
    <w:rsid w:val="00490178"/>
    <w:rsid w:val="004A64A8"/>
    <w:rsid w:val="004B779C"/>
    <w:rsid w:val="004B7BF4"/>
    <w:rsid w:val="004C4B8C"/>
    <w:rsid w:val="004C6806"/>
    <w:rsid w:val="004D02BA"/>
    <w:rsid w:val="004D084C"/>
    <w:rsid w:val="004D23A0"/>
    <w:rsid w:val="004D2852"/>
    <w:rsid w:val="004E1A0E"/>
    <w:rsid w:val="004F05D8"/>
    <w:rsid w:val="00505752"/>
    <w:rsid w:val="005118FD"/>
    <w:rsid w:val="00514D46"/>
    <w:rsid w:val="00521241"/>
    <w:rsid w:val="00534145"/>
    <w:rsid w:val="005451BE"/>
    <w:rsid w:val="00550F52"/>
    <w:rsid w:val="005609F1"/>
    <w:rsid w:val="00563325"/>
    <w:rsid w:val="00564C2A"/>
    <w:rsid w:val="005657D9"/>
    <w:rsid w:val="00566BD9"/>
    <w:rsid w:val="00566EA4"/>
    <w:rsid w:val="005760AA"/>
    <w:rsid w:val="005802F1"/>
    <w:rsid w:val="005843C1"/>
    <w:rsid w:val="00584C23"/>
    <w:rsid w:val="00593E3E"/>
    <w:rsid w:val="005A0558"/>
    <w:rsid w:val="005A69E4"/>
    <w:rsid w:val="005A7C16"/>
    <w:rsid w:val="005B277A"/>
    <w:rsid w:val="005C2EE5"/>
    <w:rsid w:val="005C3694"/>
    <w:rsid w:val="005C3CB9"/>
    <w:rsid w:val="005C5936"/>
    <w:rsid w:val="005D1BC6"/>
    <w:rsid w:val="005F16E0"/>
    <w:rsid w:val="005F1ED3"/>
    <w:rsid w:val="005F21BA"/>
    <w:rsid w:val="005F5202"/>
    <w:rsid w:val="00601676"/>
    <w:rsid w:val="00613D68"/>
    <w:rsid w:val="00626274"/>
    <w:rsid w:val="00626CB0"/>
    <w:rsid w:val="0063493F"/>
    <w:rsid w:val="006378F1"/>
    <w:rsid w:val="00642123"/>
    <w:rsid w:val="00646A02"/>
    <w:rsid w:val="00657C02"/>
    <w:rsid w:val="00661FD6"/>
    <w:rsid w:val="00667FAB"/>
    <w:rsid w:val="006706D8"/>
    <w:rsid w:val="00673983"/>
    <w:rsid w:val="00675750"/>
    <w:rsid w:val="00691B0F"/>
    <w:rsid w:val="00692808"/>
    <w:rsid w:val="006939A1"/>
    <w:rsid w:val="00694821"/>
    <w:rsid w:val="006A06CF"/>
    <w:rsid w:val="006A27FE"/>
    <w:rsid w:val="006A602B"/>
    <w:rsid w:val="006B1446"/>
    <w:rsid w:val="006B15AB"/>
    <w:rsid w:val="006B6334"/>
    <w:rsid w:val="006C27DF"/>
    <w:rsid w:val="006D1D48"/>
    <w:rsid w:val="006D4E9A"/>
    <w:rsid w:val="006E2E12"/>
    <w:rsid w:val="006E55F4"/>
    <w:rsid w:val="006F19B2"/>
    <w:rsid w:val="006F1B49"/>
    <w:rsid w:val="00703CDC"/>
    <w:rsid w:val="00723A28"/>
    <w:rsid w:val="00725561"/>
    <w:rsid w:val="00726B4D"/>
    <w:rsid w:val="00735C38"/>
    <w:rsid w:val="00740B1E"/>
    <w:rsid w:val="00741EA6"/>
    <w:rsid w:val="00744FD5"/>
    <w:rsid w:val="00746FE1"/>
    <w:rsid w:val="007542FA"/>
    <w:rsid w:val="007573D7"/>
    <w:rsid w:val="007614F2"/>
    <w:rsid w:val="00773F13"/>
    <w:rsid w:val="00775BB6"/>
    <w:rsid w:val="00776464"/>
    <w:rsid w:val="007814DE"/>
    <w:rsid w:val="00795071"/>
    <w:rsid w:val="00796DF0"/>
    <w:rsid w:val="007A0B96"/>
    <w:rsid w:val="007B3871"/>
    <w:rsid w:val="007B452C"/>
    <w:rsid w:val="007B5A59"/>
    <w:rsid w:val="007B7BA3"/>
    <w:rsid w:val="007C4F25"/>
    <w:rsid w:val="007D306E"/>
    <w:rsid w:val="007D7202"/>
    <w:rsid w:val="00805E32"/>
    <w:rsid w:val="00810D5A"/>
    <w:rsid w:val="00813A9B"/>
    <w:rsid w:val="00815D45"/>
    <w:rsid w:val="00816540"/>
    <w:rsid w:val="00823730"/>
    <w:rsid w:val="00825D55"/>
    <w:rsid w:val="00825E25"/>
    <w:rsid w:val="008437B2"/>
    <w:rsid w:val="008449B6"/>
    <w:rsid w:val="00855B2B"/>
    <w:rsid w:val="00857A36"/>
    <w:rsid w:val="00865727"/>
    <w:rsid w:val="008757E0"/>
    <w:rsid w:val="00876B4B"/>
    <w:rsid w:val="008841C7"/>
    <w:rsid w:val="00890195"/>
    <w:rsid w:val="008A1FD6"/>
    <w:rsid w:val="008A3521"/>
    <w:rsid w:val="008A6C15"/>
    <w:rsid w:val="008B7F85"/>
    <w:rsid w:val="008C583D"/>
    <w:rsid w:val="008C6FF2"/>
    <w:rsid w:val="008D04D8"/>
    <w:rsid w:val="008D1816"/>
    <w:rsid w:val="008D53D8"/>
    <w:rsid w:val="008D64C1"/>
    <w:rsid w:val="008F3127"/>
    <w:rsid w:val="008F35B9"/>
    <w:rsid w:val="008F5EF6"/>
    <w:rsid w:val="008F73F4"/>
    <w:rsid w:val="00900E01"/>
    <w:rsid w:val="00903DD5"/>
    <w:rsid w:val="00904689"/>
    <w:rsid w:val="00907C59"/>
    <w:rsid w:val="0091015B"/>
    <w:rsid w:val="009108D8"/>
    <w:rsid w:val="00913BC0"/>
    <w:rsid w:val="00914FA2"/>
    <w:rsid w:val="009445A0"/>
    <w:rsid w:val="00950EF1"/>
    <w:rsid w:val="00951E37"/>
    <w:rsid w:val="009713AA"/>
    <w:rsid w:val="00974191"/>
    <w:rsid w:val="00980221"/>
    <w:rsid w:val="009834DD"/>
    <w:rsid w:val="009C1D77"/>
    <w:rsid w:val="009C71A4"/>
    <w:rsid w:val="009C7B77"/>
    <w:rsid w:val="009D02F8"/>
    <w:rsid w:val="009D50B7"/>
    <w:rsid w:val="009D7A75"/>
    <w:rsid w:val="009E214C"/>
    <w:rsid w:val="00A07F8C"/>
    <w:rsid w:val="00A301AB"/>
    <w:rsid w:val="00A307CE"/>
    <w:rsid w:val="00A338A6"/>
    <w:rsid w:val="00A4513C"/>
    <w:rsid w:val="00A467C1"/>
    <w:rsid w:val="00A51078"/>
    <w:rsid w:val="00A63389"/>
    <w:rsid w:val="00A70432"/>
    <w:rsid w:val="00A82F2E"/>
    <w:rsid w:val="00A83DC4"/>
    <w:rsid w:val="00A9624A"/>
    <w:rsid w:val="00AA17BC"/>
    <w:rsid w:val="00AA2583"/>
    <w:rsid w:val="00AA2BC0"/>
    <w:rsid w:val="00AB57C8"/>
    <w:rsid w:val="00AB6A3D"/>
    <w:rsid w:val="00AC3361"/>
    <w:rsid w:val="00AD2B3B"/>
    <w:rsid w:val="00AD4119"/>
    <w:rsid w:val="00B20A6E"/>
    <w:rsid w:val="00B25B91"/>
    <w:rsid w:val="00B25CB9"/>
    <w:rsid w:val="00B30E57"/>
    <w:rsid w:val="00B46D56"/>
    <w:rsid w:val="00B51DAC"/>
    <w:rsid w:val="00B531A1"/>
    <w:rsid w:val="00B6515E"/>
    <w:rsid w:val="00B922BF"/>
    <w:rsid w:val="00BB6685"/>
    <w:rsid w:val="00BC20E9"/>
    <w:rsid w:val="00BC7D8E"/>
    <w:rsid w:val="00BD63A5"/>
    <w:rsid w:val="00BE0FDE"/>
    <w:rsid w:val="00BE7FE1"/>
    <w:rsid w:val="00C0226D"/>
    <w:rsid w:val="00C024E3"/>
    <w:rsid w:val="00C04864"/>
    <w:rsid w:val="00C05C10"/>
    <w:rsid w:val="00C07349"/>
    <w:rsid w:val="00C22C50"/>
    <w:rsid w:val="00C30360"/>
    <w:rsid w:val="00C3065E"/>
    <w:rsid w:val="00C62DF4"/>
    <w:rsid w:val="00C7387B"/>
    <w:rsid w:val="00C74F22"/>
    <w:rsid w:val="00C7599E"/>
    <w:rsid w:val="00C76DF6"/>
    <w:rsid w:val="00C80566"/>
    <w:rsid w:val="00C83B7C"/>
    <w:rsid w:val="00C84639"/>
    <w:rsid w:val="00C85877"/>
    <w:rsid w:val="00C877E3"/>
    <w:rsid w:val="00C87DF4"/>
    <w:rsid w:val="00C93868"/>
    <w:rsid w:val="00CA5E54"/>
    <w:rsid w:val="00CA6C7E"/>
    <w:rsid w:val="00CB0F42"/>
    <w:rsid w:val="00CB6870"/>
    <w:rsid w:val="00CB7ACF"/>
    <w:rsid w:val="00CC1B39"/>
    <w:rsid w:val="00CC79EE"/>
    <w:rsid w:val="00CD23F1"/>
    <w:rsid w:val="00CD46D3"/>
    <w:rsid w:val="00CD5143"/>
    <w:rsid w:val="00CE785F"/>
    <w:rsid w:val="00CF20F5"/>
    <w:rsid w:val="00CF4CAA"/>
    <w:rsid w:val="00CF4ED2"/>
    <w:rsid w:val="00CF708E"/>
    <w:rsid w:val="00D021F0"/>
    <w:rsid w:val="00D02F13"/>
    <w:rsid w:val="00D07597"/>
    <w:rsid w:val="00D112E8"/>
    <w:rsid w:val="00D14029"/>
    <w:rsid w:val="00D21ED6"/>
    <w:rsid w:val="00D22FCA"/>
    <w:rsid w:val="00D24B6B"/>
    <w:rsid w:val="00D25E83"/>
    <w:rsid w:val="00D269C1"/>
    <w:rsid w:val="00D27BED"/>
    <w:rsid w:val="00D37D41"/>
    <w:rsid w:val="00D40616"/>
    <w:rsid w:val="00D4315C"/>
    <w:rsid w:val="00D44096"/>
    <w:rsid w:val="00D456D4"/>
    <w:rsid w:val="00D53588"/>
    <w:rsid w:val="00D60126"/>
    <w:rsid w:val="00D66B4C"/>
    <w:rsid w:val="00D71426"/>
    <w:rsid w:val="00D75318"/>
    <w:rsid w:val="00D7551A"/>
    <w:rsid w:val="00D757DA"/>
    <w:rsid w:val="00D768BE"/>
    <w:rsid w:val="00D868BA"/>
    <w:rsid w:val="00D871A2"/>
    <w:rsid w:val="00D911C1"/>
    <w:rsid w:val="00D97E61"/>
    <w:rsid w:val="00DA4685"/>
    <w:rsid w:val="00DA7DBA"/>
    <w:rsid w:val="00DA7F49"/>
    <w:rsid w:val="00DB0022"/>
    <w:rsid w:val="00DB2FE2"/>
    <w:rsid w:val="00DB7F76"/>
    <w:rsid w:val="00DC5DBD"/>
    <w:rsid w:val="00DE26BB"/>
    <w:rsid w:val="00DE5D2D"/>
    <w:rsid w:val="00DE6B81"/>
    <w:rsid w:val="00DE6EF4"/>
    <w:rsid w:val="00DE7582"/>
    <w:rsid w:val="00DF2FC1"/>
    <w:rsid w:val="00E04188"/>
    <w:rsid w:val="00E06F0B"/>
    <w:rsid w:val="00E14A45"/>
    <w:rsid w:val="00E15D55"/>
    <w:rsid w:val="00E2251C"/>
    <w:rsid w:val="00E231C9"/>
    <w:rsid w:val="00E24F28"/>
    <w:rsid w:val="00E50720"/>
    <w:rsid w:val="00E52C9D"/>
    <w:rsid w:val="00E53D94"/>
    <w:rsid w:val="00E652EB"/>
    <w:rsid w:val="00E66753"/>
    <w:rsid w:val="00E67C48"/>
    <w:rsid w:val="00E711CB"/>
    <w:rsid w:val="00E77641"/>
    <w:rsid w:val="00E81779"/>
    <w:rsid w:val="00E82DE9"/>
    <w:rsid w:val="00E93721"/>
    <w:rsid w:val="00EA62E8"/>
    <w:rsid w:val="00EB096E"/>
    <w:rsid w:val="00EB2A9B"/>
    <w:rsid w:val="00EB2CE4"/>
    <w:rsid w:val="00EC6710"/>
    <w:rsid w:val="00ED0A26"/>
    <w:rsid w:val="00EE303D"/>
    <w:rsid w:val="00EE79AB"/>
    <w:rsid w:val="00EF0352"/>
    <w:rsid w:val="00EF11F7"/>
    <w:rsid w:val="00EF122A"/>
    <w:rsid w:val="00EF4452"/>
    <w:rsid w:val="00F0504B"/>
    <w:rsid w:val="00F10A9C"/>
    <w:rsid w:val="00F11752"/>
    <w:rsid w:val="00F12AA2"/>
    <w:rsid w:val="00F145F3"/>
    <w:rsid w:val="00F27639"/>
    <w:rsid w:val="00F2783C"/>
    <w:rsid w:val="00F324EE"/>
    <w:rsid w:val="00F407D3"/>
    <w:rsid w:val="00F422A6"/>
    <w:rsid w:val="00F45D26"/>
    <w:rsid w:val="00F477D8"/>
    <w:rsid w:val="00F47E5E"/>
    <w:rsid w:val="00F53C18"/>
    <w:rsid w:val="00F55604"/>
    <w:rsid w:val="00F563ED"/>
    <w:rsid w:val="00F6780D"/>
    <w:rsid w:val="00F76E7E"/>
    <w:rsid w:val="00F809AC"/>
    <w:rsid w:val="00F860C7"/>
    <w:rsid w:val="00F951A7"/>
    <w:rsid w:val="00FA47D8"/>
    <w:rsid w:val="00FB1BAC"/>
    <w:rsid w:val="00FB367F"/>
    <w:rsid w:val="00FB6449"/>
    <w:rsid w:val="00FC0F92"/>
    <w:rsid w:val="00FC4BC7"/>
    <w:rsid w:val="00FC59E5"/>
    <w:rsid w:val="00FC5FBA"/>
    <w:rsid w:val="00FC7666"/>
    <w:rsid w:val="00FD115E"/>
    <w:rsid w:val="00FD2353"/>
    <w:rsid w:val="00FD4D0E"/>
    <w:rsid w:val="00FD4DAC"/>
    <w:rsid w:val="00FE7E59"/>
    <w:rsid w:val="00FF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965"/>
    <w:pPr>
      <w:ind w:left="720"/>
      <w:contextualSpacing/>
    </w:pPr>
  </w:style>
  <w:style w:type="table" w:styleId="TableGrid">
    <w:name w:val="Table Grid"/>
    <w:basedOn w:val="TableNormal"/>
    <w:uiPriority w:val="59"/>
    <w:rsid w:val="003A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F54"/>
  </w:style>
  <w:style w:type="paragraph" w:styleId="Header">
    <w:name w:val="header"/>
    <w:basedOn w:val="Normal"/>
    <w:link w:val="HeaderChar"/>
    <w:uiPriority w:val="99"/>
    <w:semiHidden/>
    <w:unhideWhenUsed/>
    <w:rsid w:val="00FC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9E5"/>
  </w:style>
  <w:style w:type="paragraph" w:styleId="Footer">
    <w:name w:val="footer"/>
    <w:basedOn w:val="Normal"/>
    <w:link w:val="FooterChar"/>
    <w:uiPriority w:val="99"/>
    <w:semiHidden/>
    <w:unhideWhenUsed/>
    <w:rsid w:val="00FC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965"/>
    <w:pPr>
      <w:ind w:left="720"/>
      <w:contextualSpacing/>
    </w:pPr>
  </w:style>
  <w:style w:type="table" w:styleId="TableGrid">
    <w:name w:val="Table Grid"/>
    <w:basedOn w:val="TableNormal"/>
    <w:uiPriority w:val="59"/>
    <w:rsid w:val="003A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27</cp:revision>
  <cp:lastPrinted>2016-01-05T07:25:00Z</cp:lastPrinted>
  <dcterms:created xsi:type="dcterms:W3CDTF">2016-03-18T14:22:00Z</dcterms:created>
  <dcterms:modified xsi:type="dcterms:W3CDTF">2016-03-21T11:12:00Z</dcterms:modified>
</cp:coreProperties>
</file>