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-18415</wp:posOffset>
            </wp:positionV>
            <wp:extent cx="19431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``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ВОДОВОД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И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КАНАЛИЗАЦИЈА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``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ДОО</w:t>
      </w: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Б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Е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Р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А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Н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Е</w:t>
      </w: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324F1D" w:rsidRDefault="00324F1D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 xml:space="preserve">ИЗВЈЕШТАЈ </w:t>
      </w:r>
      <w:r w:rsidR="00AB5E3C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О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 xml:space="preserve">РАДУ  И  ФИНАНСИЈСКОМ  ПОСЛОВАЊУ </w:t>
      </w:r>
    </w:p>
    <w:p w:rsidR="00AB5E3C" w:rsidRPr="00324F1D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У  2015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. </w:t>
      </w:r>
      <w:r w:rsidR="00324F1D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ГОДИНИ</w:t>
      </w: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324F1D" w:rsidRPr="00324F1D" w:rsidRDefault="00324F1D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324F1D" w:rsidRDefault="00324F1D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324F1D" w:rsidRPr="00324F1D" w:rsidRDefault="00324F1D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Беране, фебруар 2016</w:t>
      </w:r>
      <w:r w:rsidRPr="009A0DC2"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године</w:t>
      </w: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Уводне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  <w:t>напомене</w:t>
      </w: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sr-Latn-CS"/>
        </w:rPr>
      </w:pP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Документ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сачињен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складу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чл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24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Закона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комуналним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дјелатностима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сл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РЦГ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бр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.12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априла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1995.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чл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.48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Закона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сл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РЦГ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бр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.27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17.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маја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2007.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Општинске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одлуке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организовању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Доо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Водовод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канализација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сл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РЦГ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општински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прописи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бр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.22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7.08.2014.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Статутом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којима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прописана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обавеза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израде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оваквог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документа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Дјелатност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дефинисана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Одлуком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оснивању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стране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оснивача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Општине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захватање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третман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испоруку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корисницима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пружање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уредног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отпадних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обиму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квалитету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задовољити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кориснике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Дру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Друштво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оријентисано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континуирано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повећање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поузданости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пружању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транспарентности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флексибилности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свом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пословању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9A0DC2" w:rsidRDefault="00AB5E3C" w:rsidP="00AB5E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Управа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врло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јасну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визију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неопходности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конституисања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успјешног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привредног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субјекта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водоснабдијевања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ења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отпадних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прихватила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већина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запо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тако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претворили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заједничку визију развоја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усмјерену према корисницима наших 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самима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Циљ нам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сарадњи са оснивачем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–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Општином 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обезбиједимо услове за дугорочно континуирано снабдијевање водом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уредно одвођење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третман отпадних вода уз осигурање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циљеви Друштва усклађени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потребама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очекивањима корисника наших 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Осигурањем добрих услова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задовољства запослених доприносимо постизању високог степена квалитета наших 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непрекидним обучавањем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мотивисањем свих запослених омогућавамо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њихово знање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искуство допринесу даљем унапређењу пословања Друства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Чињеница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вода опште насљедство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ограничени ресурс одрживи развој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императив за све запослене 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који доносе одлуке 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области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sr-Latn-CS"/>
        </w:rPr>
        <w:t>Основни подаци</w:t>
      </w:r>
      <w:r w:rsidRPr="008B5AB5">
        <w:rPr>
          <w:rFonts w:ascii="Times New Roman" w:eastAsia="Times New Roman" w:hAnsi="Times New Roman" w:cs="Times New Roman"/>
          <w:b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sr-Latn-CS"/>
        </w:rPr>
        <w:t>о</w:t>
      </w:r>
      <w:r w:rsidRPr="008B5AB5">
        <w:rPr>
          <w:rFonts w:ascii="Times New Roman" w:eastAsia="Times New Roman" w:hAnsi="Times New Roman" w:cs="Times New Roman"/>
          <w:b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sr-Latn-CS"/>
        </w:rPr>
        <w:t>Друштву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Снабдијевање питком водом становника Берана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преко водоводног 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почело 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септембра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1962.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 када су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послије скоро двогодишње изградње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инвеститори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привредни субјекти са Рудеша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уступили на управљање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кориштење питки водовод Комуналној пијачној управи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каптирано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Манастирско врело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данас користи као резервни извор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градском водоводу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Данас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водоснабдијевање града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приградских насеља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углавном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врши из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Мерића врела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код Лубница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каптирано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1988.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ливено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жељезним цијевима профила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250-400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дужини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10.311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метара спојено са пумпном станицом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Беранама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B5E3C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Послије бројних организационих промјена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 августа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2014.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градским водоводом газдује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управља Друство са ограниценом одговорношћу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Водовод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канализација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".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надлежности 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Дапсићко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Полички водоводни сyстем са којег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водом снабдијева рурални дио Берана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Горња Будимља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Дапсиће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Петњик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Мерића врела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континуитету захвата нешто преко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Манастирског врела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,"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потребно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85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"</w:t>
      </w:r>
      <w:r w:rsidR="004605B7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Дапсићко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г</w:t>
      </w:r>
      <w:r w:rsidR="00460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врела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" 45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Дистрибутивна мрежа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примарна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секундарна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168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користи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нешто више од 24.000 грађана 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преко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85%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 укупног броја становника Берана. Израђена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 цијеви различитог материјала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ливено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жељезних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поцинчаних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азбестно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цементних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полиетиленских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ПВЦ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Укупан број регистрованих 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9.150,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 чега су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8.378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физичка 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772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правна 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Код физичких 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6.458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потрошача регистровано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приватним кућама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1.920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стамбеним зградама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односу на претходну годину укупан број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увећан за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114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евидентира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очитава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укупно 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5603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водомјера од чега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4832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код физичких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601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правних 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Код физицких 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кућама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4090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установима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415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водомјера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Потрошња за 1284 домаћинство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очитава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91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водомјер као заједничка 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објектима за заједничко становање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Дужина канализационе мреже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км и користи је око 16.000 грађана односно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55%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од укупног броја становника Берана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Регистровано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5378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прикључака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канализациону мрежу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имовине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прекидне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коморе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Бањевцу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Дапсићима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пумпне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станице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Беранама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Лушцу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базене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Јасиковцу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Опрема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састоји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хидро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машинске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опреме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пумпним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станицама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цјевоводима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уређаја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хлорисање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прекидној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Бањевцу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пумпној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станици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Беранама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посједује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возила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опремом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служе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одржавање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канализације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ровокопач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тзв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дампер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капацитета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³.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стално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запошљено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повољне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квалификационе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старосне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структуре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Унапређење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иновирање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техничких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садржаја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унапређењу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иновирању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техничких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садржаја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урађено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сљедеће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: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детектовано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1.483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санирано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1.454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квара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сваког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5,6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интервенција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инсталацијама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детектовано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санирано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598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зачепљења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испражњено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42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септичке јаме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очишћена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159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таложника 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сливника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атмосферске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секундарној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замијењено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3.740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метара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дотрајалих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цијеви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профила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¾"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Ø 400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уграђено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920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метара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цјевовода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замијењено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метара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цијеви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канализационој мрежи изграђене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саниране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шахте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Бетонирано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шест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оштећених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плоча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шахтама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умјесто отуђених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ливено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жељезних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поклопаца уграђена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бетонска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метална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поклопца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4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оштећена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бетонска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поклопца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замијењена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бетонским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умјесто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отудјених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решеткастих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ливено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жељезних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сливника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уграђено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сливници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фазонских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цијеви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прикључено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63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замијењено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116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водомјера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разних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профила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објектима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заједничког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становања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захтјев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уграђено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водомјера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извршено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одвајања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водомјера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заједничким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објектима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возила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сопственој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режији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остали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грађевински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резервоари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пумпне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станице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гараже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газдује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Предузеће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искључиво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ангажовањем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запошљених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</w:p>
    <w:p w:rsidR="00AB5E3C" w:rsidRPr="008B5AB5" w:rsidRDefault="00AB5E3C" w:rsidP="00AB5E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настављени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катастра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канализационих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инсталација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сарадњи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пројектантском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компанијом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Хидро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ГИС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Подгорице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-  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настављено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усавршавање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информационог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-     настављено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опремање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интервенције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терену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Финансијски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исказано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улагања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унапређење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иновирање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техничких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садржаја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70.000,00 €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него улагања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претходној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Финансирање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односе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текуће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остале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опреме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потпуности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обезбиејђено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прихода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атмосферске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канализације су, такођ 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финансирани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прихода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иако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чланом 88 Одлуке о комуналном уређењу територије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регулисано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 финансијска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средства за ову намјену обезбјеђује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Оснивач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усвојеног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годишњег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програма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Оснивач 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сарадњи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надлежним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државним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органима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предприступних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фондова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Европске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уније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ИПФ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обезбиједила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финансијска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наставак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послова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пројектне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документације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изградњу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постројења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пречишћавање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отпадних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колектора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реконструкцију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пројекат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експерти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ангажовала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Делегација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Европске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Црној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својим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процедурама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сличном поступку обезбијеђена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ревитализације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Дирекција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јавних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Подгорица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финансирали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израду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пројектне документације и извођење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изградњи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колектора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насеља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Лужац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Пешца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дужини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2.100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метара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колектор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функцији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реализује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пројекат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изградње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колектора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улицом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Слободе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мира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ткз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заобилазницом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цјевовод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кроз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Пешца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повезан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градском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канализационом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Квалитет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воде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 циљу обезбјеђења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микро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биолошки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исправности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прекидној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Бањевац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врши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континуирано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хлорисање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захваћене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Мерића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врела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начин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третира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Манастирског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врела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додатни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извор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потребе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Институт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здравље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Подгорице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најмање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мјесечно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четири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мјеста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мреже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узима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узорке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хемијске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микробиолошке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анализе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Институт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здравље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врши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анализе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тзв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сирове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изворишта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Такође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стручне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службе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свака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испитују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садржај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резидуалног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хлора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анализе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указују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градског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третирана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течним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хлором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складу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прописима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случајевима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њој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констатовано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постојање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слободног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хлора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указује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њену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микро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биолошку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исправност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претходних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периодима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обилних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падавина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долазило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повећања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замуцености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градском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набављен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апарат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мјерење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замућености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стручне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службе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континуитету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параметар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случајевима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повећане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замућености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обавјештавали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наших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упутство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таква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Финансијске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структуре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показатељи</w:t>
      </w:r>
      <w:r w:rsidRPr="008B5AB5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пословања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Анализа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података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биланса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водоснабдијевања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фактурисаних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наплаћених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подаци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остварене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приходе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расходе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индикатори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пословних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перформанси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финансијског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положаја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Биланс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водоснабдијевања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Прецизни подаци о количини захваћене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располаже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опремом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мјерење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протока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кроз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већег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профила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потребе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израде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Пројекта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реконструкције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магистралног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цјевовода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налази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трупу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Пешца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Лубнице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измјерен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проток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175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литара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секунди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кроз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цјевовод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уласку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прекидну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комору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Бањевац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Реконструкцијом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магистралног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цјевовода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комплетној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дионици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водозахвата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прекидне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коморе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Бањевацу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дужини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5.200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метара постављене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Ø 400.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створени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технички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услови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захватају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веце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количине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водоизворишта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Мерића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врело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205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литара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секунди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питке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Манастирско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врело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убудуће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искључиво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резервно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водоизвориште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Разлика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измедју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захваћене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продате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воде, нефактурисане легалне 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прелива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резервоара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друге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представља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губитак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numPr>
          <w:ilvl w:val="0"/>
          <w:numId w:val="1"/>
        </w:num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продате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количине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воде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305"/>
        <w:gridCol w:w="1305"/>
        <w:gridCol w:w="1305"/>
        <w:gridCol w:w="1305"/>
      </w:tblGrid>
      <w:tr w:rsidR="00AB5E3C" w:rsidRPr="008B5AB5" w:rsidTr="008319B3">
        <w:trPr>
          <w:jc w:val="center"/>
        </w:trPr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потросачи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2013.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³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2014.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³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2015.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³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2015/2014</w:t>
            </w:r>
          </w:p>
        </w:tc>
      </w:tr>
      <w:tr w:rsidR="00AB5E3C" w:rsidRPr="008B5AB5" w:rsidTr="008319B3">
        <w:trPr>
          <w:jc w:val="center"/>
        </w:trPr>
        <w:tc>
          <w:tcPr>
            <w:tcW w:w="82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правна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лица</w:t>
            </w:r>
          </w:p>
        </w:tc>
      </w:tr>
      <w:tr w:rsidR="00AB5E3C" w:rsidRPr="008B5AB5" w:rsidTr="008319B3">
        <w:trPr>
          <w:trHeight w:val="332"/>
          <w:jc w:val="center"/>
        </w:trPr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предузећа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установе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142.258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144.146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149.007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+3,37</w:t>
            </w:r>
          </w:p>
        </w:tc>
      </w:tr>
      <w:tr w:rsidR="00AB5E3C" w:rsidRPr="008B5AB5" w:rsidTr="008319B3">
        <w:trPr>
          <w:jc w:val="center"/>
        </w:trPr>
        <w:tc>
          <w:tcPr>
            <w:tcW w:w="30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самосталне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радње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42.176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43.096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41.367</w:t>
            </w:r>
          </w:p>
        </w:tc>
        <w:tc>
          <w:tcPr>
            <w:tcW w:w="13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-4,01</w:t>
            </w:r>
          </w:p>
        </w:tc>
      </w:tr>
      <w:tr w:rsidR="00AB5E3C" w:rsidRPr="008B5AB5" w:rsidTr="008319B3">
        <w:trPr>
          <w:jc w:val="center"/>
        </w:trPr>
        <w:tc>
          <w:tcPr>
            <w:tcW w:w="30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184.434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187.242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190.374</w:t>
            </w:r>
          </w:p>
        </w:tc>
        <w:tc>
          <w:tcPr>
            <w:tcW w:w="13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+1,67</w:t>
            </w:r>
          </w:p>
        </w:tc>
      </w:tr>
      <w:tr w:rsidR="00AB5E3C" w:rsidRPr="008B5AB5" w:rsidTr="008319B3">
        <w:trPr>
          <w:jc w:val="center"/>
        </w:trPr>
        <w:tc>
          <w:tcPr>
            <w:tcW w:w="827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физичка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лица</w:t>
            </w:r>
          </w:p>
        </w:tc>
      </w:tr>
      <w:tr w:rsidR="00AB5E3C" w:rsidRPr="008B5AB5" w:rsidTr="008319B3">
        <w:trPr>
          <w:jc w:val="center"/>
        </w:trPr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потрошачи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стамбеним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објектима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више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стамбених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јединица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заједничким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мјерилом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280.986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262.335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244.560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-6,68</w:t>
            </w:r>
          </w:p>
        </w:tc>
      </w:tr>
      <w:tr w:rsidR="00AB5E3C" w:rsidRPr="008B5AB5" w:rsidTr="008319B3">
        <w:trPr>
          <w:jc w:val="center"/>
        </w:trPr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потрошачи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индивидуалним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ста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мбеним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објектима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сопственим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мјерилом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941.865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914.651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922.706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+0,88</w:t>
            </w:r>
          </w:p>
        </w:tc>
      </w:tr>
      <w:tr w:rsidR="00AB5E3C" w:rsidRPr="008B5AB5" w:rsidTr="008319B3">
        <w:trPr>
          <w:jc w:val="center"/>
        </w:trPr>
        <w:tc>
          <w:tcPr>
            <w:tcW w:w="30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а</w:t>
            </w:r>
          </w:p>
        </w:tc>
        <w:tc>
          <w:tcPr>
            <w:tcW w:w="1305" w:type="dxa"/>
            <w:tcBorders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1.222.851</w:t>
            </w:r>
          </w:p>
        </w:tc>
        <w:tc>
          <w:tcPr>
            <w:tcW w:w="1305" w:type="dxa"/>
            <w:tcBorders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1.176.986</w:t>
            </w:r>
          </w:p>
        </w:tc>
        <w:tc>
          <w:tcPr>
            <w:tcW w:w="1305" w:type="dxa"/>
            <w:tcBorders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1.167.266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-0,83</w:t>
            </w:r>
          </w:p>
        </w:tc>
      </w:tr>
      <w:tr w:rsidR="00AB5E3C" w:rsidRPr="008B5AB5" w:rsidTr="008319B3">
        <w:trPr>
          <w:jc w:val="center"/>
        </w:trPr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к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п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о</w:t>
            </w: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1.407.285</w:t>
            </w: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1.364.228</w:t>
            </w: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1.357.640</w:t>
            </w: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-0,48</w:t>
            </w:r>
          </w:p>
        </w:tc>
      </w:tr>
    </w:tbl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Укупна 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односу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претходну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0,48 %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говорити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тренду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смањења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већ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шеста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региструје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односу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претходну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 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Карактеристично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продаје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тренд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седам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узастопних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заустављен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другу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заредом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повећана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1,67 %.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Очигледно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рационализација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резултате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очекивати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постојећих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стабилизовати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нивоу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отварањем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нових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привредних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субјеката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пиће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претходну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0,83 %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трећа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регистрован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пад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“.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Поред легалне фактурисане 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легална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нефактурисана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потросња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Комунално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одрзавање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зеленила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Ватрогасној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јединици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њене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потребе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прелив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резервоара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Јасиковцу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05B7" w:rsidRPr="004605B7" w:rsidRDefault="004605B7" w:rsidP="004605B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4605B7" w:rsidRPr="004605B7" w:rsidRDefault="004605B7" w:rsidP="004605B7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AB5E3C" w:rsidRPr="00944CB3" w:rsidRDefault="00AB5E3C" w:rsidP="00AB5E3C">
      <w:pPr>
        <w:pStyle w:val="ListParagraph"/>
        <w:numPr>
          <w:ilvl w:val="0"/>
          <w:numId w:val="1"/>
        </w:num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губици</w:t>
      </w:r>
      <w:r w:rsidRPr="00944CB3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воде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дефиницији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Светске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разлика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измедју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захваћене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продатих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количина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нефактурисане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легалне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друге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представља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губитак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Губитак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Берана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значајан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55 %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нивоу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губитака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Црној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видљива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мјеста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цурења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мрежи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санирана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нови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кварови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веома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брзо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отклањају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паушална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сведена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20 %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техничког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аспекта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могу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озбиљнијим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инвестицијама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Процјена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укупним губицима највише учествују тзв.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комерцијални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губици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настали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због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нелегалне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смањили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потребан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кооперативнији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институција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Фактурисана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наплаћена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реализација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Вриједност испоручене воде и одвођења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отпадних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обрачунатим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ПДВ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припадајућим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таксама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615.688,80 €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1,65 %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претходну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фактуре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(1,65 %)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стазмјери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смањењем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испручених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количина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(0,48 %)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због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тога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фактуришу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различитим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тарифама 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 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numPr>
          <w:ilvl w:val="0"/>
          <w:numId w:val="1"/>
        </w:num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степен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наплате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Исказује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наплаћене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фактурисане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реализације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223"/>
        <w:gridCol w:w="1223"/>
        <w:gridCol w:w="1223"/>
        <w:gridCol w:w="1237"/>
        <w:gridCol w:w="6"/>
      </w:tblGrid>
      <w:tr w:rsidR="00AB5E3C" w:rsidRPr="008B5AB5" w:rsidTr="008319B3">
        <w:trPr>
          <w:jc w:val="center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потрошачи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2013. %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2014. %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2015. %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2015/2014</w:t>
            </w:r>
          </w:p>
        </w:tc>
      </w:tr>
      <w:tr w:rsidR="00AB5E3C" w:rsidRPr="008B5AB5" w:rsidTr="008319B3">
        <w:trPr>
          <w:gridAfter w:val="1"/>
          <w:wAfter w:w="6" w:type="dxa"/>
          <w:jc w:val="center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правна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лица</w:t>
            </w:r>
          </w:p>
        </w:tc>
        <w:tc>
          <w:tcPr>
            <w:tcW w:w="490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5E3C" w:rsidRPr="008B5AB5" w:rsidTr="008319B3">
        <w:trPr>
          <w:jc w:val="center"/>
        </w:trPr>
        <w:tc>
          <w:tcPr>
            <w:tcW w:w="2418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предузећа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установе</w:t>
            </w:r>
          </w:p>
        </w:tc>
        <w:tc>
          <w:tcPr>
            <w:tcW w:w="1223" w:type="dxa"/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110,20</w:t>
            </w:r>
          </w:p>
        </w:tc>
        <w:tc>
          <w:tcPr>
            <w:tcW w:w="1223" w:type="dxa"/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113,10</w:t>
            </w:r>
          </w:p>
        </w:tc>
        <w:tc>
          <w:tcPr>
            <w:tcW w:w="1223" w:type="dxa"/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101,35</w:t>
            </w:r>
          </w:p>
        </w:tc>
        <w:tc>
          <w:tcPr>
            <w:tcW w:w="1243" w:type="dxa"/>
            <w:gridSpan w:val="2"/>
            <w:tcBorders>
              <w:top w:val="nil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-10,39</w:t>
            </w:r>
          </w:p>
        </w:tc>
      </w:tr>
      <w:tr w:rsidR="00AB5E3C" w:rsidRPr="008B5AB5" w:rsidTr="008319B3">
        <w:trPr>
          <w:jc w:val="center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самосталне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радње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73,04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89,55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83,89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-6,32</w:t>
            </w:r>
          </w:p>
        </w:tc>
      </w:tr>
      <w:tr w:rsidR="00AB5E3C" w:rsidRPr="008B5AB5" w:rsidTr="008319B3">
        <w:trPr>
          <w:jc w:val="center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101,05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107,02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97,08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-9,29</w:t>
            </w:r>
          </w:p>
        </w:tc>
      </w:tr>
      <w:tr w:rsidR="00AB5E3C" w:rsidRPr="008B5AB5" w:rsidTr="008319B3">
        <w:trPr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физичка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лица</w:t>
            </w:r>
          </w:p>
        </w:tc>
        <w:tc>
          <w:tcPr>
            <w:tcW w:w="12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77,64</w:t>
            </w:r>
          </w:p>
        </w:tc>
        <w:tc>
          <w:tcPr>
            <w:tcW w:w="12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74,75</w:t>
            </w:r>
          </w:p>
        </w:tc>
        <w:tc>
          <w:tcPr>
            <w:tcW w:w="12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76,49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2,33</w:t>
            </w:r>
          </w:p>
        </w:tc>
      </w:tr>
      <w:tr w:rsidR="00AB5E3C" w:rsidRPr="008B5AB5" w:rsidTr="008319B3">
        <w:trPr>
          <w:jc w:val="center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к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п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о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86,69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87,47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84,95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tabs>
                <w:tab w:val="left" w:pos="5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-2,88</w:t>
            </w:r>
          </w:p>
        </w:tc>
      </w:tr>
    </w:tbl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Степен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наплате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него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2014.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2,88 %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84,95 %.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Степен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наплате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9,29 % -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предузећа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10,39 % 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самосталних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радњи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6,32 %,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већи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2,33 %.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Иако је степен наплате, у поређењу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осталим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Водоводима" у нашој држави, међу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највећима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ипак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групе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подручја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гдје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наплата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мора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поправити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табели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слиједи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преглед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степена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наплате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насељима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градски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дапси</w:t>
      </w:r>
      <w:r w:rsidR="004605B7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полички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водовод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067" w:type="dxa"/>
        <w:jc w:val="center"/>
        <w:tblInd w:w="93" w:type="dxa"/>
        <w:tblLayout w:type="fixed"/>
        <w:tblLook w:val="04A0"/>
      </w:tblPr>
      <w:tblGrid>
        <w:gridCol w:w="803"/>
        <w:gridCol w:w="2896"/>
        <w:gridCol w:w="1020"/>
        <w:gridCol w:w="10"/>
        <w:gridCol w:w="1013"/>
        <w:gridCol w:w="18"/>
        <w:gridCol w:w="1003"/>
        <w:gridCol w:w="28"/>
        <w:gridCol w:w="1276"/>
      </w:tblGrid>
      <w:tr w:rsidR="00AB5E3C" w:rsidRPr="008B5AB5" w:rsidTr="008319B3">
        <w:trPr>
          <w:trHeight w:val="300"/>
          <w:jc w:val="center"/>
        </w:trPr>
        <w:tc>
          <w:tcPr>
            <w:tcW w:w="8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р</w:t>
            </w: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бр</w:t>
            </w: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28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насеље</w:t>
            </w:r>
          </w:p>
        </w:tc>
        <w:tc>
          <w:tcPr>
            <w:tcW w:w="4368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степен</w:t>
            </w: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наплате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2013.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2014.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2015.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2015/2014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67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градски</w:t>
            </w: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водовод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стамбене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зграде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77.41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81.37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86.54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6.35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куће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МЗ „Стари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град“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„Парк“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92.22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85.28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87.53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2.64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Ново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Насеље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77.48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84.3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86.15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2.19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Шаћина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Бара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91.98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83.45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74.51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-10.71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Талум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89.72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79.7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88.25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10.73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Пешца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77.43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73.17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79.35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8.45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Буче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86.94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80.26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72.56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-9.59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Лужац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107.82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73.17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70.72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-3.35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Долац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86.32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82.88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82.71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-0.21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Берансело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81.79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75.27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79.44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5.54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Хареме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71.94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91.92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75.42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-17.95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Доње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Луге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82.11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73.79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80.80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9.95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Будимља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61.36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91.59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84.87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-7.34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Батуне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65.5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41.36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53.09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28.36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46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с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в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е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а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46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81.83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80.84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81.88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1.29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избјегличка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насеља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19.94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17.91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16.09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-10.16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с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в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е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а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р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а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79.84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78.38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79.15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0.98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8067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ИИ</w:t>
            </w: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дапсицко</w:t>
            </w: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полички</w:t>
            </w: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водовод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Дапсиће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20.34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4.62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9.48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105.19</w:t>
            </w:r>
          </w:p>
        </w:tc>
      </w:tr>
      <w:tr w:rsidR="00AB5E3C" w:rsidRPr="008B5AB5" w:rsidTr="008319B3">
        <w:trPr>
          <w:trHeight w:val="300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Петњик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Батуне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Будимља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40.36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41.31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28.87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-30.11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803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Полица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72.94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72.8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78.23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7.46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80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свега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дапс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полич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водовод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52.73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48.61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49.41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1.65</w:t>
            </w:r>
          </w:p>
        </w:tc>
      </w:tr>
      <w:tr w:rsidR="00AB5E3C" w:rsidRPr="008B5AB5" w:rsidTr="008319B3">
        <w:trPr>
          <w:trHeight w:val="315"/>
          <w:jc w:val="center"/>
        </w:trPr>
        <w:tc>
          <w:tcPr>
            <w:tcW w:w="3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Уку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п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н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о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77.64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74.75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76.49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2.33</w:t>
            </w:r>
          </w:p>
        </w:tc>
      </w:tr>
    </w:tbl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Поред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дневних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активности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реализују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циљу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побољшања наплате издвајамо сљедеће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мјере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сматрамо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резултате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: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редовно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водоснабдијевање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уредно одвођење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отпадних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индикатори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пословања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исказује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кварова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цјевоводима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километру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мреже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кварова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потрошачу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мјесечном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нивоу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показују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интервенција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инсталацијама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показатељима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већи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него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другим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Црној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) ,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прихватљиве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цијене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наших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  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посвећеност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повећању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степена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задовољства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наших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постизања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медјусобних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партнерских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односа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побољшање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професионалних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капацитета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запослених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праведна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наплата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утрошене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стручне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службе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покренуле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340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поступака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принудне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наплате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надлежних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институција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неуредних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платиша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Вриједност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спорова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101.918,67 €,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могућност да потрошачи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текуће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обавезе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стари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дуг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подмирују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више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могућност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искористило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52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AB5E3C" w:rsidRPr="008B5AB5" w:rsidRDefault="00AB5E3C" w:rsidP="00AB5E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вриједност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потписаних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споразума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9.402,33 € ) , </w:t>
      </w:r>
    </w:p>
    <w:p w:rsidR="00AB5E3C" w:rsidRPr="008B5AB5" w:rsidRDefault="00AB5E3C" w:rsidP="00AB5E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ажурна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тачна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евиденција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Цијена воде и накнаде за одвођење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отпадних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вода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Важећи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тарифни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предви</w:t>
      </w:r>
      <w:r w:rsidR="004605B7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двије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групе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домаћинства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Опредјељење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социјално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одговоран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субјекат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економичност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пословању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поправља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смањењем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трошкова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numPr>
          <w:ilvl w:val="0"/>
          <w:numId w:val="1"/>
        </w:num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промијењена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јула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2008.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домаћинства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0,22 €/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³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B5E3C" w:rsidRPr="008B5AB5" w:rsidRDefault="00AB5E3C" w:rsidP="00AB5E3C">
      <w:pPr>
        <w:numPr>
          <w:ilvl w:val="0"/>
          <w:numId w:val="1"/>
        </w:num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наше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већини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држави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најниже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поред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гравитационог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користе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пумпи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Бијелом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Пољу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³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0,36 €,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Колашину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0,49 €,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Пљевљима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0,39 €,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Рожајама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0,30 €,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Подгорици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0,46 €,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Никшицу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0,51 €.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0,86 €/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³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такодје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нижа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окружењу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Накнада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одвођење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отпадних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50 %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Просјечан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мјесечног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обрачунатом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накнадом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одвођење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отпадних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обрачунатим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ПДВ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домаћинства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3,76 €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чини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свега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0,85%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просјечне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bookmarkStart w:id="0" w:name="_GoBack"/>
      <w:bookmarkEnd w:id="0"/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Чињеница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скоро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девет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нијесу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мијењане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међувремену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струје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резервних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дјелова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трошак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повећане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постојећи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услуга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представља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ограничења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редовно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финансирање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дјелатности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Садашњи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цијена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обезбјеђује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обављање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дјелатности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нивоу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просте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репродукције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Структура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прихода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расхода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695"/>
        <w:gridCol w:w="1049"/>
        <w:gridCol w:w="1049"/>
        <w:gridCol w:w="1067"/>
      </w:tblGrid>
      <w:tr w:rsidR="00AB5E3C" w:rsidRPr="008B5AB5" w:rsidTr="008319B3">
        <w:trPr>
          <w:jc w:val="center"/>
        </w:trPr>
        <w:tc>
          <w:tcPr>
            <w:tcW w:w="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р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бр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приходи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расходи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2013.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2014.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2015.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top w:val="double" w:sz="4" w:space="0" w:color="auto"/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48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укупни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приход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*</w:t>
            </w:r>
          </w:p>
        </w:tc>
        <w:tc>
          <w:tcPr>
            <w:tcW w:w="1052" w:type="dxa"/>
            <w:tcBorders>
              <w:top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665.925</w:t>
            </w:r>
          </w:p>
        </w:tc>
        <w:tc>
          <w:tcPr>
            <w:tcW w:w="1052" w:type="dxa"/>
            <w:tcBorders>
              <w:top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635.353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612.062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1.1.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правна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лица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198.552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214.588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229.969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1.2.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физичка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лица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328.065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316.725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297.032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1.3.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остали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пословни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приходи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139.308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104.040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85.061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1.3.1.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прикључи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28.577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22.236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16.383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1.3.2.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приход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услуга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цистерна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канал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јет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2.202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1.991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2.078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1.3.3.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такса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одржавање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водомјера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49.664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49.178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51.162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1.3.4.</w:t>
            </w:r>
          </w:p>
        </w:tc>
        <w:tc>
          <w:tcPr>
            <w:tcW w:w="48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донације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рефундирана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средства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остало</w:t>
            </w: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58.865</w:t>
            </w: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30.635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15.438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top w:val="double" w:sz="4" w:space="0" w:color="auto"/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48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укупни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расходи</w:t>
            </w: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*</w:t>
            </w:r>
          </w:p>
        </w:tc>
        <w:tc>
          <w:tcPr>
            <w:tcW w:w="1052" w:type="dxa"/>
            <w:tcBorders>
              <w:top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662.215</w:t>
            </w:r>
          </w:p>
        </w:tc>
        <w:tc>
          <w:tcPr>
            <w:tcW w:w="1052" w:type="dxa"/>
            <w:tcBorders>
              <w:top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628.997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610.597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трошкови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материјала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резервних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дјелова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40.402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40.014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24.978</w:t>
            </w:r>
          </w:p>
        </w:tc>
      </w:tr>
      <w:tr w:rsidR="00AB5E3C" w:rsidRPr="008B5AB5" w:rsidTr="008319B3">
        <w:trPr>
          <w:trHeight w:val="103"/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2.2.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трошкови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одржавања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водовода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канализ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83,073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44.273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46.898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2.3.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електрична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енергија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28.268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28.438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20.932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2.4.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гориво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мазиво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20.200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18.246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14.762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2.5.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испитивање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квалитета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воде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        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7.564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13.488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12.099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2.6.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нето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зараде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052" w:type="dxa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217.730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224.857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234.569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2.7.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порези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доприноси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зараде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151.399</w:t>
            </w:r>
          </w:p>
        </w:tc>
        <w:tc>
          <w:tcPr>
            <w:tcW w:w="1052" w:type="dxa"/>
            <w:vAlign w:val="bottom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156.440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163.985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2.8.</w:t>
            </w:r>
          </w:p>
        </w:tc>
        <w:tc>
          <w:tcPr>
            <w:tcW w:w="481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топли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оброк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превоз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регрес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запосљене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8.069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4.798</w:t>
            </w: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4.623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2.9.</w:t>
            </w:r>
          </w:p>
        </w:tc>
        <w:tc>
          <w:tcPr>
            <w:tcW w:w="481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амортизација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50.786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46.822</w:t>
            </w: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45.831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остали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пословни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расходи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54.724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51.621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41.920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2.10.1.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управни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одбор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5.278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4.427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2.945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2.10.2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концесије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захваћену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воду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5.410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5.529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6.984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2.10.3.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услуге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ПТТ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4.914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4.551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4.404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2.10.4.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осигурање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радника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7.450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6.050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7.480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2.10.5.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застарала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потраживања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7.569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4.660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2.393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2.10.6.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царина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шпедиција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2.887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1.810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2.10.7.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судске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таксе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322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4.185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357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2.10.8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таксе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обука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чланарине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др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нематеријални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трош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3.283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5.583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2.299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2.10.9.</w:t>
            </w:r>
          </w:p>
        </w:tc>
        <w:tc>
          <w:tcPr>
            <w:tcW w:w="481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судским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пресудама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4.719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3.814</w:t>
            </w: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5.200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2.10.10.</w:t>
            </w:r>
          </w:p>
        </w:tc>
        <w:tc>
          <w:tcPr>
            <w:tcW w:w="481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помоћ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породицама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запослених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др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3.630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4.290</w:t>
            </w: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3.025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2.10.11.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службена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путовања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3.486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740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749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2.10.12.</w:t>
            </w:r>
          </w:p>
        </w:tc>
        <w:tc>
          <w:tcPr>
            <w:tcW w:w="4814" w:type="dxa"/>
            <w:tcBorders>
              <w:lef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угоститељске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услуге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1.736</w:t>
            </w:r>
          </w:p>
        </w:tc>
        <w:tc>
          <w:tcPr>
            <w:tcW w:w="1052" w:type="dxa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1.616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89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2.10.13.</w:t>
            </w:r>
          </w:p>
        </w:tc>
        <w:tc>
          <w:tcPr>
            <w:tcW w:w="481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платни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промет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банкарске</w:t>
            </w: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провизије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2.565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1.372</w:t>
            </w: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1.282</w:t>
            </w:r>
          </w:p>
        </w:tc>
      </w:tr>
      <w:tr w:rsidR="00AB5E3C" w:rsidRPr="008B5AB5" w:rsidTr="008319B3">
        <w:trPr>
          <w:jc w:val="center"/>
        </w:trPr>
        <w:tc>
          <w:tcPr>
            <w:tcW w:w="867" w:type="dxa"/>
            <w:tcBorders>
              <w:left w:val="double" w:sz="4" w:space="0" w:color="auto"/>
              <w:bottom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2.10.14.</w:t>
            </w:r>
          </w:p>
        </w:tc>
        <w:tc>
          <w:tcPr>
            <w:tcW w:w="48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камате</w:t>
            </w: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1.475</w:t>
            </w: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2.994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5E3C" w:rsidRPr="008B5AB5" w:rsidRDefault="00AB5E3C" w:rsidP="0083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2.611</w:t>
            </w:r>
          </w:p>
        </w:tc>
      </w:tr>
    </w:tbl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еурима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без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пдв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односу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претходну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укупан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приход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мањи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3,67 %.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Приходи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основне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дјелатности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испоруке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одвођење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отпадних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потрошача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правна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наставили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тренд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раста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док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приходи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CS"/>
        </w:rPr>
        <w:t>физичких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другу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година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редом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мањи</w:t>
      </w:r>
      <w:r w:rsidRPr="008B5AB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категорије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трошкова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издвајања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одржавање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инсталација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материјала 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резервних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дјелова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електричну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енергију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гориво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мазиво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тзв.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остале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торшкове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трошкови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испитивања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квалитета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амортизације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остали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истом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нивоу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крају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пословне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потраживања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616.145,09 €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чега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предузећа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потражује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125.817,90 €,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самосталних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радњи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148.284,69 €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342.042,50€.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131.674,33€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чега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краткорочне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71.134,14 € (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добављачи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обрачунати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неуплаћени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ПДВ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концесије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дугорочне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Пословној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банци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Оснивачу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60.540,19 €. 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остале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накнаде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припадајућим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порезима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доприносима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исплаћиване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редовно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Просјечно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исплаћена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368,82 €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иста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просјечном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зарадом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претходној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запослене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обезбијеђено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квалитетно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колективно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осигурање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адекватна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средства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опрема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личне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заштите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стално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запошљено</w:t>
      </w:r>
      <w:r w:rsidR="004605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Дапсићко</w:t>
      </w:r>
      <w:r w:rsidRPr="008B5A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полички</w:t>
      </w:r>
      <w:r w:rsidRPr="008B5A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водовод</w:t>
      </w:r>
      <w:r w:rsidRPr="008B5A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полички водоводни систем је грађен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периоду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1980.-1983.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каптиран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извор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непосредној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близини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ријеке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њега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снабдијевају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мјештани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Петњика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Горње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Будимље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Полице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привредни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субјекти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установе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територији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мјесних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заједница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Иако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завршен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технички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технолошки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његово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кориштење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почело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1983.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Одлуком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Скупштине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1996.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уступљен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управљање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газдовање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ЈП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стамбено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комуналну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дјелатност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вријеме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ангажована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референтна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пројектантска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кућа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Завод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урбанизам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пројектовање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Берана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сачини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извјештај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опреме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закључила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непостојање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јединственог инвеститора, необезбијеђена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финансијска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средства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цјелини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различити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интереси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појединих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учесника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изградњи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ангажовање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више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извођача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дјелимичну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опструкцију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појединаца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условили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незавршетак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објеката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практично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данас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”(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поменути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извјештај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.1).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Неадекватно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вријеме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његове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употребе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угрожавало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стабилност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иначе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нестабилног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питању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карактерише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изостанак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већих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кварова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хаварија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претходних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присутне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Тако су се  стручне службе 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бавиле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само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текућим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одржавањем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инсталацијама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опреми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циљу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стварања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којим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обезбиједило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редовније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сигурније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снабдијевање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стране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Оснивача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формирана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комисија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задатком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утврди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каквом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стању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налазе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инсталације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опрема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објекти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предложе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мјере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имплементација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обезбиједила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услове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технички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добијање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употребне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дозволе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овај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Приходи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остварени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поличког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години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износе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28.324,34 €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покривају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70 %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укупних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расхода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што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отежава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даље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пословање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Друштва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цјелини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Приходи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готово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цјелини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остварују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Полица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куриозитет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наводимо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податак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потрошаци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фактурисаних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7.561,56 €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платили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717,12 €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или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9,48 %. 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Чињеница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корисници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подручја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Дапсића и Петњика немају уграђене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водомјере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нити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желе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их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уграде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Дапсићко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полички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водоводни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систем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несигурним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уз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опасност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већи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корисника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току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љета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нема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довољне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количине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воде</w:t>
      </w:r>
      <w:r w:rsidRPr="008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AB5E3C" w:rsidRPr="008B5AB5" w:rsidRDefault="00AB5E3C" w:rsidP="00AB5E3C">
      <w:pPr>
        <w:jc w:val="both"/>
        <w:rPr>
          <w:sz w:val="24"/>
          <w:szCs w:val="24"/>
        </w:rPr>
      </w:pPr>
    </w:p>
    <w:p w:rsidR="00B010AE" w:rsidRDefault="00B010AE"/>
    <w:sectPr w:rsidR="00B010AE" w:rsidSect="00F0520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96" w:rsidRDefault="00227696" w:rsidP="00FD68D5">
      <w:pPr>
        <w:spacing w:after="0" w:line="240" w:lineRule="auto"/>
      </w:pPr>
      <w:r>
        <w:separator/>
      </w:r>
    </w:p>
  </w:endnote>
  <w:endnote w:type="continuationSeparator" w:id="1">
    <w:p w:rsidR="00227696" w:rsidRDefault="00227696" w:rsidP="00F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969"/>
      <w:docPartObj>
        <w:docPartGallery w:val="Page Numbers (Bottom of Page)"/>
        <w:docPartUnique/>
      </w:docPartObj>
    </w:sdtPr>
    <w:sdtContent>
      <w:p w:rsidR="00F05209" w:rsidRDefault="00E5302E">
        <w:pPr>
          <w:pStyle w:val="Footer"/>
          <w:jc w:val="center"/>
        </w:pPr>
        <w:r>
          <w:fldChar w:fldCharType="begin"/>
        </w:r>
        <w:r w:rsidR="00AB5E3C">
          <w:instrText xml:space="preserve"> PAGE   \* MERGEFORMAT </w:instrText>
        </w:r>
        <w:r>
          <w:fldChar w:fldCharType="separate"/>
        </w:r>
        <w:r w:rsidR="00324F1D">
          <w:rPr>
            <w:noProof/>
          </w:rPr>
          <w:t>2</w:t>
        </w:r>
        <w:r>
          <w:fldChar w:fldCharType="end"/>
        </w:r>
      </w:p>
    </w:sdtContent>
  </w:sdt>
  <w:p w:rsidR="00F05209" w:rsidRDefault="00227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96" w:rsidRDefault="00227696" w:rsidP="00FD68D5">
      <w:pPr>
        <w:spacing w:after="0" w:line="240" w:lineRule="auto"/>
      </w:pPr>
      <w:r>
        <w:separator/>
      </w:r>
    </w:p>
  </w:footnote>
  <w:footnote w:type="continuationSeparator" w:id="1">
    <w:p w:rsidR="00227696" w:rsidRDefault="00227696" w:rsidP="00FD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9CB"/>
    <w:multiLevelType w:val="hybridMultilevel"/>
    <w:tmpl w:val="687A8BEC"/>
    <w:lvl w:ilvl="0" w:tplc="BBDC6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6145C"/>
    <w:multiLevelType w:val="hybridMultilevel"/>
    <w:tmpl w:val="794AA0A4"/>
    <w:lvl w:ilvl="0" w:tplc="BBDC6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3C"/>
    <w:rsid w:val="00227696"/>
    <w:rsid w:val="00316EB8"/>
    <w:rsid w:val="00324F1D"/>
    <w:rsid w:val="004605B7"/>
    <w:rsid w:val="00486088"/>
    <w:rsid w:val="0063578B"/>
    <w:rsid w:val="00AB5E3C"/>
    <w:rsid w:val="00B010AE"/>
    <w:rsid w:val="00C94C0D"/>
    <w:rsid w:val="00D34270"/>
    <w:rsid w:val="00E5302E"/>
    <w:rsid w:val="00F02F04"/>
    <w:rsid w:val="00F65BDF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3C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3C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E3C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3C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3538</Words>
  <Characters>20172</Characters>
  <Application>Microsoft Office Word</Application>
  <DocSecurity>0</DocSecurity>
  <Lines>168</Lines>
  <Paragraphs>47</Paragraphs>
  <ScaleCrop>false</ScaleCrop>
  <Company>NONE</Company>
  <LinksUpToDate>false</LinksUpToDate>
  <CharactersWithSpaces>23663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4</cp:revision>
  <dcterms:created xsi:type="dcterms:W3CDTF">2016-03-20T17:55:00Z</dcterms:created>
  <dcterms:modified xsi:type="dcterms:W3CDTF">2016-03-22T08:13:00Z</dcterms:modified>
</cp:coreProperties>
</file>