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809625" cy="1009650"/>
            <wp:effectExtent l="0" t="0" r="9525" b="0"/>
            <wp:docPr id="1" name="Picture 1" descr="Description: 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013E22" w:rsidRDefault="00013E22" w:rsidP="00013E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 xml:space="preserve">CRNA GORA                                        </w:t>
      </w:r>
    </w:p>
    <w:p w:rsidR="00013E22" w:rsidRDefault="00013E22" w:rsidP="00013E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OPŠTINA BERANE</w:t>
      </w:r>
    </w:p>
    <w:p w:rsidR="00013E22" w:rsidRDefault="00013E22" w:rsidP="00013E22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Broj: 01-</w:t>
      </w:r>
      <w:r w:rsidRPr="00327F1E">
        <w:rPr>
          <w:rFonts w:ascii="Arial" w:hAnsi="Arial" w:cs="Arial"/>
          <w:sz w:val="24"/>
          <w:szCs w:val="24"/>
          <w:lang w:val="sl-SI"/>
        </w:rPr>
        <w:t>031</w:t>
      </w:r>
      <w:r w:rsidRPr="00B064BA">
        <w:rPr>
          <w:rFonts w:ascii="Arial" w:hAnsi="Arial" w:cs="Arial"/>
          <w:sz w:val="24"/>
          <w:szCs w:val="24"/>
          <w:lang w:val="sl-SI"/>
        </w:rPr>
        <w:t>-</w:t>
      </w:r>
      <w:r w:rsidR="00B064BA" w:rsidRPr="00B064BA">
        <w:rPr>
          <w:rFonts w:ascii="Arial" w:hAnsi="Arial" w:cs="Arial"/>
          <w:sz w:val="24"/>
          <w:szCs w:val="24"/>
          <w:lang w:val="sl-SI"/>
        </w:rPr>
        <w:t>256</w:t>
      </w:r>
    </w:p>
    <w:p w:rsidR="00013E22" w:rsidRDefault="00013E22" w:rsidP="00013E22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Berane, </w:t>
      </w:r>
      <w:r w:rsidR="00B01CF7">
        <w:rPr>
          <w:rFonts w:ascii="Arial" w:hAnsi="Arial" w:cs="Arial"/>
          <w:sz w:val="24"/>
          <w:szCs w:val="24"/>
          <w:lang w:val="sl-SI"/>
        </w:rPr>
        <w:t>06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1635BB">
        <w:rPr>
          <w:rFonts w:ascii="Arial" w:hAnsi="Arial" w:cs="Arial"/>
          <w:sz w:val="24"/>
          <w:szCs w:val="24"/>
          <w:lang w:val="sl-SI"/>
        </w:rPr>
        <w:t>02</w:t>
      </w:r>
      <w:r>
        <w:rPr>
          <w:rFonts w:ascii="Arial" w:hAnsi="Arial" w:cs="Arial"/>
          <w:sz w:val="24"/>
          <w:szCs w:val="24"/>
          <w:lang w:val="sl-SI"/>
        </w:rPr>
        <w:t>. 201</w:t>
      </w:r>
      <w:r w:rsidR="001635BB">
        <w:rPr>
          <w:rFonts w:ascii="Arial" w:hAnsi="Arial" w:cs="Arial"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>. godine</w:t>
      </w:r>
    </w:p>
    <w:p w:rsidR="00E332F6" w:rsidRDefault="00E332F6" w:rsidP="00013E2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3E22" w:rsidRPr="00DE28CD" w:rsidRDefault="00013E22" w:rsidP="00DE28CD">
      <w:pPr>
        <w:spacing w:after="360" w:line="240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105 stav 2 Zakona o javnim nabavkama („Službeni list CG“, br. 42/11</w:t>
      </w:r>
      <w:r w:rsidR="001635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57/14</w:t>
      </w:r>
      <w:r w:rsidR="001635BB">
        <w:rPr>
          <w:rFonts w:ascii="Arial" w:hAnsi="Arial" w:cs="Arial"/>
          <w:sz w:val="24"/>
          <w:szCs w:val="24"/>
        </w:rPr>
        <w:t xml:space="preserve"> i 28/15</w:t>
      </w:r>
      <w:r>
        <w:rPr>
          <w:rFonts w:ascii="Arial" w:hAnsi="Arial" w:cs="Arial"/>
          <w:sz w:val="24"/>
          <w:szCs w:val="24"/>
        </w:rPr>
        <w:t xml:space="preserve">), u postupku odlučivanja o izboru najpovoljnije ponude po tenderskoj dokumentaciji </w:t>
      </w:r>
      <w:r w:rsidR="008F435D">
        <w:rPr>
          <w:rFonts w:ascii="Arial" w:eastAsia="PMingLiU" w:hAnsi="Arial" w:cs="Arial"/>
          <w:sz w:val="24"/>
          <w:szCs w:val="24"/>
          <w:lang w:val="pl-PL" w:eastAsia="zh-TW"/>
        </w:rPr>
        <w:t xml:space="preserve">broj </w:t>
      </w:r>
      <w:r w:rsidR="008F435D">
        <w:rPr>
          <w:rFonts w:ascii="Arial" w:hAnsi="Arial" w:cs="Arial"/>
          <w:sz w:val="24"/>
          <w:szCs w:val="24"/>
        </w:rPr>
        <w:t>05-404</w:t>
      </w:r>
      <w:r w:rsidR="008F435D" w:rsidRPr="00F5418E">
        <w:rPr>
          <w:rFonts w:ascii="Arial" w:hAnsi="Arial" w:cs="Arial"/>
          <w:sz w:val="24"/>
          <w:szCs w:val="24"/>
        </w:rPr>
        <w:t>-</w:t>
      </w:r>
      <w:r w:rsidR="001635BB">
        <w:rPr>
          <w:rFonts w:ascii="Arial" w:hAnsi="Arial" w:cs="Arial"/>
          <w:sz w:val="24"/>
          <w:szCs w:val="24"/>
        </w:rPr>
        <w:t>16</w:t>
      </w:r>
      <w:r w:rsidR="008F435D">
        <w:rPr>
          <w:rFonts w:ascii="Arial" w:hAnsi="Arial" w:cs="Arial"/>
          <w:sz w:val="24"/>
          <w:szCs w:val="24"/>
        </w:rPr>
        <w:t xml:space="preserve"> od </w:t>
      </w:r>
      <w:r w:rsidR="001635BB">
        <w:rPr>
          <w:rFonts w:ascii="Arial" w:hAnsi="Arial" w:cs="Arial"/>
          <w:sz w:val="24"/>
          <w:szCs w:val="24"/>
        </w:rPr>
        <w:t>25</w:t>
      </w:r>
      <w:r w:rsidR="008F435D">
        <w:rPr>
          <w:rFonts w:ascii="Arial" w:hAnsi="Arial" w:cs="Arial"/>
          <w:sz w:val="24"/>
          <w:szCs w:val="24"/>
        </w:rPr>
        <w:t xml:space="preserve">. </w:t>
      </w:r>
      <w:r w:rsidR="001635BB">
        <w:rPr>
          <w:rFonts w:ascii="Arial" w:hAnsi="Arial" w:cs="Arial"/>
          <w:sz w:val="24"/>
          <w:szCs w:val="24"/>
        </w:rPr>
        <w:t>01</w:t>
      </w:r>
      <w:r w:rsidR="008F435D">
        <w:rPr>
          <w:rFonts w:ascii="Arial" w:hAnsi="Arial" w:cs="Arial"/>
          <w:sz w:val="24"/>
          <w:szCs w:val="24"/>
        </w:rPr>
        <w:t>. 201</w:t>
      </w:r>
      <w:r w:rsidR="001635BB">
        <w:rPr>
          <w:rFonts w:ascii="Arial" w:hAnsi="Arial" w:cs="Arial"/>
          <w:sz w:val="24"/>
          <w:szCs w:val="24"/>
        </w:rPr>
        <w:t>7</w:t>
      </w:r>
      <w:r w:rsidR="008F435D">
        <w:rPr>
          <w:rFonts w:ascii="Arial" w:hAnsi="Arial" w:cs="Arial"/>
          <w:sz w:val="24"/>
          <w:szCs w:val="24"/>
        </w:rPr>
        <w:t xml:space="preserve">. godine za otvoreni postupak javne nabavke </w:t>
      </w:r>
      <w:r w:rsidR="008F435D">
        <w:rPr>
          <w:rFonts w:ascii="Arial" w:eastAsia="PMingLiU" w:hAnsi="Arial" w:cs="Arial"/>
          <w:sz w:val="24"/>
          <w:szCs w:val="24"/>
          <w:lang w:val="pl-PL" w:eastAsia="zh-TW"/>
        </w:rPr>
        <w:t xml:space="preserve">po pozivu br. </w:t>
      </w:r>
      <w:r w:rsidR="001635BB">
        <w:rPr>
          <w:rFonts w:ascii="Arial" w:eastAsia="PMingLiU" w:hAnsi="Arial" w:cs="Arial"/>
          <w:sz w:val="24"/>
          <w:szCs w:val="24"/>
          <w:lang w:val="pl-PL" w:eastAsia="zh-TW"/>
        </w:rPr>
        <w:t>01</w:t>
      </w:r>
      <w:r w:rsidR="008F435D">
        <w:rPr>
          <w:rFonts w:ascii="Arial" w:eastAsia="PMingLiU" w:hAnsi="Arial" w:cs="Arial"/>
          <w:sz w:val="24"/>
          <w:szCs w:val="24"/>
          <w:lang w:val="pl-PL" w:eastAsia="zh-TW"/>
        </w:rPr>
        <w:t>/1</w:t>
      </w:r>
      <w:r w:rsidR="001635BB">
        <w:rPr>
          <w:rFonts w:ascii="Arial" w:eastAsia="PMingLiU" w:hAnsi="Arial" w:cs="Arial"/>
          <w:sz w:val="24"/>
          <w:szCs w:val="24"/>
          <w:lang w:val="pl-PL" w:eastAsia="zh-TW"/>
        </w:rPr>
        <w:t>7</w:t>
      </w:r>
      <w:r w:rsidR="00753267">
        <w:rPr>
          <w:rFonts w:ascii="Arial" w:eastAsia="PMingLiU" w:hAnsi="Arial" w:cs="Arial"/>
          <w:sz w:val="24"/>
          <w:szCs w:val="24"/>
          <w:lang w:val="pl-PL" w:eastAsia="zh-TW"/>
        </w:rPr>
        <w:t>A</w:t>
      </w:r>
      <w:r w:rsidR="008F435D">
        <w:rPr>
          <w:rFonts w:ascii="Arial" w:eastAsia="PMingLiU" w:hAnsi="Arial" w:cs="Arial"/>
          <w:sz w:val="24"/>
          <w:szCs w:val="24"/>
          <w:lang w:val="pl-PL" w:eastAsia="zh-TW"/>
        </w:rPr>
        <w:t xml:space="preserve">, </w:t>
      </w:r>
      <w:r w:rsidR="008F435D" w:rsidRPr="007A5F9B">
        <w:rPr>
          <w:rFonts w:ascii="Arial" w:eastAsia="PMingLiU" w:hAnsi="Arial" w:cs="Arial"/>
          <w:i/>
          <w:sz w:val="24"/>
          <w:szCs w:val="24"/>
          <w:lang w:val="pl-PL" w:eastAsia="zh-TW"/>
        </w:rPr>
        <w:t>za</w:t>
      </w:r>
      <w:r w:rsidR="008F435D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="008F435D" w:rsidRPr="002F6259">
        <w:rPr>
          <w:rFonts w:ascii="Arial" w:hAnsi="Arial" w:cs="Arial"/>
          <w:i/>
          <w:sz w:val="24"/>
          <w:szCs w:val="24"/>
          <w:lang w:val="sr-Latn-CS"/>
        </w:rPr>
        <w:t>n</w:t>
      </w:r>
      <w:r w:rsidR="008F435D" w:rsidRPr="002F6259">
        <w:rPr>
          <w:rFonts w:ascii="Arial" w:hAnsi="Arial" w:cs="Arial"/>
          <w:i/>
          <w:sz w:val="24"/>
          <w:szCs w:val="24"/>
          <w:shd w:val="clear" w:color="auto" w:fill="F5F5F1"/>
          <w:lang w:val="sr-Latn-CS"/>
        </w:rPr>
        <w:t>abavk</w:t>
      </w:r>
      <w:r w:rsidR="008F435D">
        <w:rPr>
          <w:rFonts w:ascii="Arial" w:hAnsi="Arial" w:cs="Arial"/>
          <w:i/>
          <w:sz w:val="24"/>
          <w:szCs w:val="24"/>
          <w:shd w:val="clear" w:color="auto" w:fill="F5F5F1"/>
          <w:lang w:val="sr-Latn-CS"/>
        </w:rPr>
        <w:t>u</w:t>
      </w:r>
      <w:r w:rsidR="008F435D" w:rsidRPr="002F6259">
        <w:rPr>
          <w:rFonts w:ascii="Arial" w:hAnsi="Arial" w:cs="Arial"/>
          <w:i/>
          <w:sz w:val="24"/>
          <w:szCs w:val="24"/>
          <w:shd w:val="clear" w:color="auto" w:fill="F5F5F1"/>
          <w:lang w:val="sr-Latn-CS"/>
        </w:rPr>
        <w:t xml:space="preserve"> </w:t>
      </w:r>
      <w:r w:rsidR="001635BB" w:rsidRPr="000D1992">
        <w:rPr>
          <w:rFonts w:ascii="Arial" w:hAnsi="Arial" w:cs="Arial"/>
          <w:i/>
          <w:color w:val="000000"/>
          <w:sz w:val="24"/>
          <w:szCs w:val="24"/>
        </w:rPr>
        <w:t>goriva</w:t>
      </w:r>
      <w:r w:rsidR="001635BB" w:rsidRPr="000D1992">
        <w:rPr>
          <w:rFonts w:ascii="Arial" w:hAnsi="Arial" w:cs="Arial"/>
          <w:i/>
          <w:sz w:val="24"/>
          <w:szCs w:val="24"/>
        </w:rPr>
        <w:t xml:space="preserve"> </w:t>
      </w:r>
      <w:r w:rsidR="001635BB" w:rsidRPr="000D1992">
        <w:rPr>
          <w:rFonts w:ascii="Arial" w:hAnsi="Arial" w:cs="Arial"/>
          <w:i/>
          <w:sz w:val="24"/>
          <w:szCs w:val="24"/>
          <w:shd w:val="clear" w:color="auto" w:fill="F5F5F1"/>
          <w:lang w:val="sr-Latn-CS"/>
        </w:rPr>
        <w:t>za putni</w:t>
      </w:r>
      <w:r w:rsidR="001635BB" w:rsidRPr="000D1992">
        <w:rPr>
          <w:rFonts w:ascii="Arial" w:hAnsi="Arial" w:cs="Arial"/>
          <w:i/>
          <w:sz w:val="24"/>
          <w:szCs w:val="24"/>
          <w:shd w:val="clear" w:color="auto" w:fill="F5F5F1"/>
          <w:lang w:val="sr-Latn-RS"/>
        </w:rPr>
        <w:t>čka i teretna</w:t>
      </w:r>
      <w:r w:rsidR="001635BB" w:rsidRPr="000D1992">
        <w:rPr>
          <w:rFonts w:ascii="Arial" w:hAnsi="Arial" w:cs="Arial"/>
          <w:i/>
          <w:sz w:val="24"/>
          <w:szCs w:val="24"/>
          <w:shd w:val="clear" w:color="auto" w:fill="F5F5F1"/>
          <w:lang w:val="sr-Latn-CS"/>
        </w:rPr>
        <w:t xml:space="preserve"> vozila u vlasništvu Opštine Berane, kao i goriva za potrebe grijanja službenih prostorija u zgradi </w:t>
      </w:r>
      <w:r w:rsidR="001635BB" w:rsidRPr="000D1992">
        <w:rPr>
          <w:rFonts w:ascii="Arial" w:hAnsi="Arial" w:cs="Arial"/>
          <w:i/>
          <w:sz w:val="24"/>
          <w:szCs w:val="24"/>
          <w:shd w:val="clear" w:color="auto" w:fill="F5F5F1"/>
        </w:rPr>
        <w:t>Opštine Berane</w:t>
      </w:r>
      <w:r w:rsidR="001635BB" w:rsidRPr="000D1992">
        <w:rPr>
          <w:rFonts w:ascii="Arial" w:hAnsi="Arial" w:cs="Arial"/>
          <w:i/>
          <w:sz w:val="24"/>
          <w:szCs w:val="24"/>
          <w:shd w:val="clear" w:color="auto" w:fill="F5F5F1"/>
          <w:lang w:val="pl-PL"/>
        </w:rPr>
        <w:t>,</w:t>
      </w:r>
      <w:r w:rsidR="001635BB" w:rsidRPr="000D1992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="001635BB" w:rsidRPr="000D1992">
        <w:rPr>
          <w:rFonts w:ascii="Arial" w:hAnsi="Arial" w:cs="Arial"/>
          <w:i/>
          <w:sz w:val="24"/>
          <w:szCs w:val="24"/>
          <w:shd w:val="clear" w:color="auto" w:fill="F5F5F1"/>
          <w:lang w:val="sr-Latn-CS"/>
        </w:rPr>
        <w:t>za period od jedne godine</w:t>
      </w:r>
      <w:r w:rsidR="008F435D" w:rsidRPr="00A96569">
        <w:rPr>
          <w:rFonts w:ascii="Arial" w:hAnsi="Arial" w:cs="Arial"/>
          <w:sz w:val="24"/>
          <w:szCs w:val="24"/>
          <w:shd w:val="clear" w:color="auto" w:fill="F5F5F1"/>
          <w:lang w:val="pl-PL"/>
        </w:rPr>
        <w:t>,</w:t>
      </w:r>
      <w:r w:rsidR="008F435D" w:rsidRPr="00A96569">
        <w:rPr>
          <w:rFonts w:ascii="Arial" w:hAnsi="Arial" w:cs="Arial"/>
          <w:sz w:val="24"/>
          <w:szCs w:val="24"/>
          <w:lang w:val="sl-SI"/>
        </w:rPr>
        <w:t xml:space="preserve"> </w:t>
      </w:r>
      <w:r w:rsidR="008F435D" w:rsidRPr="00A96569">
        <w:rPr>
          <w:rFonts w:ascii="Arial" w:hAnsi="Arial" w:cs="Arial"/>
          <w:sz w:val="24"/>
          <w:szCs w:val="24"/>
          <w:shd w:val="clear" w:color="auto" w:fill="F5F5F1"/>
          <w:lang w:val="sr-Latn-CS"/>
        </w:rPr>
        <w:t>u svemu prema specifikaciji koja je sastavni dio tenderske dokumentacije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predsjednik Opštine Berane, na pr</w:t>
      </w:r>
      <w:r w:rsidR="00327F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dlog </w:t>
      </w:r>
      <w:r w:rsidR="008F435D">
        <w:rPr>
          <w:rFonts w:ascii="Arial" w:hAnsi="Arial" w:cs="Arial"/>
          <w:iCs/>
          <w:sz w:val="24"/>
          <w:szCs w:val="24"/>
        </w:rPr>
        <w:t>Komisije za otvaranje i vrednovanje ponuda</w:t>
      </w:r>
      <w:r w:rsidR="00327F1E">
        <w:rPr>
          <w:rFonts w:ascii="Arial" w:hAnsi="Arial" w:cs="Arial"/>
          <w:iCs/>
          <w:sz w:val="24"/>
          <w:szCs w:val="24"/>
        </w:rPr>
        <w:t xml:space="preserve">,  </w:t>
      </w:r>
      <w:r>
        <w:rPr>
          <w:rFonts w:ascii="Arial" w:hAnsi="Arial" w:cs="Arial"/>
          <w:i/>
          <w:sz w:val="24"/>
          <w:szCs w:val="24"/>
        </w:rPr>
        <w:t>d o n o s i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2D27" w:rsidRDefault="00BE2D27" w:rsidP="00013E22">
      <w:pPr>
        <w:pStyle w:val="ListParagraph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sr-Latn-RS"/>
        </w:rPr>
      </w:pPr>
    </w:p>
    <w:p w:rsidR="00013E22" w:rsidRDefault="00013E22" w:rsidP="00013E22">
      <w:pPr>
        <w:pStyle w:val="ListParagraph"/>
        <w:ind w:left="0"/>
        <w:jc w:val="center"/>
        <w:rPr>
          <w:rFonts w:ascii="Arial" w:hAnsi="Arial" w:cs="Arial"/>
          <w:b/>
          <w:bCs/>
          <w:i/>
          <w:sz w:val="28"/>
          <w:szCs w:val="28"/>
          <w:lang w:val="sr-Latn-RS"/>
        </w:rPr>
      </w:pPr>
      <w:r>
        <w:rPr>
          <w:rFonts w:ascii="Arial" w:hAnsi="Arial" w:cs="Arial"/>
          <w:b/>
          <w:bCs/>
          <w:i/>
          <w:sz w:val="28"/>
          <w:szCs w:val="28"/>
          <w:lang w:val="sr-Latn-RS"/>
        </w:rPr>
        <w:t>Rješenje                                                                                                                                                                                             o obustavljanju postupka javne nabavke</w:t>
      </w:r>
    </w:p>
    <w:p w:rsidR="00BE2D27" w:rsidRDefault="00BE2D27" w:rsidP="00DE28C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DE28CD" w:rsidRDefault="00DE28CD" w:rsidP="00DE28C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1635BB" w:rsidRDefault="00013E22" w:rsidP="000A0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Obustavlja se postupak javne nabavke po tenderskoj dokumentaciji broj </w:t>
      </w:r>
      <w:r w:rsidR="008F435D">
        <w:rPr>
          <w:rFonts w:ascii="Arial" w:hAnsi="Arial" w:cs="Arial"/>
          <w:sz w:val="24"/>
          <w:szCs w:val="24"/>
        </w:rPr>
        <w:t>05-404</w:t>
      </w:r>
      <w:r w:rsidR="008F435D" w:rsidRPr="00F5418E">
        <w:rPr>
          <w:rFonts w:ascii="Arial" w:hAnsi="Arial" w:cs="Arial"/>
          <w:sz w:val="24"/>
          <w:szCs w:val="24"/>
        </w:rPr>
        <w:t>-</w:t>
      </w:r>
      <w:r w:rsidR="001635BB">
        <w:rPr>
          <w:rFonts w:ascii="Arial" w:hAnsi="Arial" w:cs="Arial"/>
          <w:sz w:val="24"/>
          <w:szCs w:val="24"/>
        </w:rPr>
        <w:t>16</w:t>
      </w:r>
      <w:r w:rsidR="008F4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</w:t>
      </w:r>
      <w:r w:rsidR="001635B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1635BB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 201</w:t>
      </w:r>
      <w:r w:rsidR="001635B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8F435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r w:rsidR="008F43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F435D" w:rsidRPr="008F435D">
        <w:rPr>
          <w:rFonts w:ascii="Arial" w:eastAsia="PMingLiU" w:hAnsi="Arial" w:cs="Arial"/>
          <w:sz w:val="24"/>
          <w:szCs w:val="24"/>
          <w:lang w:val="pl-PL" w:eastAsia="zh-TW"/>
        </w:rPr>
        <w:t xml:space="preserve">u otvorenom postupku javne nabavke po pozivu br. </w:t>
      </w:r>
      <w:r w:rsidR="001635BB">
        <w:rPr>
          <w:rFonts w:ascii="Arial" w:eastAsia="PMingLiU" w:hAnsi="Arial" w:cs="Arial"/>
          <w:sz w:val="24"/>
          <w:szCs w:val="24"/>
          <w:lang w:val="pl-PL" w:eastAsia="zh-TW"/>
        </w:rPr>
        <w:t>01</w:t>
      </w:r>
      <w:r w:rsidR="008F435D" w:rsidRPr="008F435D">
        <w:rPr>
          <w:rFonts w:ascii="Arial" w:eastAsia="PMingLiU" w:hAnsi="Arial" w:cs="Arial"/>
          <w:sz w:val="24"/>
          <w:szCs w:val="24"/>
          <w:lang w:val="pl-PL" w:eastAsia="zh-TW"/>
        </w:rPr>
        <w:t>/1</w:t>
      </w:r>
      <w:r w:rsidR="001635BB">
        <w:rPr>
          <w:rFonts w:ascii="Arial" w:eastAsia="PMingLiU" w:hAnsi="Arial" w:cs="Arial"/>
          <w:sz w:val="24"/>
          <w:szCs w:val="24"/>
          <w:lang w:val="pl-PL" w:eastAsia="zh-TW"/>
        </w:rPr>
        <w:t>7</w:t>
      </w:r>
      <w:r w:rsidR="00BD0BFB">
        <w:rPr>
          <w:rFonts w:ascii="Arial" w:eastAsia="PMingLiU" w:hAnsi="Arial" w:cs="Arial"/>
          <w:sz w:val="24"/>
          <w:szCs w:val="24"/>
          <w:lang w:val="pl-PL" w:eastAsia="zh-TW"/>
        </w:rPr>
        <w:t xml:space="preserve"> A</w:t>
      </w:r>
      <w:r w:rsidR="008F435D" w:rsidRPr="008F435D">
        <w:rPr>
          <w:rFonts w:ascii="Arial" w:eastAsia="PMingLiU" w:hAnsi="Arial" w:cs="Arial"/>
          <w:i/>
          <w:sz w:val="24"/>
          <w:szCs w:val="24"/>
          <w:lang w:val="pl-PL" w:eastAsia="zh-TW"/>
        </w:rPr>
        <w:t xml:space="preserve">, </w:t>
      </w:r>
      <w:r w:rsidR="008F435D" w:rsidRPr="000A03FC">
        <w:rPr>
          <w:rFonts w:ascii="Arial" w:eastAsia="PMingLiU" w:hAnsi="Arial" w:cs="Arial"/>
          <w:sz w:val="24"/>
          <w:szCs w:val="24"/>
          <w:lang w:val="pl-PL" w:eastAsia="zh-TW"/>
        </w:rPr>
        <w:t xml:space="preserve">za nabavku </w:t>
      </w:r>
      <w:r w:rsidR="001635BB" w:rsidRPr="001635BB">
        <w:rPr>
          <w:rFonts w:ascii="Arial" w:hAnsi="Arial" w:cs="Arial"/>
          <w:color w:val="000000"/>
          <w:sz w:val="24"/>
          <w:szCs w:val="24"/>
        </w:rPr>
        <w:t>goriva</w:t>
      </w:r>
      <w:r w:rsidR="001635BB" w:rsidRPr="001635BB">
        <w:rPr>
          <w:rFonts w:ascii="Arial" w:hAnsi="Arial" w:cs="Arial"/>
          <w:sz w:val="24"/>
          <w:szCs w:val="24"/>
        </w:rPr>
        <w:t xml:space="preserve"> </w:t>
      </w:r>
      <w:r w:rsidR="001635BB" w:rsidRPr="001635BB">
        <w:rPr>
          <w:rFonts w:ascii="Arial" w:hAnsi="Arial" w:cs="Arial"/>
          <w:sz w:val="24"/>
          <w:szCs w:val="24"/>
          <w:shd w:val="clear" w:color="auto" w:fill="F5F5F1"/>
          <w:lang w:val="sr-Latn-CS"/>
        </w:rPr>
        <w:t>za putni</w:t>
      </w:r>
      <w:r w:rsidR="001635BB" w:rsidRPr="001635BB">
        <w:rPr>
          <w:rFonts w:ascii="Arial" w:hAnsi="Arial" w:cs="Arial"/>
          <w:sz w:val="24"/>
          <w:szCs w:val="24"/>
          <w:shd w:val="clear" w:color="auto" w:fill="F5F5F1"/>
          <w:lang w:val="sr-Latn-RS"/>
        </w:rPr>
        <w:t>čka i teretna</w:t>
      </w:r>
      <w:r w:rsidR="001635BB" w:rsidRPr="001635BB">
        <w:rPr>
          <w:rFonts w:ascii="Arial" w:hAnsi="Arial" w:cs="Arial"/>
          <w:sz w:val="24"/>
          <w:szCs w:val="24"/>
          <w:shd w:val="clear" w:color="auto" w:fill="F5F5F1"/>
          <w:lang w:val="sr-Latn-CS"/>
        </w:rPr>
        <w:t xml:space="preserve"> vozila u vlasništvu Opštine Berane, kao i goriva za potrebe grijanja službenih prostorija u zgradi </w:t>
      </w:r>
      <w:r w:rsidR="001635BB" w:rsidRPr="001635BB">
        <w:rPr>
          <w:rFonts w:ascii="Arial" w:hAnsi="Arial" w:cs="Arial"/>
          <w:sz w:val="24"/>
          <w:szCs w:val="24"/>
          <w:shd w:val="clear" w:color="auto" w:fill="F5F5F1"/>
        </w:rPr>
        <w:t>Opštine Berane</w:t>
      </w:r>
      <w:r w:rsidR="001635BB" w:rsidRPr="001635BB">
        <w:rPr>
          <w:rFonts w:ascii="Arial" w:hAnsi="Arial" w:cs="Arial"/>
          <w:sz w:val="24"/>
          <w:szCs w:val="24"/>
          <w:shd w:val="clear" w:color="auto" w:fill="F5F5F1"/>
          <w:lang w:val="pl-PL"/>
        </w:rPr>
        <w:t>,</w:t>
      </w:r>
      <w:r w:rsidR="001635BB" w:rsidRPr="001635BB">
        <w:rPr>
          <w:rFonts w:ascii="Arial" w:hAnsi="Arial" w:cs="Arial"/>
          <w:sz w:val="24"/>
          <w:szCs w:val="24"/>
          <w:lang w:val="sl-SI"/>
        </w:rPr>
        <w:t xml:space="preserve"> </w:t>
      </w:r>
      <w:r w:rsidR="001635BB" w:rsidRPr="001635BB">
        <w:rPr>
          <w:rFonts w:ascii="Arial" w:hAnsi="Arial" w:cs="Arial"/>
          <w:sz w:val="24"/>
          <w:szCs w:val="24"/>
          <w:shd w:val="clear" w:color="auto" w:fill="F5F5F1"/>
          <w:lang w:val="sr-Latn-CS"/>
        </w:rPr>
        <w:t>za period od jedne godine</w:t>
      </w:r>
      <w:r w:rsidR="001635BB" w:rsidRPr="001635BB">
        <w:rPr>
          <w:rFonts w:ascii="Arial" w:hAnsi="Arial" w:cs="Arial"/>
          <w:sz w:val="24"/>
          <w:szCs w:val="24"/>
          <w:shd w:val="clear" w:color="auto" w:fill="F5F5F1"/>
          <w:lang w:val="pl-PL"/>
        </w:rPr>
        <w:t>,</w:t>
      </w:r>
      <w:r w:rsidR="001635BB" w:rsidRPr="001635BB">
        <w:rPr>
          <w:rFonts w:ascii="Arial" w:hAnsi="Arial" w:cs="Arial"/>
          <w:sz w:val="24"/>
          <w:szCs w:val="24"/>
          <w:lang w:val="sl-SI"/>
        </w:rPr>
        <w:t xml:space="preserve"> </w:t>
      </w:r>
      <w:r w:rsidR="001635BB" w:rsidRPr="001635BB">
        <w:rPr>
          <w:rFonts w:ascii="Arial" w:hAnsi="Arial" w:cs="Arial"/>
          <w:sz w:val="24"/>
          <w:szCs w:val="24"/>
          <w:shd w:val="clear" w:color="auto" w:fill="F5F5F1"/>
          <w:lang w:val="sr-Latn-CS"/>
        </w:rPr>
        <w:t>u svemu prema specifikaciji koja je sastavni dio tenderske dokumentacije</w:t>
      </w:r>
      <w:r w:rsidR="000A03FC" w:rsidRPr="000A03FC">
        <w:rPr>
          <w:rFonts w:ascii="Arial" w:eastAsia="PMingLiU" w:hAnsi="Arial" w:cs="Arial"/>
          <w:sz w:val="24"/>
          <w:szCs w:val="24"/>
          <w:lang w:val="pl-PL" w:eastAsia="zh-TW"/>
        </w:rPr>
        <w:t>,</w:t>
      </w:r>
      <w:r w:rsidR="000A03FC" w:rsidRPr="000A03FC">
        <w:rPr>
          <w:rFonts w:ascii="Arial" w:hAnsi="Arial" w:cs="Arial"/>
          <w:sz w:val="24"/>
          <w:szCs w:val="24"/>
          <w:shd w:val="clear" w:color="auto" w:fill="F5F5F1"/>
          <w:lang w:val="sr-Latn-CS"/>
        </w:rPr>
        <w:t xml:space="preserve"> </w:t>
      </w:r>
      <w:r w:rsidRPr="000A03FC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 xml:space="preserve"> razloga što </w:t>
      </w:r>
      <w:r w:rsidR="000A03FC">
        <w:rPr>
          <w:rFonts w:ascii="Arial" w:hAnsi="Arial" w:cs="Arial"/>
          <w:sz w:val="24"/>
          <w:szCs w:val="24"/>
        </w:rPr>
        <w:t xml:space="preserve">je </w:t>
      </w:r>
      <w:r w:rsidR="00EC6847">
        <w:rPr>
          <w:rFonts w:ascii="Arial" w:hAnsi="Arial" w:cs="Arial"/>
          <w:sz w:val="24"/>
          <w:szCs w:val="24"/>
        </w:rPr>
        <w:t>naru</w:t>
      </w:r>
      <w:r w:rsidR="00EC6847">
        <w:rPr>
          <w:rFonts w:ascii="Arial" w:hAnsi="Arial" w:cs="Arial"/>
          <w:sz w:val="24"/>
          <w:szCs w:val="24"/>
          <w:lang w:val="sr-Latn-RS"/>
        </w:rPr>
        <w:t xml:space="preserve">čilac prije isteka roka za podnošenje ponuda ocijenio da je neophodno </w:t>
      </w:r>
      <w:r w:rsidR="000A03FC" w:rsidRPr="000A03F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C6847">
        <w:rPr>
          <w:rFonts w:ascii="Arial" w:hAnsi="Arial" w:cs="Arial"/>
          <w:sz w:val="24"/>
          <w:szCs w:val="24"/>
          <w:lang w:val="sv-SE"/>
        </w:rPr>
        <w:t>bitno izmijeniti tendersku dokumentaciju.</w:t>
      </w:r>
      <w:r w:rsidR="001635BB" w:rsidRPr="001635BB">
        <w:rPr>
          <w:rFonts w:ascii="Arial" w:hAnsi="Arial" w:cs="Arial"/>
          <w:sz w:val="24"/>
          <w:szCs w:val="24"/>
        </w:rPr>
        <w:t xml:space="preserve"> </w:t>
      </w:r>
    </w:p>
    <w:p w:rsidR="001635BB" w:rsidRDefault="001635BB" w:rsidP="000A0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2F6" w:rsidRDefault="00E332F6" w:rsidP="000A0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E22" w:rsidRDefault="00013E22" w:rsidP="0001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E22" w:rsidRPr="00013E22" w:rsidRDefault="00013E22" w:rsidP="00013E22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13E22">
        <w:rPr>
          <w:rFonts w:ascii="Arial" w:hAnsi="Arial" w:cs="Arial"/>
          <w:b/>
          <w:bCs/>
          <w:i/>
          <w:sz w:val="24"/>
          <w:szCs w:val="24"/>
        </w:rPr>
        <w:t>O b r a z l o ž e nj e</w:t>
      </w:r>
    </w:p>
    <w:p w:rsidR="00013E22" w:rsidRDefault="00013E22" w:rsidP="00013E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3FC" w:rsidRDefault="00013E22" w:rsidP="000A03FC">
      <w:pPr>
        <w:pStyle w:val="NoSpacing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</w:rPr>
        <w:t xml:space="preserve">Rješenje se donosi u </w:t>
      </w:r>
      <w:r>
        <w:rPr>
          <w:rFonts w:ascii="Arial" w:hAnsi="Arial" w:cs="Arial"/>
          <w:sz w:val="24"/>
          <w:szCs w:val="24"/>
        </w:rPr>
        <w:t xml:space="preserve">skladu sa odredbama člana 105 stav 2 Zakona o javnim </w:t>
      </w:r>
      <w:r w:rsidRPr="000A03FC">
        <w:rPr>
          <w:rFonts w:ascii="Arial" w:hAnsi="Arial" w:cs="Arial"/>
          <w:sz w:val="24"/>
          <w:szCs w:val="24"/>
        </w:rPr>
        <w:t xml:space="preserve">nabavkama </w:t>
      </w:r>
      <w:r w:rsidR="00657B78">
        <w:rPr>
          <w:rFonts w:ascii="Arial" w:hAnsi="Arial" w:cs="Arial"/>
          <w:sz w:val="24"/>
          <w:szCs w:val="24"/>
        </w:rPr>
        <w:t>(„Službeni list CG“, br. 42/11,</w:t>
      </w:r>
      <w:r w:rsidRPr="000A03FC">
        <w:rPr>
          <w:rFonts w:ascii="Arial" w:hAnsi="Arial" w:cs="Arial"/>
          <w:sz w:val="24"/>
          <w:szCs w:val="24"/>
        </w:rPr>
        <w:t xml:space="preserve"> 57/14</w:t>
      </w:r>
      <w:r w:rsidR="00657B78">
        <w:rPr>
          <w:rFonts w:ascii="Arial" w:hAnsi="Arial" w:cs="Arial"/>
          <w:sz w:val="24"/>
          <w:szCs w:val="24"/>
        </w:rPr>
        <w:t xml:space="preserve"> i 28/15</w:t>
      </w:r>
      <w:r w:rsidRPr="000A03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na predlog </w:t>
      </w:r>
      <w:r w:rsidR="000A03FC">
        <w:rPr>
          <w:rFonts w:ascii="Arial" w:hAnsi="Arial" w:cs="Arial"/>
          <w:sz w:val="24"/>
          <w:szCs w:val="24"/>
        </w:rPr>
        <w:t xml:space="preserve">Komisije za otvaranje </w:t>
      </w:r>
      <w:r w:rsidR="00B619D2">
        <w:rPr>
          <w:rFonts w:ascii="Arial" w:hAnsi="Arial" w:cs="Arial"/>
          <w:sz w:val="24"/>
          <w:szCs w:val="24"/>
        </w:rPr>
        <w:t>i</w:t>
      </w:r>
      <w:r w:rsidR="000A03FC">
        <w:rPr>
          <w:rFonts w:ascii="Arial" w:hAnsi="Arial" w:cs="Arial"/>
          <w:sz w:val="24"/>
          <w:szCs w:val="24"/>
        </w:rPr>
        <w:t xml:space="preserve"> vrednovanje ponuda</w:t>
      </w:r>
      <w:r w:rsidR="00657B7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a nakon </w:t>
      </w:r>
      <w:r w:rsidR="00657B78">
        <w:rPr>
          <w:rFonts w:ascii="Arial" w:eastAsia="PMingLiU" w:hAnsi="Arial" w:cs="Arial"/>
          <w:sz w:val="24"/>
          <w:szCs w:val="24"/>
          <w:lang w:val="pl-PL" w:eastAsia="zh-TW"/>
        </w:rPr>
        <w:t xml:space="preserve">dostavljenog zahtjeva za pojašnjenje </w:t>
      </w:r>
      <w:r w:rsidR="00657B78">
        <w:rPr>
          <w:rFonts w:ascii="Arial" w:eastAsia="PMingLiU" w:hAnsi="Arial" w:cs="Arial"/>
          <w:sz w:val="24"/>
          <w:szCs w:val="24"/>
          <w:lang w:val="pl-PL" w:eastAsia="zh-TW"/>
        </w:rPr>
        <w:lastRenderedPageBreak/>
        <w:t>zainteresovanog lica,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="00BD0BFB">
        <w:rPr>
          <w:rFonts w:ascii="Arial" w:eastAsia="PMingLiU" w:hAnsi="Arial" w:cs="Arial"/>
          <w:sz w:val="24"/>
          <w:szCs w:val="24"/>
          <w:lang w:val="pl-PL" w:eastAsia="zh-TW"/>
        </w:rPr>
        <w:t>br. 22/17 od 02. 02. 2017. godine,</w:t>
      </w:r>
      <w:r w:rsidR="002877C9">
        <w:rPr>
          <w:rFonts w:ascii="Arial" w:eastAsia="PMingLiU" w:hAnsi="Arial" w:cs="Arial"/>
          <w:sz w:val="24"/>
          <w:szCs w:val="24"/>
          <w:lang w:val="pl-PL" w:eastAsia="zh-TW"/>
        </w:rPr>
        <w:t xml:space="preserve"> naš</w:t>
      </w:r>
      <w:r w:rsidR="00BD0BFB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br. 05-</w:t>
      </w:r>
      <w:r w:rsidR="000A03FC">
        <w:rPr>
          <w:rFonts w:ascii="Arial" w:eastAsia="PMingLiU" w:hAnsi="Arial" w:cs="Arial"/>
          <w:sz w:val="24"/>
          <w:szCs w:val="24"/>
          <w:lang w:val="pl-PL" w:eastAsia="zh-TW"/>
        </w:rPr>
        <w:t>404-</w:t>
      </w:r>
      <w:r w:rsidR="00657B78">
        <w:rPr>
          <w:rFonts w:ascii="Arial" w:eastAsia="PMingLiU" w:hAnsi="Arial" w:cs="Arial"/>
          <w:sz w:val="24"/>
          <w:szCs w:val="24"/>
          <w:lang w:val="pl-PL" w:eastAsia="zh-TW"/>
        </w:rPr>
        <w:t>16/1</w:t>
      </w:r>
      <w:r w:rsidR="000A03FC">
        <w:rPr>
          <w:rFonts w:ascii="Arial" w:eastAsia="PMingLiU" w:hAnsi="Arial" w:cs="Arial"/>
          <w:sz w:val="24"/>
          <w:szCs w:val="24"/>
          <w:lang w:val="pl-PL" w:eastAsia="zh-TW"/>
        </w:rPr>
        <w:t xml:space="preserve"> od </w:t>
      </w:r>
      <w:r w:rsidR="00657B78">
        <w:rPr>
          <w:rFonts w:ascii="Arial" w:eastAsia="PMingLiU" w:hAnsi="Arial" w:cs="Arial"/>
          <w:sz w:val="24"/>
          <w:szCs w:val="24"/>
          <w:lang w:val="pl-PL" w:eastAsia="zh-TW"/>
        </w:rPr>
        <w:t>02</w:t>
      </w:r>
      <w:r w:rsidR="000A03FC">
        <w:rPr>
          <w:rFonts w:ascii="Arial" w:eastAsia="PMingLiU" w:hAnsi="Arial" w:cs="Arial"/>
          <w:sz w:val="24"/>
          <w:szCs w:val="24"/>
          <w:lang w:val="pl-PL" w:eastAsia="zh-TW"/>
        </w:rPr>
        <w:t xml:space="preserve">. </w:t>
      </w:r>
      <w:r w:rsidR="00657B78">
        <w:rPr>
          <w:rFonts w:ascii="Arial" w:eastAsia="PMingLiU" w:hAnsi="Arial" w:cs="Arial"/>
          <w:sz w:val="24"/>
          <w:szCs w:val="24"/>
          <w:lang w:val="pl-PL" w:eastAsia="zh-TW"/>
        </w:rPr>
        <w:t>02</w:t>
      </w:r>
      <w:r w:rsidR="000A03FC">
        <w:rPr>
          <w:rFonts w:ascii="Arial" w:eastAsia="PMingLiU" w:hAnsi="Arial" w:cs="Arial"/>
          <w:sz w:val="24"/>
          <w:szCs w:val="24"/>
          <w:lang w:val="pl-PL" w:eastAsia="zh-TW"/>
        </w:rPr>
        <w:t>. 201</w:t>
      </w:r>
      <w:r w:rsidR="00657B78">
        <w:rPr>
          <w:rFonts w:ascii="Arial" w:eastAsia="PMingLiU" w:hAnsi="Arial" w:cs="Arial"/>
          <w:sz w:val="24"/>
          <w:szCs w:val="24"/>
          <w:lang w:val="pl-PL" w:eastAsia="zh-TW"/>
        </w:rPr>
        <w:t>7</w:t>
      </w:r>
      <w:r w:rsidR="000A03FC">
        <w:rPr>
          <w:rFonts w:ascii="Arial" w:eastAsia="PMingLiU" w:hAnsi="Arial" w:cs="Arial"/>
          <w:sz w:val="24"/>
          <w:szCs w:val="24"/>
          <w:lang w:val="pl-PL" w:eastAsia="zh-TW"/>
        </w:rPr>
        <w:t xml:space="preserve">. </w:t>
      </w:r>
      <w:r w:rsidR="00657B78">
        <w:rPr>
          <w:rFonts w:ascii="Arial" w:eastAsia="PMingLiU" w:hAnsi="Arial" w:cs="Arial"/>
          <w:sz w:val="24"/>
          <w:szCs w:val="24"/>
          <w:lang w:val="pl-PL" w:eastAsia="zh-TW"/>
        </w:rPr>
        <w:t>g</w:t>
      </w:r>
      <w:r w:rsidR="000A03FC">
        <w:rPr>
          <w:rFonts w:ascii="Arial" w:eastAsia="PMingLiU" w:hAnsi="Arial" w:cs="Arial"/>
          <w:sz w:val="24"/>
          <w:szCs w:val="24"/>
          <w:lang w:val="pl-PL" w:eastAsia="zh-TW"/>
        </w:rPr>
        <w:t>odine</w:t>
      </w:r>
      <w:r w:rsidR="00657B78">
        <w:rPr>
          <w:rFonts w:ascii="Arial" w:eastAsia="PMingLiU" w:hAnsi="Arial" w:cs="Arial"/>
          <w:sz w:val="24"/>
          <w:szCs w:val="24"/>
          <w:lang w:val="pl-PL" w:eastAsia="zh-TW"/>
        </w:rPr>
        <w:t>.</w:t>
      </w:r>
    </w:p>
    <w:p w:rsidR="00013E22" w:rsidRDefault="00013E22" w:rsidP="0001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13E22" w:rsidRDefault="000A03FC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Tendersk</w:t>
      </w:r>
      <w:r w:rsidR="003010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dokumentacij</w:t>
      </w:r>
      <w:r w:rsidR="003010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 otvoreni postupak javne nabavke br. 05-404-</w:t>
      </w:r>
      <w:r w:rsidR="00657B78">
        <w:rPr>
          <w:rFonts w:ascii="Arial" w:hAnsi="Arial" w:cs="Arial"/>
          <w:sz w:val="24"/>
          <w:szCs w:val="24"/>
        </w:rPr>
        <w:t>16</w:t>
      </w:r>
      <w:r w:rsidR="00301032">
        <w:rPr>
          <w:rFonts w:ascii="Arial" w:hAnsi="Arial" w:cs="Arial"/>
          <w:sz w:val="24"/>
          <w:szCs w:val="24"/>
        </w:rPr>
        <w:t>, objavljena je</w:t>
      </w:r>
      <w:r>
        <w:rPr>
          <w:rFonts w:ascii="Arial" w:hAnsi="Arial" w:cs="Arial"/>
          <w:sz w:val="24"/>
          <w:szCs w:val="24"/>
        </w:rPr>
        <w:t xml:space="preserve"> na portalu Uprave za javne nabavke dana od </w:t>
      </w:r>
      <w:r w:rsidR="00657B7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657B78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 201</w:t>
      </w:r>
      <w:r w:rsidR="00657B78">
        <w:rPr>
          <w:rFonts w:ascii="Arial" w:hAnsi="Arial" w:cs="Arial"/>
          <w:sz w:val="24"/>
          <w:szCs w:val="24"/>
        </w:rPr>
        <w:t>7. godine</w:t>
      </w:r>
      <w:r w:rsidR="00111B8F">
        <w:rPr>
          <w:rFonts w:ascii="Arial" w:hAnsi="Arial" w:cs="Arial"/>
          <w:sz w:val="24"/>
          <w:szCs w:val="24"/>
        </w:rPr>
        <w:t xml:space="preserve">. Predmet javne nabavke je </w:t>
      </w:r>
      <w:r w:rsidR="00657B78" w:rsidRPr="001635BB">
        <w:rPr>
          <w:rFonts w:ascii="Arial" w:hAnsi="Arial" w:cs="Arial"/>
          <w:color w:val="000000"/>
          <w:sz w:val="24"/>
          <w:szCs w:val="24"/>
        </w:rPr>
        <w:t>goriv</w:t>
      </w:r>
      <w:r w:rsidR="00111B8F">
        <w:rPr>
          <w:rFonts w:ascii="Arial" w:hAnsi="Arial" w:cs="Arial"/>
          <w:color w:val="000000"/>
          <w:sz w:val="24"/>
          <w:szCs w:val="24"/>
        </w:rPr>
        <w:t>o</w:t>
      </w:r>
      <w:r w:rsidR="00657B78" w:rsidRPr="001635BB">
        <w:rPr>
          <w:rFonts w:ascii="Arial" w:hAnsi="Arial" w:cs="Arial"/>
          <w:sz w:val="24"/>
          <w:szCs w:val="24"/>
        </w:rPr>
        <w:t xml:space="preserve"> </w:t>
      </w:r>
      <w:r w:rsidR="00657B78" w:rsidRPr="001635BB">
        <w:rPr>
          <w:rFonts w:ascii="Arial" w:hAnsi="Arial" w:cs="Arial"/>
          <w:sz w:val="24"/>
          <w:szCs w:val="24"/>
          <w:shd w:val="clear" w:color="auto" w:fill="F5F5F1"/>
          <w:lang w:val="sr-Latn-CS"/>
        </w:rPr>
        <w:t>za putni</w:t>
      </w:r>
      <w:r w:rsidR="00657B78" w:rsidRPr="001635BB">
        <w:rPr>
          <w:rFonts w:ascii="Arial" w:hAnsi="Arial" w:cs="Arial"/>
          <w:sz w:val="24"/>
          <w:szCs w:val="24"/>
          <w:shd w:val="clear" w:color="auto" w:fill="F5F5F1"/>
          <w:lang w:val="sr-Latn-RS"/>
        </w:rPr>
        <w:t>čka i teretna</w:t>
      </w:r>
      <w:r w:rsidR="00657B78" w:rsidRPr="001635BB">
        <w:rPr>
          <w:rFonts w:ascii="Arial" w:hAnsi="Arial" w:cs="Arial"/>
          <w:sz w:val="24"/>
          <w:szCs w:val="24"/>
          <w:shd w:val="clear" w:color="auto" w:fill="F5F5F1"/>
          <w:lang w:val="sr-Latn-CS"/>
        </w:rPr>
        <w:t xml:space="preserve"> vozila u vlasništvu Opštine Berane, kao i goriv</w:t>
      </w:r>
      <w:r w:rsidR="00111B8F">
        <w:rPr>
          <w:rFonts w:ascii="Arial" w:hAnsi="Arial" w:cs="Arial"/>
          <w:sz w:val="24"/>
          <w:szCs w:val="24"/>
          <w:shd w:val="clear" w:color="auto" w:fill="F5F5F1"/>
          <w:lang w:val="sr-Latn-CS"/>
        </w:rPr>
        <w:t>o</w:t>
      </w:r>
      <w:r w:rsidR="00657B78" w:rsidRPr="001635BB">
        <w:rPr>
          <w:rFonts w:ascii="Arial" w:hAnsi="Arial" w:cs="Arial"/>
          <w:sz w:val="24"/>
          <w:szCs w:val="24"/>
          <w:shd w:val="clear" w:color="auto" w:fill="F5F5F1"/>
          <w:lang w:val="sr-Latn-CS"/>
        </w:rPr>
        <w:t xml:space="preserve"> za potrebe grijanja službenih prostorija u zgradi </w:t>
      </w:r>
      <w:r w:rsidR="00657B78" w:rsidRPr="001635BB">
        <w:rPr>
          <w:rFonts w:ascii="Arial" w:hAnsi="Arial" w:cs="Arial"/>
          <w:sz w:val="24"/>
          <w:szCs w:val="24"/>
          <w:shd w:val="clear" w:color="auto" w:fill="F5F5F1"/>
        </w:rPr>
        <w:t>Opštine Berane</w:t>
      </w:r>
      <w:r w:rsidR="00657B78" w:rsidRPr="001635BB">
        <w:rPr>
          <w:rFonts w:ascii="Arial" w:hAnsi="Arial" w:cs="Arial"/>
          <w:sz w:val="24"/>
          <w:szCs w:val="24"/>
          <w:shd w:val="clear" w:color="auto" w:fill="F5F5F1"/>
          <w:lang w:val="pl-PL"/>
        </w:rPr>
        <w:t>,</w:t>
      </w:r>
      <w:r w:rsidR="00657B78" w:rsidRPr="001635BB">
        <w:rPr>
          <w:rFonts w:ascii="Arial" w:hAnsi="Arial" w:cs="Arial"/>
          <w:sz w:val="24"/>
          <w:szCs w:val="24"/>
          <w:lang w:val="sl-SI"/>
        </w:rPr>
        <w:t xml:space="preserve"> </w:t>
      </w:r>
      <w:r w:rsidR="00657B78" w:rsidRPr="001635BB">
        <w:rPr>
          <w:rFonts w:ascii="Arial" w:hAnsi="Arial" w:cs="Arial"/>
          <w:sz w:val="24"/>
          <w:szCs w:val="24"/>
          <w:shd w:val="clear" w:color="auto" w:fill="F5F5F1"/>
          <w:lang w:val="sr-Latn-CS"/>
        </w:rPr>
        <w:t>za period od jedne godine</w:t>
      </w:r>
      <w:r w:rsidRPr="00B619D2">
        <w:rPr>
          <w:rFonts w:ascii="Arial" w:eastAsia="PMingLiU" w:hAnsi="Arial" w:cs="Arial"/>
          <w:sz w:val="24"/>
          <w:szCs w:val="24"/>
          <w:lang w:val="pl-PL" w:eastAsia="zh-TW"/>
        </w:rPr>
        <w:t>.</w:t>
      </w:r>
      <w:r w:rsidR="00111B8F">
        <w:rPr>
          <w:rFonts w:ascii="Arial" w:eastAsia="PMingLiU" w:hAnsi="Arial" w:cs="Arial"/>
          <w:sz w:val="24"/>
          <w:szCs w:val="24"/>
          <w:lang w:val="pl-PL" w:eastAsia="zh-TW"/>
        </w:rPr>
        <w:t xml:space="preserve"> Postupak javne nabavke je objavljen kao cjelina.</w:t>
      </w:r>
    </w:p>
    <w:p w:rsidR="00013E22" w:rsidRDefault="00013E22" w:rsidP="00013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4507B0" w:rsidRPr="00426AA5" w:rsidRDefault="001042EC" w:rsidP="0042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Opština Berane je 02. 02. 2017. godine, primila</w:t>
      </w:r>
      <w:r w:rsidRPr="001042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zahtjev za pojašnjenje tenderske dokumentacije br. 22/17</w:t>
      </w:r>
      <w:r w:rsidR="00301032">
        <w:rPr>
          <w:rFonts w:ascii="Arial" w:hAnsi="Arial" w:cs="Arial"/>
          <w:sz w:val="24"/>
          <w:szCs w:val="24"/>
        </w:rPr>
        <w:t xml:space="preserve">. </w:t>
      </w:r>
      <w:r w:rsidR="00327BD8">
        <w:rPr>
          <w:rFonts w:ascii="Arial" w:hAnsi="Arial" w:cs="Arial"/>
          <w:sz w:val="24"/>
          <w:szCs w:val="24"/>
        </w:rPr>
        <w:t xml:space="preserve">Zainteresovano lice, </w:t>
      </w:r>
      <w:r w:rsidR="00426AA5">
        <w:rPr>
          <w:rFonts w:ascii="Arial" w:hAnsi="Arial" w:cs="Arial"/>
          <w:sz w:val="24"/>
          <w:szCs w:val="24"/>
        </w:rPr>
        <w:t xml:space="preserve">zahtjevom za pojašnjenje, između ostalog, </w:t>
      </w:r>
      <w:r w:rsidR="00327BD8">
        <w:rPr>
          <w:rFonts w:ascii="Arial" w:hAnsi="Arial" w:cs="Arial"/>
          <w:sz w:val="24"/>
          <w:szCs w:val="24"/>
        </w:rPr>
        <w:t>sugeri</w:t>
      </w:r>
      <w:r w:rsidR="00426AA5">
        <w:rPr>
          <w:rFonts w:ascii="Arial" w:hAnsi="Arial" w:cs="Arial"/>
          <w:sz w:val="24"/>
          <w:szCs w:val="24"/>
        </w:rPr>
        <w:t xml:space="preserve">še </w:t>
      </w:r>
      <w:r w:rsidR="004507B0">
        <w:rPr>
          <w:rFonts w:ascii="Arial" w:hAnsi="Arial" w:cs="Arial"/>
          <w:sz w:val="24"/>
          <w:szCs w:val="24"/>
        </w:rPr>
        <w:t xml:space="preserve">da je potrebno ispraviti </w:t>
      </w:r>
      <w:r w:rsidR="000E11F4">
        <w:rPr>
          <w:rFonts w:ascii="Arial" w:hAnsi="Arial" w:cs="Arial"/>
          <w:sz w:val="24"/>
          <w:szCs w:val="24"/>
        </w:rPr>
        <w:t xml:space="preserve">predmetnu tendersku </w:t>
      </w:r>
      <w:r w:rsidR="004507B0">
        <w:rPr>
          <w:rFonts w:ascii="Arial" w:hAnsi="Arial" w:cs="Arial"/>
          <w:sz w:val="24"/>
          <w:szCs w:val="24"/>
        </w:rPr>
        <w:t>dokumentaciju</w:t>
      </w:r>
      <w:r w:rsidR="00C65DE1">
        <w:rPr>
          <w:rFonts w:ascii="Arial" w:hAnsi="Arial" w:cs="Arial"/>
          <w:sz w:val="24"/>
          <w:szCs w:val="24"/>
        </w:rPr>
        <w:t>. Naime,</w:t>
      </w:r>
      <w:r w:rsidR="006242E3">
        <w:rPr>
          <w:rFonts w:ascii="Arial" w:hAnsi="Arial" w:cs="Arial"/>
          <w:sz w:val="24"/>
          <w:szCs w:val="24"/>
        </w:rPr>
        <w:t xml:space="preserve"> </w:t>
      </w:r>
      <w:r w:rsidR="00C65DE1">
        <w:rPr>
          <w:rFonts w:ascii="Arial" w:hAnsi="Arial" w:cs="Arial"/>
          <w:sz w:val="24"/>
          <w:szCs w:val="24"/>
        </w:rPr>
        <w:t xml:space="preserve"> </w:t>
      </w:r>
      <w:r w:rsidR="004507B0">
        <w:rPr>
          <w:rFonts w:ascii="Arial" w:hAnsi="Arial" w:cs="Arial"/>
          <w:sz w:val="24"/>
          <w:szCs w:val="24"/>
        </w:rPr>
        <w:t xml:space="preserve"> </w:t>
      </w:r>
      <w:r w:rsidR="00C65DE1">
        <w:rPr>
          <w:rFonts w:ascii="Arial" w:hAnsi="Arial" w:cs="Arial"/>
          <w:sz w:val="24"/>
          <w:szCs w:val="24"/>
        </w:rPr>
        <w:t xml:space="preserve">predmet javne nabavke je  potrebno </w:t>
      </w:r>
      <w:r w:rsidR="00426AA5">
        <w:rPr>
          <w:rFonts w:ascii="Arial" w:hAnsi="Arial" w:cs="Arial"/>
          <w:sz w:val="24"/>
          <w:szCs w:val="24"/>
        </w:rPr>
        <w:t xml:space="preserve">podijeliti </w:t>
      </w:r>
      <w:r w:rsidR="00C65DE1">
        <w:rPr>
          <w:rFonts w:ascii="Arial" w:hAnsi="Arial" w:cs="Arial"/>
          <w:sz w:val="24"/>
          <w:szCs w:val="24"/>
        </w:rPr>
        <w:t xml:space="preserve">po </w:t>
      </w:r>
      <w:r w:rsidR="00426AA5">
        <w:rPr>
          <w:rFonts w:ascii="Arial" w:hAnsi="Arial" w:cs="Arial"/>
          <w:sz w:val="24"/>
          <w:szCs w:val="24"/>
        </w:rPr>
        <w:t>partij</w:t>
      </w:r>
      <w:r w:rsidR="00C65DE1">
        <w:rPr>
          <w:rFonts w:ascii="Arial" w:hAnsi="Arial" w:cs="Arial"/>
          <w:sz w:val="24"/>
          <w:szCs w:val="24"/>
        </w:rPr>
        <w:t>ama</w:t>
      </w:r>
      <w:r w:rsidR="00426AA5">
        <w:rPr>
          <w:rFonts w:ascii="Arial" w:hAnsi="Arial" w:cs="Arial"/>
          <w:sz w:val="24"/>
          <w:szCs w:val="24"/>
        </w:rPr>
        <w:t xml:space="preserve">. </w:t>
      </w:r>
    </w:p>
    <w:p w:rsidR="00BD1230" w:rsidRDefault="00BD1230" w:rsidP="00B619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9D2" w:rsidRDefault="0019763C" w:rsidP="00426AA5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hAnsi="Arial" w:cs="Arial"/>
          <w:sz w:val="24"/>
          <w:szCs w:val="24"/>
        </w:rPr>
        <w:t>Komisija</w:t>
      </w:r>
      <w:r w:rsidR="00B619D2">
        <w:rPr>
          <w:rFonts w:ascii="Arial" w:hAnsi="Arial" w:cs="Arial"/>
          <w:sz w:val="24"/>
          <w:szCs w:val="24"/>
        </w:rPr>
        <w:t xml:space="preserve"> za otvaranje i vrednovanje ponuda</w:t>
      </w:r>
      <w:r w:rsidR="00426AA5">
        <w:rPr>
          <w:rFonts w:ascii="Arial" w:eastAsia="PMingLiU" w:hAnsi="Arial" w:cs="Arial"/>
          <w:sz w:val="24"/>
          <w:szCs w:val="24"/>
          <w:lang w:val="pl-PL" w:eastAsia="zh-TW"/>
        </w:rPr>
        <w:t xml:space="preserve">, razmotrila je zahtjev za pojašnjenje tenderske dokumentacije </w:t>
      </w:r>
      <w:r w:rsidR="008E29F0">
        <w:rPr>
          <w:rFonts w:ascii="Arial" w:eastAsia="PMingLiU" w:hAnsi="Arial" w:cs="Arial"/>
          <w:sz w:val="24"/>
          <w:szCs w:val="24"/>
          <w:lang w:val="pl-PL" w:eastAsia="zh-TW"/>
        </w:rPr>
        <w:t xml:space="preserve">i Službenom zabilješkom br. </w:t>
      </w:r>
      <w:r w:rsidR="00B064BA">
        <w:rPr>
          <w:rFonts w:ascii="Arial" w:eastAsia="PMingLiU" w:hAnsi="Arial" w:cs="Arial"/>
          <w:sz w:val="24"/>
          <w:szCs w:val="24"/>
          <w:lang w:val="pl-PL" w:eastAsia="zh-TW"/>
        </w:rPr>
        <w:t>05-404-16/2</w:t>
      </w:r>
      <w:r w:rsidR="008E29F0">
        <w:rPr>
          <w:rFonts w:ascii="Arial" w:eastAsia="PMingLiU" w:hAnsi="Arial" w:cs="Arial"/>
          <w:sz w:val="24"/>
          <w:szCs w:val="24"/>
          <w:lang w:val="pl-PL" w:eastAsia="zh-TW"/>
        </w:rPr>
        <w:t xml:space="preserve"> od </w:t>
      </w:r>
      <w:r w:rsidR="00B064BA">
        <w:rPr>
          <w:rFonts w:ascii="Arial" w:eastAsia="PMingLiU" w:hAnsi="Arial" w:cs="Arial"/>
          <w:sz w:val="24"/>
          <w:szCs w:val="24"/>
          <w:lang w:val="pl-PL" w:eastAsia="zh-TW"/>
        </w:rPr>
        <w:t xml:space="preserve">06. 02. 2017. </w:t>
      </w:r>
      <w:r w:rsidR="00BE2041">
        <w:rPr>
          <w:rFonts w:ascii="Arial" w:eastAsia="PMingLiU" w:hAnsi="Arial" w:cs="Arial"/>
          <w:sz w:val="24"/>
          <w:szCs w:val="24"/>
          <w:lang w:val="pl-PL" w:eastAsia="zh-TW"/>
        </w:rPr>
        <w:t>g</w:t>
      </w:r>
      <w:bookmarkStart w:id="0" w:name="_GoBack"/>
      <w:bookmarkEnd w:id="0"/>
      <w:r w:rsidR="00B064BA">
        <w:rPr>
          <w:rFonts w:ascii="Arial" w:eastAsia="PMingLiU" w:hAnsi="Arial" w:cs="Arial"/>
          <w:sz w:val="24"/>
          <w:szCs w:val="24"/>
          <w:lang w:val="pl-PL" w:eastAsia="zh-TW"/>
        </w:rPr>
        <w:t>odine</w:t>
      </w:r>
      <w:r w:rsidR="00BE2041">
        <w:rPr>
          <w:rFonts w:ascii="Arial" w:eastAsia="PMingLiU" w:hAnsi="Arial" w:cs="Arial"/>
          <w:sz w:val="24"/>
          <w:szCs w:val="24"/>
          <w:lang w:val="pl-PL" w:eastAsia="zh-TW"/>
        </w:rPr>
        <w:t>,</w:t>
      </w:r>
      <w:r w:rsidR="00B064BA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="008E29F0">
        <w:rPr>
          <w:rFonts w:ascii="Arial" w:eastAsia="PMingLiU" w:hAnsi="Arial" w:cs="Arial"/>
          <w:sz w:val="24"/>
          <w:szCs w:val="24"/>
          <w:lang w:val="pl-PL" w:eastAsia="zh-TW"/>
        </w:rPr>
        <w:t>konstatovala</w:t>
      </w:r>
      <w:r w:rsidR="00426AA5">
        <w:rPr>
          <w:rFonts w:ascii="Arial" w:eastAsia="PMingLiU" w:hAnsi="Arial" w:cs="Arial"/>
          <w:sz w:val="24"/>
          <w:szCs w:val="24"/>
          <w:lang w:val="pl-PL" w:eastAsia="zh-TW"/>
        </w:rPr>
        <w:t xml:space="preserve"> da je neophodno bitno izmi</w:t>
      </w:r>
      <w:r w:rsidR="006242E3">
        <w:rPr>
          <w:rFonts w:ascii="Arial" w:eastAsia="PMingLiU" w:hAnsi="Arial" w:cs="Arial"/>
          <w:sz w:val="24"/>
          <w:szCs w:val="24"/>
          <w:lang w:val="pl-PL" w:eastAsia="zh-TW"/>
        </w:rPr>
        <w:t xml:space="preserve">jeniti tendersku dokumentaciju </w:t>
      </w:r>
      <w:r w:rsidR="00426AA5">
        <w:rPr>
          <w:rFonts w:ascii="Arial" w:eastAsia="PMingLiU" w:hAnsi="Arial" w:cs="Arial"/>
          <w:sz w:val="24"/>
          <w:szCs w:val="24"/>
          <w:lang w:val="pl-PL" w:eastAsia="zh-TW"/>
        </w:rPr>
        <w:t>prije i</w:t>
      </w:r>
      <w:r w:rsidR="006242E3">
        <w:rPr>
          <w:rFonts w:ascii="Arial" w:eastAsia="PMingLiU" w:hAnsi="Arial" w:cs="Arial"/>
          <w:sz w:val="24"/>
          <w:szCs w:val="24"/>
          <w:lang w:val="pl-PL" w:eastAsia="zh-TW"/>
        </w:rPr>
        <w:t xml:space="preserve">steka roka za podnošenje ponuda, odnosno predmet javne nabavke je potrebno podijeliti po partijama. Samim tim, mijenja se opis predmeta javne nabavke, </w:t>
      </w:r>
      <w:r w:rsidR="00012022">
        <w:rPr>
          <w:rFonts w:ascii="Arial" w:eastAsia="PMingLiU" w:hAnsi="Arial" w:cs="Arial"/>
          <w:sz w:val="24"/>
          <w:szCs w:val="24"/>
          <w:lang w:val="pl-PL" w:eastAsia="zh-TW"/>
        </w:rPr>
        <w:t xml:space="preserve">kao i procijenjena vrijednost, koja mora biti iskazana po partijama, a sve u cilju poštovanja člana 6 ZJN, koji propisuje da je naručilac dužan da preduzme potrebne mjere kojima se obezbjeđuje konkurencija među ponuđačima. </w:t>
      </w:r>
    </w:p>
    <w:p w:rsidR="00013E22" w:rsidRDefault="00013E22" w:rsidP="00013E22">
      <w:pPr>
        <w:spacing w:after="0" w:line="240" w:lineRule="auto"/>
        <w:ind w:right="-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13E22" w:rsidRDefault="00013E22" w:rsidP="00013E2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 vezi sa navedenim, a na osnovu člana 105 stav 1 tačka </w:t>
      </w:r>
      <w:r w:rsidR="008E29F0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Zakona o javnim nabavkama </w:t>
      </w:r>
      <w:r>
        <w:rPr>
          <w:rFonts w:ascii="Arial" w:hAnsi="Arial" w:cs="Arial"/>
          <w:sz w:val="24"/>
          <w:szCs w:val="24"/>
          <w:lang w:val="sr-Latn-CS"/>
        </w:rPr>
        <w:t xml:space="preserve">(„Službeni list CG“, br. </w:t>
      </w:r>
      <w:r w:rsidR="008E29F0">
        <w:rPr>
          <w:rFonts w:ascii="Arial" w:hAnsi="Arial" w:cs="Arial"/>
          <w:color w:val="000000"/>
          <w:sz w:val="24"/>
          <w:szCs w:val="24"/>
          <w:lang w:val="pl-PL"/>
        </w:rPr>
        <w:t xml:space="preserve">42/11, </w:t>
      </w:r>
      <w:r>
        <w:rPr>
          <w:rFonts w:ascii="Arial" w:hAnsi="Arial" w:cs="Arial"/>
          <w:color w:val="000000"/>
          <w:sz w:val="24"/>
          <w:szCs w:val="24"/>
          <w:lang w:val="pl-PL"/>
        </w:rPr>
        <w:t>57/14</w:t>
      </w:r>
      <w:r w:rsidR="008E29F0">
        <w:rPr>
          <w:rFonts w:ascii="Arial" w:hAnsi="Arial" w:cs="Arial"/>
          <w:color w:val="000000"/>
          <w:sz w:val="24"/>
          <w:szCs w:val="24"/>
          <w:lang w:val="pl-PL"/>
        </w:rPr>
        <w:t xml:space="preserve"> i 28/15</w:t>
      </w:r>
      <w:r>
        <w:rPr>
          <w:rFonts w:ascii="Arial" w:hAnsi="Arial" w:cs="Arial"/>
          <w:color w:val="000000"/>
          <w:sz w:val="24"/>
          <w:szCs w:val="24"/>
          <w:lang w:val="pl-PL"/>
        </w:rPr>
        <w:t>)</w:t>
      </w:r>
      <w:r>
        <w:rPr>
          <w:rFonts w:ascii="Arial" w:eastAsia="Times New Roman" w:hAnsi="Arial" w:cs="Arial"/>
          <w:sz w:val="24"/>
          <w:szCs w:val="24"/>
        </w:rPr>
        <w:t>, kojim je propisano da se pos</w:t>
      </w:r>
      <w:r w:rsidR="00C52C60">
        <w:rPr>
          <w:rFonts w:ascii="Arial" w:eastAsia="Times New Roman" w:hAnsi="Arial" w:cs="Arial"/>
          <w:sz w:val="24"/>
          <w:szCs w:val="24"/>
        </w:rPr>
        <w:t>tupak javne nabavke odustavlja</w:t>
      </w:r>
      <w:r>
        <w:rPr>
          <w:rFonts w:ascii="Arial" w:eastAsia="Times New Roman" w:hAnsi="Arial" w:cs="Arial"/>
          <w:sz w:val="24"/>
          <w:szCs w:val="24"/>
        </w:rPr>
        <w:t xml:space="preserve"> u slučaju </w:t>
      </w:r>
      <w:r w:rsidR="00C52C60">
        <w:rPr>
          <w:rFonts w:ascii="Arial" w:eastAsia="Times New Roman" w:hAnsi="Arial" w:cs="Arial"/>
          <w:sz w:val="24"/>
          <w:szCs w:val="24"/>
        </w:rPr>
        <w:t>da naručilac prije isteka roka za podnošenje ponuda ocijeni da je neophodno bitno izmijeniti tendersku dokumentaciju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Predsjednik opštine donosi Odluku o obustavljanju postupka javne nabavke.</w:t>
      </w:r>
    </w:p>
    <w:p w:rsidR="00013E22" w:rsidRDefault="00013E22" w:rsidP="00013E22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Na osnovu navedenog odlučeno je kao u dispozitivu.</w:t>
      </w:r>
    </w:p>
    <w:p w:rsidR="00013E22" w:rsidRDefault="00013E22" w:rsidP="00013E22">
      <w:p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13E22" w:rsidRDefault="00013E22" w:rsidP="00013E22">
      <w:p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E2D27" w:rsidRDefault="00BE2D27" w:rsidP="00013E22">
      <w:p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13E22" w:rsidRDefault="00013E22" w:rsidP="00013E22">
      <w:pPr>
        <w:pStyle w:val="ListParagraph"/>
        <w:spacing w:before="0" w:after="0" w:line="240" w:lineRule="auto"/>
        <w:ind w:left="567"/>
        <w:jc w:val="both"/>
        <w:rPr>
          <w:rFonts w:ascii="Arial" w:eastAsia="Calibri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Uputstvo o pravnom sredstvu</w:t>
      </w:r>
    </w:p>
    <w:p w:rsidR="00013E22" w:rsidRDefault="00013E22" w:rsidP="00013E22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BE2D27" w:rsidRDefault="00BE2D27" w:rsidP="00013E22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013E22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Ponuđač može izjaviti žalbu protiv ovog rješenja Državnoj komisiji za kontrolu postupaka javnih nabavki u roku od 10 dana od dana dostavljanja ovog rješenja.</w:t>
      </w:r>
    </w:p>
    <w:p w:rsidR="00013E22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Žalba se izjavljuje preko naručioca neposredno, putem pošte preporučenom pošiljkom sa dostavnicom ili elektronskim putem sa naprednim elektronskim potpisom. </w:t>
      </w:r>
    </w:p>
    <w:p w:rsidR="00013E22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Žalbom se može pobijati: postupak prijema ponuda; postupak javnog otvaranja ponuda, sadržaj i način dostavljanja zapisnika o javnom otvaranju ponuda; postupak pregleda, ocjene, upoređivanja i vrednovanja ponuda i/ili zakonitost ovog rješenja.</w:t>
      </w:r>
    </w:p>
    <w:p w:rsidR="00013E22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Uz žalbu se dostavlja dokaz da je plaćena naknada za vođenje postupka po žalbi u iznosu od 1% od procijenjene vrijednosti javne nabavke, a najviše 8.000,00 eura, na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žiro račun Državne komisije za kontrolu postupaka javnih nabavki broj 530-20240-15 kod </w:t>
      </w:r>
      <w:r>
        <w:rPr>
          <w:rFonts w:ascii="Arial" w:hAnsi="Arial" w:cs="Arial"/>
          <w:sz w:val="24"/>
          <w:szCs w:val="24"/>
        </w:rPr>
        <w:t>NLB Montenegro banke A.D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13E22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Ukoliko je predmet nabavke podijeljen po partijama, a žalba se odnosi samo na određenu/e partiju/e, naknada se plaća u iznosu 1% od procijenjene vrijednosti javne nabavke te / tih partije/a.</w:t>
      </w:r>
    </w:p>
    <w:p w:rsidR="00013E22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Instrukcije za plaćanje naknade za ponuđače iz inostranstva nalaze se na internet stranici Državne komisije za kontrolu postupaka javnih nabavki.</w:t>
      </w:r>
    </w:p>
    <w:p w:rsidR="00013E22" w:rsidRDefault="00013E22" w:rsidP="00013E22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Ukoliko se uz žalbu ne dostavi dokaz da je uplaćena naknada za vođenje postupka u propisanom iznosu žalba će biti odbačena kao neuredna. </w:t>
      </w:r>
    </w:p>
    <w:p w:rsidR="00013E22" w:rsidRDefault="00013E22" w:rsidP="00013E22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13E22" w:rsidRDefault="00013E22" w:rsidP="00013E22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13E22" w:rsidRDefault="00013E22" w:rsidP="00013E22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13E22" w:rsidRDefault="00013E22" w:rsidP="00013E22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13E22" w:rsidRDefault="00013E22" w:rsidP="00013E22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 xml:space="preserve">                                                                            M.P.               </w:t>
      </w:r>
      <w:r w:rsidRPr="00B265E3">
        <w:rPr>
          <w:rFonts w:ascii="Arial" w:eastAsia="Times New Roman" w:hAnsi="Arial" w:cs="Arial"/>
          <w:b/>
          <w:i/>
          <w:sz w:val="24"/>
          <w:szCs w:val="24"/>
        </w:rPr>
        <w:t>PREDSJEDNIK</w:t>
      </w:r>
    </w:p>
    <w:p w:rsidR="00013E22" w:rsidRDefault="00013E22" w:rsidP="00013E22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013E22" w:rsidRDefault="00013E22" w:rsidP="00013E22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Dragoslav Šćekić</w:t>
      </w:r>
    </w:p>
    <w:p w:rsidR="00016190" w:rsidRDefault="00016190" w:rsidP="00013E22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013E22" w:rsidRPr="00016190" w:rsidRDefault="00016190" w:rsidP="00016190">
      <w:pPr>
        <w:pStyle w:val="ListParagraph"/>
        <w:tabs>
          <w:tab w:val="left" w:pos="6255"/>
        </w:tabs>
        <w:spacing w:before="0" w:after="0" w:line="120" w:lineRule="atLeast"/>
        <w:ind w:left="0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016190">
        <w:rPr>
          <w:rFonts w:ascii="Arial" w:eastAsia="Calibri" w:hAnsi="Arial" w:cs="Arial"/>
          <w:noProof/>
          <w:sz w:val="24"/>
          <w:szCs w:val="24"/>
          <w:lang w:val="en-US"/>
        </w:rPr>
        <w:t xml:space="preserve"> _</w:t>
      </w:r>
      <w:r w:rsidR="00B265E3" w:rsidRPr="00016190">
        <w:rPr>
          <w:rFonts w:ascii="Arial" w:eastAsia="Calibri" w:hAnsi="Arial" w:cs="Arial"/>
          <w:noProof/>
          <w:sz w:val="24"/>
          <w:szCs w:val="24"/>
          <w:lang w:val="en-US"/>
        </w:rPr>
        <w:t>___________________</w:t>
      </w:r>
    </w:p>
    <w:p w:rsidR="00013E22" w:rsidRPr="00016190" w:rsidRDefault="00016190" w:rsidP="00016190">
      <w:pPr>
        <w:pStyle w:val="ListParagraph"/>
        <w:tabs>
          <w:tab w:val="right" w:pos="9071"/>
        </w:tabs>
        <w:spacing w:before="0" w:after="0" w:line="120" w:lineRule="atLeast"/>
        <w:ind w:left="0"/>
        <w:rPr>
          <w:rFonts w:ascii="Arial" w:hAnsi="Arial" w:cs="Arial"/>
          <w:i/>
          <w:noProof/>
          <w:sz w:val="20"/>
          <w:szCs w:val="20"/>
          <w:lang w:val="en-US"/>
        </w:rPr>
      </w:pPr>
      <w:r w:rsidRPr="00016190">
        <w:rPr>
          <w:rFonts w:ascii="Arial" w:hAnsi="Arial" w:cs="Arial"/>
          <w:i/>
          <w:noProof/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noProof/>
          <w:sz w:val="20"/>
          <w:szCs w:val="20"/>
          <w:lang w:val="en-US"/>
        </w:rPr>
        <w:t xml:space="preserve">                      </w:t>
      </w:r>
      <w:r w:rsidRPr="00016190">
        <w:rPr>
          <w:rFonts w:ascii="Arial" w:hAnsi="Arial" w:cs="Arial"/>
          <w:i/>
          <w:noProof/>
          <w:sz w:val="20"/>
          <w:szCs w:val="20"/>
          <w:lang w:val="en-US"/>
        </w:rPr>
        <w:t xml:space="preserve">   (s.r.)</w:t>
      </w: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013E22" w:rsidRDefault="00013E22" w:rsidP="00013E22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D14A63" w:rsidRDefault="00D14A63"/>
    <w:sectPr w:rsidR="00D1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D6" w:rsidRDefault="00BE42D6" w:rsidP="000A03FC">
      <w:pPr>
        <w:spacing w:after="0" w:line="240" w:lineRule="auto"/>
      </w:pPr>
      <w:r>
        <w:separator/>
      </w:r>
    </w:p>
  </w:endnote>
  <w:endnote w:type="continuationSeparator" w:id="0">
    <w:p w:rsidR="00BE42D6" w:rsidRDefault="00BE42D6" w:rsidP="000A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D6" w:rsidRDefault="00BE42D6" w:rsidP="000A03FC">
      <w:pPr>
        <w:spacing w:after="0" w:line="240" w:lineRule="auto"/>
      </w:pPr>
      <w:r>
        <w:separator/>
      </w:r>
    </w:p>
  </w:footnote>
  <w:footnote w:type="continuationSeparator" w:id="0">
    <w:p w:rsidR="00BE42D6" w:rsidRDefault="00BE42D6" w:rsidP="000A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89"/>
    <w:multiLevelType w:val="hybridMultilevel"/>
    <w:tmpl w:val="47E4730E"/>
    <w:lvl w:ilvl="0" w:tplc="528C4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83704"/>
    <w:multiLevelType w:val="hybridMultilevel"/>
    <w:tmpl w:val="12A6E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3CEB"/>
    <w:multiLevelType w:val="hybridMultilevel"/>
    <w:tmpl w:val="5A887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32A8"/>
    <w:multiLevelType w:val="hybridMultilevel"/>
    <w:tmpl w:val="17A682A2"/>
    <w:lvl w:ilvl="0" w:tplc="1FDA660A">
      <w:start w:val="1"/>
      <w:numFmt w:val="decimal"/>
      <w:lvlText w:val="%1)"/>
      <w:lvlJc w:val="left"/>
      <w:pPr>
        <w:ind w:left="81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87C0C4E"/>
    <w:multiLevelType w:val="hybridMultilevel"/>
    <w:tmpl w:val="38AA363E"/>
    <w:lvl w:ilvl="0" w:tplc="99FCE90C">
      <w:start w:val="1"/>
      <w:numFmt w:val="decimal"/>
      <w:lvlText w:val="%1)"/>
      <w:lvlJc w:val="left"/>
      <w:pPr>
        <w:ind w:left="81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FD7CCE"/>
    <w:multiLevelType w:val="hybridMultilevel"/>
    <w:tmpl w:val="E0887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F4C40"/>
    <w:multiLevelType w:val="hybridMultilevel"/>
    <w:tmpl w:val="33D4C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087FA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94432"/>
    <w:multiLevelType w:val="hybridMultilevel"/>
    <w:tmpl w:val="3312BB8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D37DB"/>
    <w:multiLevelType w:val="hybridMultilevel"/>
    <w:tmpl w:val="2E329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07"/>
    <w:rsid w:val="00012022"/>
    <w:rsid w:val="00013E22"/>
    <w:rsid w:val="00016190"/>
    <w:rsid w:val="000271EE"/>
    <w:rsid w:val="00037A73"/>
    <w:rsid w:val="00057146"/>
    <w:rsid w:val="00096E10"/>
    <w:rsid w:val="000A03FC"/>
    <w:rsid w:val="000E11F4"/>
    <w:rsid w:val="001042EC"/>
    <w:rsid w:val="00111B8F"/>
    <w:rsid w:val="001635BB"/>
    <w:rsid w:val="00177939"/>
    <w:rsid w:val="0019763C"/>
    <w:rsid w:val="00250907"/>
    <w:rsid w:val="00283573"/>
    <w:rsid w:val="002877C9"/>
    <w:rsid w:val="002B3232"/>
    <w:rsid w:val="00301032"/>
    <w:rsid w:val="00327BD8"/>
    <w:rsid w:val="00327F1E"/>
    <w:rsid w:val="003A5584"/>
    <w:rsid w:val="00426AA5"/>
    <w:rsid w:val="004507B0"/>
    <w:rsid w:val="00465BAC"/>
    <w:rsid w:val="00494A5D"/>
    <w:rsid w:val="004F3B13"/>
    <w:rsid w:val="005F34A8"/>
    <w:rsid w:val="006242E3"/>
    <w:rsid w:val="00657B78"/>
    <w:rsid w:val="006716C9"/>
    <w:rsid w:val="007308FE"/>
    <w:rsid w:val="00753267"/>
    <w:rsid w:val="00756A25"/>
    <w:rsid w:val="00840C6A"/>
    <w:rsid w:val="008E29F0"/>
    <w:rsid w:val="008F435D"/>
    <w:rsid w:val="009325C6"/>
    <w:rsid w:val="00A633F3"/>
    <w:rsid w:val="00B01CF7"/>
    <w:rsid w:val="00B064BA"/>
    <w:rsid w:val="00B265E3"/>
    <w:rsid w:val="00B619D2"/>
    <w:rsid w:val="00B9178A"/>
    <w:rsid w:val="00BD0BFB"/>
    <w:rsid w:val="00BD1230"/>
    <w:rsid w:val="00BE2041"/>
    <w:rsid w:val="00BE2D27"/>
    <w:rsid w:val="00BE42D6"/>
    <w:rsid w:val="00C52C60"/>
    <w:rsid w:val="00C65DE1"/>
    <w:rsid w:val="00C93799"/>
    <w:rsid w:val="00D14A63"/>
    <w:rsid w:val="00DE28CD"/>
    <w:rsid w:val="00E332F6"/>
    <w:rsid w:val="00EC6847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2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13E22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013E22"/>
    <w:pPr>
      <w:spacing w:before="96" w:after="120" w:line="360" w:lineRule="atLeast"/>
      <w:ind w:left="720"/>
    </w:pPr>
    <w:rPr>
      <w:rFonts w:eastAsiaTheme="minorHAns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22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0A03FC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A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F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2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13E22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013E22"/>
    <w:pPr>
      <w:spacing w:before="96" w:after="120" w:line="360" w:lineRule="atLeast"/>
      <w:ind w:left="720"/>
    </w:pPr>
    <w:rPr>
      <w:rFonts w:eastAsiaTheme="minorHAns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22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0A03FC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A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CBE5-57B1-48B4-B469-7726366A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2016-09-30T08:46:00Z</cp:lastPrinted>
  <dcterms:created xsi:type="dcterms:W3CDTF">2016-08-30T07:18:00Z</dcterms:created>
  <dcterms:modified xsi:type="dcterms:W3CDTF">2017-02-06T12:21:00Z</dcterms:modified>
</cp:coreProperties>
</file>